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A96F68"/>
          <w:sz w:val="18"/>
        </w:rPr>
        <w:t>AI-RECOMMENDED INTERIM PRODUCT RULES</w:t>
      </w:r>
    </w:p>
    <w:p>
      <w:pPr>
        <w:keepNext/>
        <w:spacing w:before="0" w:after="60"/>
      </w:pPr>
      <w:r>
        <w:rPr>
          <w:rFonts w:ascii="Arial" w:hAnsi="Arial"/>
          <w:b/>
          <w:color w:val="754B47"/>
          <w:sz w:val="44"/>
        </w:rPr>
        <w:t>Well Within Practitioner Confirmation Brief</w:t>
      </w:r>
    </w:p>
    <w:p>
      <w:pPr>
        <w:spacing w:before="0" w:after="120"/>
      </w:pPr>
      <w:r>
        <w:rPr>
          <w:rFonts w:ascii="Arial" w:hAnsi="Arial"/>
          <w:i/>
          <w:color w:val="6F6663"/>
          <w:sz w:val="23"/>
        </w:rPr>
        <w:t>Concrete first-release recommendations, including the Possible fertile pattern enhancement</w:t>
      </w:r>
    </w:p>
    <w:p>
      <w:pPr>
        <w:spacing w:after="140"/>
      </w:pPr>
      <w:r>
        <w:rPr>
          <w:rFonts w:ascii="Arial" w:hAnsi="Arial"/>
          <w:b/>
          <w:color w:val="6F6663"/>
          <w:sz w:val="16"/>
        </w:rPr>
        <w:t>Prepared: July 13, 2026   |   Working assumption: prior recommendations accepted; confirm or revise this consolidated set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AF1ED"/>
          <w:left w:val="single" w:sz="2" w:space="0" w:color="EAF1ED"/>
          <w:bottom w:val="single" w:sz="2" w:space="0" w:color="EAF1ED"/>
          <w:right w:val="single" w:sz="2" w:space="0" w:color="EAF1ED"/>
          <w:insideH w:val="single" w:sz="2" w:space="0" w:color="EAF1ED"/>
          <w:insideV w:val="single" w:sz="2" w:space="0" w:color="EAF1E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ED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754B47"/>
                <w:sz w:val="18"/>
              </w:rPr>
              <w:t xml:space="preserve">What we need / boundary  </w:t>
            </w:r>
            <w:r>
              <w:rPr>
                <w:rFonts w:ascii="Arial" w:hAnsi="Arial"/>
                <w:color w:val="3E3533"/>
                <w:sz w:val="18"/>
              </w:rPr>
              <w:t>The product owner asked Action 5 to proceed on the assumption that the prior interim rules were accepted, including a qualified Possible fertile pattern and the Cycle Day 1 behavior below. Engineering has implemented this scope. Please identify only what is clinically unsafe or materially inaccurate. These are independent Well Within product rules, not a complete or authorized Creighton specification or evidence of certification, affiliation, licensing, product-specific clinical validation, or legal/regulatory approval.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1. Supported first-release scope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Keep charting and observation export available to every user.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Provide an automated retrospective Peak summary only when the chart has complete dated observations, an eligible Cycle Day 1 boundary, and one clear Peak-type sequence.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This release does not screen for or add alternate rules for postpartum/breastfeeding, perimenopause, recent hormonal contraception, relevant medication effects, persistent discharge, or suspected infection. It names these contexts as unsupported and not accounted for beside every exact result.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Continue to withhold exact boundaries for detectable unsupported states such as unusual bleeding with mucus, continuous mucus, an unresolved later Peak-type candidate, invalid dates, or another unresolved pattern.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Do not forecast a future fertile window or provide avoiding-pregnancy, conception-timing, diagnostic, or ovulation-confirmation guidance. A restricted retrospective Possible fertile pattern may be shown only under recommendations 4-7.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2. Daily observations and input validity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Store and display the original bleeding, sensation, appearance, frequency, and notes; never replace the source observations with a reduced value.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For the broad app classification, treat clear, stretchy, or lubricative/slippery as Peak-type; otherwise classify the day only as lower-quality mucus or dry/no mucus. Damp, wet, or shiny alone should not be promoted to Peak-type.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If several observations occur, the strongest supported feature may drive the broad class, but all details remain visible. A contradictory entry, such as dry plus a Peak-type appearance, must be corrected or excluded from automation rather than silently promoted.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Require a valid date and one daily record. Merge same-day entries, sort out-of-order entries by date, and allow missing frequency for broad classification only; do not generate official-looking CrMS notation from incomplete fields.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3. Cycle Day 1 and bleeding plus mucus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Cycle Day 1 is the first day the user identifies as true menstrual flow, not isolated spotting or brown discharge. Ask only when potentially leading light flow is recorded. A clear moderate/heavy start may establish the boundary automatically.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For leading light, Yes anchors Day 1 to that date; No permits a later unambiguous moderate/heavy boundary; I'm not sure or no answer keeps exact dates withheld without blocking charting.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Allow mucus observations on every bleeding day. Heavy/moderate flow days are not automated Peak candidates.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If a Peak-type sign is recorded with light/very-light flow or spotting, preserve it and route the chart to review; do not automatically select that day as Peak in the first release.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4. Peak-type, possible Peak, and retrospective Peak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A Peak-type day contains a clear, stretchy, or lubricative/slippery observation. The most recent Peak-type day is only a possible Peak while later observations are incomplete.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Mark Peak Day retrospectively only after the next three consecutive calendar days are present, observed, and contain no Peak-type sign. A later Peak-type sign resets the possible Peak to the later day.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Do not require a numeric step-down relationship among P+1, P+2, and P+3; require only three consecutive observed non-Peak-type days.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For an eligible simple chart, P+3 may be the displayed 'through' date of a Possible fertile pattern. It must not be presented as confirmed ovulation, biological fertility ending, or an infertile/safe-day boundary.</w:t>
      </w:r>
    </w:p>
    <w:p>
      <w:r>
        <w:br w:type="page"/>
      </w:r>
    </w:p>
    <w:p>
      <w:pPr>
        <w:pStyle w:val="Heading1"/>
        <w:spacing w:before="0" w:after="60"/>
      </w:pPr>
      <w:r>
        <w:rPr>
          <w:rFonts w:ascii="Arial" w:hAnsi="Arial"/>
          <w:b/>
          <w:color w:val="754B47"/>
          <w:sz w:val="32"/>
        </w:rPr>
        <w:t>Recommendations continued</w:t>
      </w:r>
    </w:p>
    <w:p>
      <w:pPr>
        <w:spacing w:after="100"/>
      </w:pPr>
      <w:r>
        <w:rPr>
          <w:rFonts w:ascii="Arial" w:hAnsi="Arial"/>
          <w:i/>
          <w:color w:val="6F6663"/>
          <w:sz w:val="18"/>
        </w:rPr>
        <w:t>The practitioner may accept these as conservative interim product rules or specify the smallest required clinical correction.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5. Gaps, not-observed days, and past edits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Treat an absent date and an explicit not-observed day the same for automation when either falls from the possible Peak through P+3: do not confirm Peak.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An earlier gap does not erase the chart, but it prevents claims about a complete pattern boundary and makes that cycle ineligible for history comparisons.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Past edits recalculate the Peak marker, plus-count, pattern eligibility, and history. Later non-Peak mucus stays visible without reopening a completed presentation; a later Peak-type sign supersedes it and starts a new three-day follow-up.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6. Repeated, continuous, BIP-like, and special-context charts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A later Peak-type sign becomes the active possible Peak; keep the earlier sign visible as an observation. Hide the derived Peak/P+ display until the new three-day follow-up completes, then display the later qualifying sequence.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For continuous Peak-type mucus, continuous lower-quality mucus, non-Peak-only patterns, or a possible Basic Infertile Pattern, provide charting only; do not invent a Peak or BIP.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For every special context, keep charting/editing/export available and recommend qualified support without locking or unlocking the app. Because these contexts are not collected in this release, Help states that a date may still appear and has not accounted for the context.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7. Ordinary-user terminology and Possible fertile pattern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Use: 'Peak-type observation based on what you recorded,' 'possible Peak Day,' 'Peak Day based on your chart,' 'P+1/P+2/P+3,' and 'Possible fertile pattern — based on your logged observations.'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While mucus signs are present and the chart is still forming, say only that a possible pattern may be developing; show no start/end dates or band. For an eligible simple chart after P+3, show the first approved mucus observation through P+3.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Place this limitation beside exact dates: 'This chart-based estimate does not confirm ovulation, identify safe or infertile days, predict pregnancy, or provide pregnancy-avoidance guidance. Special contexts—including postpartum or breastfeeding, perimenopause, recent hormones, relevant medication effects, and persistent discharge—are not supported or accounted for in this first release.'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Do not use: definitive fertile window, fertile/infertile day, safe day, Fertile Start/End, Total fertile days, past/closed window, confirmed ovulation, most fertile day confirmed, confidence scores, diagnosis, pregnancy prediction, or future fertile-window shading.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Do not describe Well Within as Creighton-certified, affiliated, licensed, or clinically validated unless separate evidence actually establishes that status.</w:t>
      </w:r>
    </w:p>
    <w:p>
      <w:pPr>
        <w:pStyle w:val="Heading2"/>
        <w:keepNext/>
      </w:pPr>
      <w:r>
        <w:rPr>
          <w:rFonts w:ascii="Arial" w:hAnsi="Arial"/>
          <w:b/>
          <w:color w:val="754B47"/>
          <w:sz w:val="22"/>
        </w:rPr>
        <w:t>8. History eligibility and comparisons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Include only completed cycles with an eligible Cycle Day 1, full date coverage through P+3, one currently marked Peak, no unresolved contradiction, and no later Peak-type candidate still awaiting its three-day follow-up.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Require at least three eligible completed cycles before showing history comparisons. This is a conservative product threshold, not a clinical norm.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Show raw dates plus median and range only. A permitted example is: 'Across N eligible completed cycles, the first recorded mucus sign occurred on Cycle Days X-Y, and the Peak marker occurred on A-B.' Do not label the pattern usual, expected, normal, abnormal, or predict the active cycle.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color w:val="3E3533"/>
          <w:sz w:val="18"/>
        </w:rPr>
        <w:t>Before release, have the practitioner independently mark a de-identified conformance set spanning standard, bleeding-plus-mucus, gap, repeated, continuous, and special-context cases. Treat this as rule conformance, not clinical validation.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EAE7"/>
          <w:left w:val="single" w:sz="2" w:space="0" w:color="F5EAE7"/>
          <w:bottom w:val="single" w:sz="2" w:space="0" w:color="F5EAE7"/>
          <w:right w:val="single" w:sz="2" w:space="0" w:color="F5EAE7"/>
          <w:insideH w:val="single" w:sz="2" w:space="0" w:color="F5EAE7"/>
          <w:insideV w:val="single" w:sz="2" w:space="0" w:color="F5EA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EAE7"/>
          </w:tcPr>
          <w:p>
            <w:pPr>
              <w:spacing w:after="0" w:line="254" w:lineRule="auto"/>
            </w:pPr>
            <w:r>
              <w:rPr>
                <w:rFonts w:ascii="Arial" w:hAnsi="Arial"/>
                <w:b/>
                <w:color w:val="754B47"/>
                <w:sz w:val="18"/>
              </w:rPr>
              <w:t xml:space="preserve">Fastest useful response  </w:t>
            </w:r>
            <w:r>
              <w:rPr>
                <w:rFonts w:ascii="Arial" w:hAnsi="Arial"/>
                <w:color w:val="3E3533"/>
                <w:sz w:val="18"/>
              </w:rPr>
              <w:t>Overall: [ ] No material clinical objection  [ ] Corrections attached. If acceptable, write 'No material clinical objection to the consolidated interim rule set, including Possible fertile pattern.' Separate legal, licensing, trademark, privacy, regulatory, and claim review remains required.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rPr>
          <w:rFonts w:ascii="Arial" w:hAnsi="Arial"/>
          <w:b/>
          <w:color w:val="754B47"/>
          <w:sz w:val="23"/>
        </w:rPr>
        <w:t>Public evidence used</w:t>
      </w:r>
    </w:p>
    <w:p>
      <w:pPr>
        <w:pStyle w:val="SmallNote"/>
        <w:spacing w:after="0" w:line="240" w:lineRule="auto"/>
        <w:ind w:left="0" w:firstLine="0"/>
      </w:pPr>
      <w:r>
        <w:rPr>
          <w:rFonts w:ascii="Arial" w:hAnsi="Arial"/>
          <w:b/>
          <w:color w:val="754B47"/>
          <w:sz w:val="14"/>
        </w:rPr>
        <w:t xml:space="preserve">[1] </w:t>
      </w:r>
      <w:hyperlink r:id="rId12">
        <w:r>
          <w:rPr>
            <w:rFonts w:ascii="Arial" w:hAnsi="Arial"/>
            <w:color w:val="7C4F70"/>
            <w:u w:val="single"/>
          </w:rPr>
          <w:t>Saint Paul VI Institute. CrMS App Copyright public sample (2019), p. 3.</w:t>
        </w:r>
      </w:hyperlink>
      <w:r>
        <w:rPr>
          <w:rFonts w:ascii="Arial" w:hAnsi="Arial"/>
          <w:color w:val="6F6663"/>
          <w:sz w:val="14"/>
        </w:rPr>
        <w:br/>
      </w:r>
      <w:r>
        <w:rPr>
          <w:rFonts w:ascii="Arial" w:hAnsi="Arial"/>
          <w:b/>
          <w:color w:val="754B47"/>
          <w:sz w:val="14"/>
        </w:rPr>
        <w:t xml:space="preserve">[2] </w:t>
      </w:r>
      <w:hyperlink r:id="rId13">
        <w:r>
          <w:rPr>
            <w:rFonts w:ascii="Arial" w:hAnsi="Arial"/>
            <w:color w:val="7C4F70"/>
            <w:u w:val="single"/>
          </w:rPr>
          <w:t>Creighton Model FertilityCare System. Background (public overview).</w:t>
        </w:r>
      </w:hyperlink>
      <w:r>
        <w:rPr>
          <w:rFonts w:ascii="Arial" w:hAnsi="Arial"/>
          <w:color w:val="6F6663"/>
          <w:sz w:val="14"/>
        </w:rPr>
        <w:br/>
      </w:r>
      <w:r>
        <w:rPr>
          <w:rFonts w:ascii="Arial" w:hAnsi="Arial"/>
          <w:b/>
          <w:color w:val="754B47"/>
          <w:sz w:val="14"/>
        </w:rPr>
        <w:t xml:space="preserve">[3] </w:t>
      </w:r>
      <w:hyperlink r:id="rId14">
        <w:r>
          <w:rPr>
            <w:rFonts w:ascii="Arial" w:hAnsi="Arial"/>
            <w:color w:val="7C4F70"/>
            <w:u w:val="single"/>
          </w:rPr>
          <w:t>Stanford JB et al. Paediatr Perinat Epidemiol. 2020;34:105-113. doi:10.1111/ppe.12642.</w:t>
        </w:r>
      </w:hyperlink>
      <w:r>
        <w:rPr>
          <w:rFonts w:ascii="Arial" w:hAnsi="Arial"/>
          <w:color w:val="6F6663"/>
          <w:sz w:val="14"/>
        </w:rPr>
        <w:br/>
      </w:r>
      <w:r>
        <w:rPr>
          <w:rFonts w:ascii="Arial" w:hAnsi="Arial"/>
          <w:b/>
          <w:color w:val="754B47"/>
          <w:sz w:val="14"/>
        </w:rPr>
        <w:t xml:space="preserve">[4] </w:t>
      </w:r>
      <w:hyperlink r:id="rId15">
        <w:r>
          <w:rPr>
            <w:rFonts w:ascii="Arial" w:hAnsi="Arial"/>
            <w:color w:val="7C4F70"/>
            <w:u w:val="single"/>
          </w:rPr>
          <w:t>Najmabadi S et al. Hum Reprod. 2021;36:1784-1795. doi:10.1093/humrep/deab049.</w:t>
        </w:r>
      </w:hyperlink>
      <w:r>
        <w:rPr>
          <w:rFonts w:ascii="Arial" w:hAnsi="Arial"/>
          <w:color w:val="6F6663"/>
          <w:sz w:val="14"/>
        </w:rPr>
        <w:br/>
      </w:r>
      <w:r>
        <w:rPr>
          <w:rFonts w:ascii="Arial" w:hAnsi="Arial"/>
          <w:b/>
          <w:color w:val="754B47"/>
          <w:sz w:val="14"/>
        </w:rPr>
        <w:t xml:space="preserve">[5] </w:t>
      </w:r>
      <w:hyperlink r:id="rId16">
        <w:r>
          <w:rPr>
            <w:rFonts w:ascii="Arial" w:hAnsi="Arial"/>
            <w:color w:val="7C4F70"/>
            <w:u w:val="single"/>
          </w:rPr>
          <w:t>CDC. U.S. MEC Appendix F: Fertility Awareness-Based Methods.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864" w:right="1123" w:bottom="792" w:left="1123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7650"/>
      <w:gridCol w:w="1710"/>
    </w:tblGrid>
    <w:tr>
      <w:tc>
        <w:tcPr>
          <w:tcW w:type="dxa" w:w="765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</w:pPr>
          <w:r>
            <w:rPr>
              <w:rFonts w:ascii="Arial" w:hAnsi="Arial"/>
              <w:color w:val="6F6663"/>
              <w:sz w:val="14"/>
            </w:rPr>
            <w:t>AI-recommended interim rules | Practitioner confirmation requested | Not method or license approval</w:t>
          </w:r>
        </w:p>
      </w:tc>
      <w:tc>
        <w:tcPr>
          <w:tcW w:type="dxa" w:w="171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jc w:val="right"/>
          </w:pPr>
          <w:r>
            <w:rPr>
              <w:rFonts w:ascii="Arial" w:hAnsi="Arial"/>
              <w:color w:val="6F666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663"/>
        <w:sz w:val="14"/>
      </w:rPr>
      <w:t>Well Within | AI-recommended interim product rules | Practitioner confirmation requested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color w:val="6F6663"/>
        <w:sz w:val="16"/>
      </w:rPr>
      <w:t>WELL WITHIN  |  PRACTITIONER CONFIRMATION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3E35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754B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A96F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754B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54B4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Arial" w:hAnsi="Arial"/>
      <w:i/>
      <w:iCs/>
      <w:color w:val="6F666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45" w:lineRule="auto"/>
    </w:pPr>
    <w:rPr>
      <w:rFonts w:ascii="Arial" w:hAnsi="Arial"/>
      <w:color w:val="6F666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saintpaulvi.com/PDF/CrMS_App_Copyright.pdf" TargetMode="External"/><Relationship Id="rId13" Type="http://schemas.openxmlformats.org/officeDocument/2006/relationships/hyperlink" Target="https://creightonmodel.com/background/" TargetMode="External"/><Relationship Id="rId14" Type="http://schemas.openxmlformats.org/officeDocument/2006/relationships/hyperlink" Target="https://pmc.ncbi.nlm.nih.gov/articles/PMC8495767/" TargetMode="External"/><Relationship Id="rId15" Type="http://schemas.openxmlformats.org/officeDocument/2006/relationships/hyperlink" Target="https://pmc.ncbi.nlm.nih.gov/articles/PMC8487651/" TargetMode="External"/><Relationship Id="rId16" Type="http://schemas.openxmlformats.org/officeDocument/2006/relationships/hyperlink" Target="https://www.cdc.gov/contraception/hcp/usmec/fertility-awareness-based-metho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 Within Practitioner Confirmation Brief - AI Recommended</dc:title>
  <dc:subject>Concrete interim product rules for qualified practitioner confirmation</dc:subject>
  <dc:creator>Well Within - AI Recommended Draft</dc:creator>
  <cp:keywords/>
  <dc:description>Independent conservative product recommendations. Not a claim of official CrMS rules, clinical validation, affiliation, license, or legal/regulatory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