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A96F68"/>
          <w:sz w:val="24"/>
        </w:rPr>
        <w:t>AI RESEARCH DRAFT</w:t>
      </w:r>
    </w:p>
    <w:p>
      <w:pPr>
        <w:pStyle w:val="Title"/>
        <w:keepNext/>
        <w:keepLines/>
      </w:pPr>
      <w:r>
        <w:t>Well Within</w:t>
      </w:r>
    </w:p>
    <w:p>
      <w:pPr>
        <w:pStyle w:val="Subtitle"/>
        <w:keepNext/>
        <w:keepLines/>
      </w:pPr>
      <w:r>
        <w:t>Clinical Decision Records | Public-Evidence Prefill</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900"/>
        <w:gridCol w:w="7460"/>
      </w:tblGrid>
      <w:tr>
        <w:trPr>
          <w:cantSplit/>
        </w:trPr>
        <w:tc>
          <w:tcPr>
            <w:tcW w:type="dxa" w:w="1900"/>
            <w:shd w:fill="F3F1F0"/>
            <w:vAlign w:val="center"/>
            <w:tcMar>
              <w:top w:w="100" w:type="dxa"/>
              <w:start w:w="120" w:type="dxa"/>
              <w:bottom w:w="100" w:type="dxa"/>
              <w:end w:w="120" w:type="dxa"/>
            </w:tcMar>
          </w:tcPr>
          <w:p>
            <w:pPr>
              <w:spacing w:after="0" w:line="252" w:lineRule="auto"/>
            </w:pPr>
            <w:r/>
            <w:r>
              <w:rPr>
                <w:rFonts w:ascii="Calibri" w:hAnsi="Calibri"/>
                <w:b/>
                <w:color w:val="754B47"/>
                <w:sz w:val="18"/>
              </w:rPr>
              <w:t>Prepared for</w:t>
            </w:r>
          </w:p>
        </w:tc>
        <w:tc>
          <w:tcPr>
            <w:tcW w:type="dxa" w:w="7460"/>
            <w:vAlign w:val="center"/>
            <w:tcMar>
              <w:top w:w="100" w:type="dxa"/>
              <w:start w:w="120" w:type="dxa"/>
              <w:bottom w:w="100" w:type="dxa"/>
              <w:end w:w="120" w:type="dxa"/>
            </w:tcMar>
          </w:tcPr>
          <w:p>
            <w:pPr>
              <w:spacing w:after="0" w:line="252" w:lineRule="auto"/>
            </w:pPr>
            <w:r/>
            <w:r>
              <w:rPr>
                <w:rFonts w:ascii="Calibri" w:hAnsi="Calibri"/>
                <w:b w:val="0"/>
                <w:color w:val="3E3533"/>
                <w:sz w:val="18"/>
              </w:rPr>
              <w:t>A qualified current Creighton/FABM clinical reviewer</w:t>
            </w:r>
          </w:p>
        </w:tc>
      </w:tr>
      <w:tr>
        <w:trPr>
          <w:cantSplit/>
        </w:trPr>
        <w:tc>
          <w:tcPr>
            <w:tcW w:type="dxa" w:w="1900"/>
            <w:shd w:fill="F3F1F0"/>
            <w:vAlign w:val="center"/>
            <w:tcMar>
              <w:top w:w="100" w:type="dxa"/>
              <w:start w:w="120" w:type="dxa"/>
              <w:bottom w:w="100" w:type="dxa"/>
              <w:end w:w="120" w:type="dxa"/>
            </w:tcMar>
          </w:tcPr>
          <w:p>
            <w:pPr>
              <w:spacing w:after="0" w:line="252" w:lineRule="auto"/>
            </w:pPr>
            <w:r/>
            <w:r>
              <w:rPr>
                <w:rFonts w:ascii="Calibri" w:hAnsi="Calibri"/>
                <w:b/>
                <w:color w:val="754B47"/>
                <w:sz w:val="18"/>
              </w:rPr>
              <w:t>Purpose</w:t>
            </w:r>
          </w:p>
        </w:tc>
        <w:tc>
          <w:tcPr>
            <w:tcW w:type="dxa" w:w="7460"/>
            <w:vAlign w:val="center"/>
            <w:tcMar>
              <w:top w:w="100" w:type="dxa"/>
              <w:start w:w="120" w:type="dxa"/>
              <w:bottom w:w="100" w:type="dxa"/>
              <w:end w:w="120" w:type="dxa"/>
            </w:tcMar>
          </w:tcPr>
          <w:p>
            <w:pPr>
              <w:spacing w:after="0" w:line="252" w:lineRule="auto"/>
            </w:pPr>
            <w:r/>
            <w:r>
              <w:rPr>
                <w:rFonts w:ascii="Calibri" w:hAnsi="Calibri"/>
                <w:b w:val="0"/>
                <w:color w:val="3E3533"/>
                <w:sz w:val="18"/>
              </w:rPr>
              <w:t>Reduce review time by separating public support, product-specific unknowns, and required decisions</w:t>
            </w:r>
          </w:p>
        </w:tc>
      </w:tr>
      <w:tr>
        <w:trPr>
          <w:cantSplit/>
        </w:trPr>
        <w:tc>
          <w:tcPr>
            <w:tcW w:type="dxa" w:w="1900"/>
            <w:shd w:fill="F3F1F0"/>
            <w:vAlign w:val="center"/>
            <w:tcMar>
              <w:top w:w="100" w:type="dxa"/>
              <w:start w:w="120" w:type="dxa"/>
              <w:bottom w:w="100" w:type="dxa"/>
              <w:end w:w="120" w:type="dxa"/>
            </w:tcMar>
          </w:tcPr>
          <w:p>
            <w:pPr>
              <w:spacing w:after="0" w:line="252" w:lineRule="auto"/>
            </w:pPr>
            <w:r/>
            <w:r>
              <w:rPr>
                <w:rFonts w:ascii="Calibri" w:hAnsi="Calibri"/>
                <w:b/>
                <w:color w:val="754B47"/>
                <w:sz w:val="18"/>
              </w:rPr>
              <w:t>Evidence cutoff</w:t>
            </w:r>
          </w:p>
        </w:tc>
        <w:tc>
          <w:tcPr>
            <w:tcW w:type="dxa" w:w="7460"/>
            <w:vAlign w:val="center"/>
            <w:tcMar>
              <w:top w:w="100" w:type="dxa"/>
              <w:start w:w="120" w:type="dxa"/>
              <w:bottom w:w="100" w:type="dxa"/>
              <w:end w:w="120" w:type="dxa"/>
            </w:tcMar>
          </w:tcPr>
          <w:p>
            <w:pPr>
              <w:spacing w:after="0" w:line="252" w:lineRule="auto"/>
            </w:pPr>
            <w:r/>
            <w:r>
              <w:rPr>
                <w:rFonts w:ascii="Calibri" w:hAnsi="Calibri"/>
                <w:b w:val="0"/>
                <w:color w:val="3E3533"/>
                <w:sz w:val="18"/>
              </w:rPr>
              <w:t>July 13, 2026</w:t>
            </w:r>
          </w:p>
        </w:tc>
      </w:tr>
      <w:tr>
        <w:trPr>
          <w:cantSplit/>
        </w:trPr>
        <w:tc>
          <w:tcPr>
            <w:tcW w:type="dxa" w:w="1900"/>
            <w:shd w:fill="F3F1F0"/>
            <w:vAlign w:val="center"/>
            <w:tcMar>
              <w:top w:w="100" w:type="dxa"/>
              <w:start w:w="120" w:type="dxa"/>
              <w:bottom w:w="100" w:type="dxa"/>
              <w:end w:w="120" w:type="dxa"/>
            </w:tcMar>
          </w:tcPr>
          <w:p>
            <w:pPr>
              <w:spacing w:after="0" w:line="252" w:lineRule="auto"/>
            </w:pPr>
            <w:r/>
            <w:r>
              <w:rPr>
                <w:rFonts w:ascii="Calibri" w:hAnsi="Calibri"/>
                <w:b/>
                <w:color w:val="754B47"/>
                <w:sz w:val="18"/>
              </w:rPr>
              <w:t>Implementation context</w:t>
            </w:r>
          </w:p>
        </w:tc>
        <w:tc>
          <w:tcPr>
            <w:tcW w:type="dxa" w:w="7460"/>
            <w:vAlign w:val="center"/>
            <w:tcMar>
              <w:top w:w="100" w:type="dxa"/>
              <w:start w:w="120" w:type="dxa"/>
              <w:bottom w:w="100" w:type="dxa"/>
              <w:end w:w="120" w:type="dxa"/>
            </w:tcMar>
          </w:tcPr>
          <w:p>
            <w:pPr>
              <w:spacing w:after="0" w:line="252" w:lineRule="auto"/>
            </w:pPr>
            <w:r/>
            <w:r>
              <w:rPr>
                <w:rFonts w:ascii="Calibri" w:hAnsi="Calibri"/>
                <w:b w:val="0"/>
                <w:color w:val="3E3533"/>
                <w:sz w:val="18"/>
              </w:rPr>
              <w:t>Action 5 audit documents; no app or rules-engine changes</w:t>
            </w:r>
          </w:p>
        </w:tc>
      </w:tr>
    </w:tbl>
    <w:p>
      <w:pPr>
        <w:spacing w:after="120"/>
      </w:pPr>
    </w:p>
    <w:tbl>
      <w:tblPr>
        <w:tblW w:type="dxa" w:w="9360"/>
        <w:tblLayout w:type="fixed"/>
        <w:tblLook w:firstColumn="1" w:firstRow="1" w:lastColumn="0" w:lastRow="0" w:noHBand="0" w:noVBand="1" w:val="04A0"/>
        <w:tblInd w:w="120" w:type="dxa"/>
        <w:tblBorders>
          <w:top w:val="single" w:sz="2" w:space="0" w:color="F6F0DD"/>
          <w:left w:val="single" w:sz="2" w:space="0" w:color="F6F0DD"/>
          <w:bottom w:val="single" w:sz="2" w:space="0" w:color="F6F0DD"/>
          <w:right w:val="single" w:sz="2" w:space="0" w:color="F6F0DD"/>
          <w:insideH w:val="single" w:sz="2" w:space="0" w:color="F6F0DD"/>
          <w:insideV w:val="single" w:sz="2" w:space="0" w:color="F6F0DD"/>
        </w:tblBorders>
      </w:tblPr>
      <w:tblGrid>
        <w:gridCol w:w="9360"/>
      </w:tblGrid>
      <w:tr>
        <w:trPr>
          <w:cantSplit/>
        </w:trPr>
        <w:tc>
          <w:tcPr>
            <w:tcW w:type="dxa" w:w="9360"/>
            <w:vAlign w:val="center"/>
            <w:tcMar>
              <w:top w:w="100" w:type="dxa"/>
              <w:start w:w="120" w:type="dxa"/>
              <w:bottom w:w="100" w:type="dxa"/>
              <w:end w:w="120" w:type="dxa"/>
            </w:tcMar>
            <w:shd w:fill="F6F0DD"/>
          </w:tcPr>
          <w:p>
            <w:pPr>
              <w:spacing w:after="0" w:line="276" w:lineRule="auto"/>
            </w:pPr>
            <w:r>
              <w:rPr>
                <w:rFonts w:ascii="Calibri" w:hAnsi="Calibri"/>
                <w:b/>
                <w:color w:val="754B47"/>
                <w:sz w:val="21"/>
              </w:rPr>
              <w:t xml:space="preserve">Research conclusion  </w:t>
            </w:r>
            <w:r>
              <w:rPr>
                <w:rFonts w:ascii="Calibri" w:hAnsi="Calibri"/>
                <w:color w:val="3E3533"/>
                <w:sz w:val="21"/>
              </w:rPr>
              <w:t>No public source located validates Well Within's complete implementation. Ten decisions have mixed evidence: the general method concept is supported, but the exact software rule is unresolved. Three decisions have insufficient evidence. The product owner reports a practitioner working direction, but this AI draft does not create credentials, attestation, signature, or product-specific validation.</w:t>
            </w:r>
          </w:p>
        </w:tc>
      </w:tr>
    </w:tbl>
    <w:p>
      <w:pPr>
        <w:spacing w:after="40"/>
      </w:pPr>
    </w:p>
    <w:tbl>
      <w:tblPr>
        <w:tblW w:type="dxa" w:w="9360"/>
        <w:tblLayout w:type="fixed"/>
        <w:tblLook w:firstColumn="1" w:firstRow="1" w:lastColumn="0" w:lastRow="0" w:noHBand="0" w:noVBand="1" w:val="04A0"/>
        <w:tblInd w:w="120" w:type="dxa"/>
        <w:tblBorders>
          <w:top w:val="single" w:sz="2" w:space="0" w:color="F5EAE7"/>
          <w:left w:val="single" w:sz="2" w:space="0" w:color="F5EAE7"/>
          <w:bottom w:val="single" w:sz="2" w:space="0" w:color="F5EAE7"/>
          <w:right w:val="single" w:sz="2" w:space="0" w:color="F5EAE7"/>
          <w:insideH w:val="single" w:sz="2" w:space="0" w:color="F5EAE7"/>
          <w:insideV w:val="single" w:sz="2" w:space="0" w:color="F5EAE7"/>
        </w:tblBorders>
      </w:tblPr>
      <w:tblGrid>
        <w:gridCol w:w="9360"/>
      </w:tblGrid>
      <w:tr>
        <w:trPr>
          <w:cantSplit/>
        </w:trPr>
        <w:tc>
          <w:tcPr>
            <w:tcW w:type="dxa" w:w="9360"/>
            <w:vAlign w:val="center"/>
            <w:tcMar>
              <w:top w:w="100" w:type="dxa"/>
              <w:start w:w="120" w:type="dxa"/>
              <w:bottom w:w="100" w:type="dxa"/>
              <w:end w:w="120" w:type="dxa"/>
            </w:tcMar>
            <w:shd w:fill="F5EAE7"/>
          </w:tcPr>
          <w:p>
            <w:pPr>
              <w:spacing w:after="0" w:line="276" w:lineRule="auto"/>
            </w:pPr>
            <w:r>
              <w:rPr>
                <w:rFonts w:ascii="Calibri" w:hAnsi="Calibri"/>
                <w:b/>
                <w:color w:val="754B47"/>
                <w:sz w:val="21"/>
              </w:rPr>
              <w:t xml:space="preserve">Use boundary  </w:t>
            </w:r>
            <w:r>
              <w:rPr>
                <w:rFonts w:ascii="Calibri" w:hAnsi="Calibri"/>
                <w:color w:val="3E3533"/>
                <w:sz w:val="21"/>
              </w:rPr>
              <w:t>This editable draft is research support, not clinical, legal, regulatory, trademark, copyright, licensing, or product approval. It does not complete reviewer credentials, attestation, or signature. It does not infer rules from an unauthorized Creighton manual.</w:t>
            </w:r>
          </w:p>
        </w:tc>
      </w:tr>
    </w:tbl>
    <w:p>
      <w:pPr>
        <w:spacing w:after="40"/>
      </w:pPr>
    </w:p>
    <w:tbl>
      <w:tblPr>
        <w:tblW w:type="dxa" w:w="9360"/>
        <w:tblLayout w:type="fixed"/>
        <w:tblLook w:firstColumn="1" w:firstRow="1" w:lastColumn="0" w:lastRow="0" w:noHBand="0" w:noVBand="1" w:val="04A0"/>
        <w:tblInd w:w="120" w:type="dxa"/>
        <w:tblBorders>
          <w:top w:val="single" w:sz="2" w:space="0" w:color="EAF1ED"/>
          <w:left w:val="single" w:sz="2" w:space="0" w:color="EAF1ED"/>
          <w:bottom w:val="single" w:sz="2" w:space="0" w:color="EAF1ED"/>
          <w:right w:val="single" w:sz="2" w:space="0" w:color="EAF1ED"/>
          <w:insideH w:val="single" w:sz="2" w:space="0" w:color="EAF1ED"/>
          <w:insideV w:val="single" w:sz="2" w:space="0" w:color="EAF1ED"/>
        </w:tblBorders>
      </w:tblPr>
      <w:tblGrid>
        <w:gridCol w:w="9360"/>
      </w:tblGrid>
      <w:tr>
        <w:trPr>
          <w:cantSplit/>
        </w:trPr>
        <w:tc>
          <w:tcPr>
            <w:tcW w:type="dxa" w:w="9360"/>
            <w:vAlign w:val="center"/>
            <w:tcMar>
              <w:top w:w="100" w:type="dxa"/>
              <w:start w:w="120" w:type="dxa"/>
              <w:bottom w:w="100" w:type="dxa"/>
              <w:end w:w="120" w:type="dxa"/>
            </w:tcMar>
            <w:shd w:fill="EAF1ED"/>
          </w:tcPr>
          <w:p>
            <w:pPr>
              <w:spacing w:after="0" w:line="276" w:lineRule="auto"/>
            </w:pPr>
            <w:r>
              <w:rPr>
                <w:rFonts w:ascii="Calibri" w:hAnsi="Calibri"/>
                <w:b/>
                <w:color w:val="754B47"/>
                <w:sz w:val="21"/>
              </w:rPr>
              <w:t xml:space="preserve">Reviewer path  </w:t>
            </w:r>
            <w:r>
              <w:rPr>
                <w:rFonts w:ascii="Calibri" w:hAnsi="Calibri"/>
                <w:color w:val="3E3533"/>
                <w:sz w:val="21"/>
              </w:rPr>
              <w:t>Start with the action dashboard and eight cross-cutting questions. Then review only the decision pages and fixtures relevant to the initial supported release.</w:t>
            </w:r>
          </w:p>
        </w:tc>
      </w:tr>
    </w:tbl>
    <w:p>
      <w:pPr>
        <w:spacing w:after="40"/>
      </w:pPr>
    </w:p>
    <w:tbl>
      <w:tblPr>
        <w:tblW w:type="dxa" w:w="9360"/>
        <w:tblLayout w:type="fixed"/>
        <w:tblLook w:firstColumn="1" w:firstRow="1" w:lastColumn="0" w:lastRow="0" w:noHBand="0" w:noVBand="1" w:val="04A0"/>
        <w:tblInd w:w="120" w:type="dxa"/>
        <w:tblBorders>
          <w:top w:val="single" w:sz="2" w:space="0" w:color="EAF1ED"/>
          <w:left w:val="single" w:sz="2" w:space="0" w:color="EAF1ED"/>
          <w:bottom w:val="single" w:sz="2" w:space="0" w:color="EAF1ED"/>
          <w:right w:val="single" w:sz="2" w:space="0" w:color="EAF1ED"/>
          <w:insideH w:val="single" w:sz="2" w:space="0" w:color="EAF1ED"/>
          <w:insideV w:val="single" w:sz="2" w:space="0" w:color="EAF1ED"/>
        </w:tblBorders>
      </w:tblPr>
      <w:tblGrid>
        <w:gridCol w:w="9360"/>
      </w:tblGrid>
      <w:tr>
        <w:trPr>
          <w:cantSplit/>
        </w:trPr>
        <w:tc>
          <w:tcPr>
            <w:tcW w:type="dxa" w:w="9360"/>
            <w:vAlign w:val="center"/>
            <w:tcMar>
              <w:top w:w="100" w:type="dxa"/>
              <w:start w:w="120" w:type="dxa"/>
              <w:bottom w:w="100" w:type="dxa"/>
              <w:end w:w="120" w:type="dxa"/>
            </w:tcMar>
            <w:shd w:fill="EAF1ED"/>
          </w:tcPr>
          <w:p>
            <w:pPr>
              <w:spacing w:after="0" w:line="276" w:lineRule="auto"/>
            </w:pPr>
            <w:r>
              <w:rPr>
                <w:rFonts w:ascii="Calibri" w:hAnsi="Calibri"/>
                <w:b/>
                <w:color w:val="754B47"/>
                <w:sz w:val="21"/>
              </w:rPr>
              <w:t xml:space="preserve">Phase 1C working direction  </w:t>
            </w:r>
            <w:r>
              <w:rPr>
                <w:rFonts w:ascii="Calibri" w:hAnsi="Calibri"/>
                <w:color w:val="3E3533"/>
                <w:sz w:val="21"/>
              </w:rPr>
              <w:t>For planning, treat the interim clinical recommendations as accepted and add a narrowly eligible 'Possible fertile pattern.' While forming, show no exact dates or band. For an eligible retrospective chart, the proposed band runs from the first approved mucus observation through P+3. This records a product-owner-supplied assumption, not a signed reviewer approval.</w:t>
            </w:r>
          </w:p>
        </w:tc>
      </w:tr>
    </w:tbl>
    <w:p>
      <w:pPr>
        <w:spacing w:after="40"/>
      </w:pPr>
    </w:p>
    <w:p>
      <w:r>
        <w:br w:type="page"/>
      </w:r>
    </w:p>
    <w:p>
      <w:pPr>
        <w:pStyle w:val="Heading1"/>
        <w:keepNext/>
        <w:keepLines/>
      </w:pPr>
      <w:r>
        <w:t>Action dashboard</w:t>
      </w:r>
    </w:p>
    <w:p>
      <w:pPr>
        <w:spacing w:after="80" w:line="264" w:lineRule="auto"/>
      </w:pPr>
      <w:r>
        <w:rPr>
          <w:rFonts w:ascii="Calibri" w:hAnsi="Calibri"/>
          <w:color w:val="3E3533"/>
          <w:sz w:val="18"/>
        </w:rPr>
        <w:t>Fast read: Public evidence supports several broad Creighton concepts, but none of the 13 exact Well Within decisions has product-specific clinical validation. Internal tests establish consistency, not correctness. Phase 1C records a working clinical direction without creating an attestation.</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800"/>
        <w:gridCol w:w="900"/>
        <w:gridCol w:w="6660"/>
      </w:tblGrid>
      <w:tr>
        <w:tc>
          <w:tcPr>
            <w:tcW w:type="dxa" w:w="1800"/>
            <w:shd w:fill="F5EAE7"/>
            <w:vAlign w:val="center"/>
            <w:tcMar>
              <w:top w:w="100" w:type="dxa"/>
              <w:start w:w="120" w:type="dxa"/>
              <w:bottom w:w="100" w:type="dxa"/>
              <w:end w:w="120" w:type="dxa"/>
            </w:tcMar>
          </w:tcPr>
          <w:p>
            <w:pPr>
              <w:spacing w:after="0" w:line="252" w:lineRule="auto"/>
            </w:pPr>
            <w:r/>
            <w:r>
              <w:rPr>
                <w:rFonts w:ascii="Calibri" w:hAnsi="Calibri"/>
                <w:b/>
                <w:color w:val="754B47"/>
                <w:sz w:val="17"/>
              </w:rPr>
              <w:t>Rating</w:t>
            </w:r>
          </w:p>
        </w:tc>
        <w:tc>
          <w:tcPr>
            <w:tcW w:type="dxa" w:w="900"/>
            <w:shd w:fill="F5EAE7"/>
            <w:vAlign w:val="center"/>
            <w:tcMar>
              <w:top w:w="100" w:type="dxa"/>
              <w:start w:w="120" w:type="dxa"/>
              <w:bottom w:w="100" w:type="dxa"/>
              <w:end w:w="120" w:type="dxa"/>
            </w:tcMar>
          </w:tcPr>
          <w:p>
            <w:pPr>
              <w:spacing w:after="0" w:line="252" w:lineRule="auto"/>
            </w:pPr>
            <w:r/>
            <w:r>
              <w:rPr>
                <w:rFonts w:ascii="Calibri" w:hAnsi="Calibri"/>
                <w:b/>
                <w:color w:val="754B47"/>
                <w:sz w:val="17"/>
              </w:rPr>
              <w:t>Count</w:t>
            </w:r>
          </w:p>
        </w:tc>
        <w:tc>
          <w:tcPr>
            <w:tcW w:type="dxa" w:w="6660"/>
            <w:shd w:fill="F5EAE7"/>
            <w:vAlign w:val="center"/>
            <w:tcMar>
              <w:top w:w="100" w:type="dxa"/>
              <w:start w:w="120" w:type="dxa"/>
              <w:bottom w:w="100" w:type="dxa"/>
              <w:end w:w="120" w:type="dxa"/>
            </w:tcMar>
          </w:tcPr>
          <w:p>
            <w:pPr>
              <w:spacing w:after="0" w:line="252" w:lineRule="auto"/>
            </w:pPr>
            <w:r/>
            <w:r>
              <w:rPr>
                <w:rFonts w:ascii="Calibri" w:hAnsi="Calibri"/>
                <w:b/>
                <w:color w:val="754B47"/>
                <w:sz w:val="17"/>
              </w:rPr>
              <w:t>Meaning in this draft</w:t>
            </w:r>
          </w:p>
        </w:tc>
      </w:tr>
      <w:tr>
        <w:trPr>
          <w:cantSplit/>
        </w:trPr>
        <w:tc>
          <w:tcPr>
            <w:tcW w:type="dxa" w:w="1800"/>
            <w:shd w:fill="F6F0DD"/>
            <w:vAlign w:val="center"/>
            <w:tcMar>
              <w:top w:w="100" w:type="dxa"/>
              <w:start w:w="120" w:type="dxa"/>
              <w:bottom w:w="100" w:type="dxa"/>
              <w:end w:w="120" w:type="dxa"/>
            </w:tcMar>
          </w:tcPr>
          <w:p>
            <w:pPr>
              <w:spacing w:after="0" w:line="252" w:lineRule="auto"/>
            </w:pPr>
            <w:r/>
            <w:r>
              <w:rPr>
                <w:rFonts w:ascii="Calibri" w:hAnsi="Calibri"/>
                <w:b/>
                <w:color w:val="7B6427"/>
                <w:sz w:val="17"/>
              </w:rPr>
              <w:t>Mixed</w:t>
            </w:r>
          </w:p>
        </w:tc>
        <w:tc>
          <w:tcPr>
            <w:tcW w:type="dxa" w:w="900"/>
            <w:vAlign w:val="center"/>
            <w:tcMar>
              <w:top w:w="100" w:type="dxa"/>
              <w:start w:w="120" w:type="dxa"/>
              <w:bottom w:w="100" w:type="dxa"/>
              <w:end w:w="120" w:type="dxa"/>
            </w:tcMar>
          </w:tcPr>
          <w:p>
            <w:pPr>
              <w:spacing w:after="0" w:line="252" w:lineRule="auto"/>
            </w:pPr>
            <w:r/>
            <w:r>
              <w:rPr>
                <w:rFonts w:ascii="Calibri" w:hAnsi="Calibri"/>
                <w:b/>
                <w:color w:val="3E3533"/>
                <w:sz w:val="17"/>
              </w:rPr>
              <w:t>10</w:t>
            </w:r>
          </w:p>
        </w:tc>
        <w:tc>
          <w:tcPr>
            <w:tcW w:type="dxa" w:w="6660"/>
            <w:vAlign w:val="center"/>
            <w:tcMar>
              <w:top w:w="100" w:type="dxa"/>
              <w:start w:w="120" w:type="dxa"/>
              <w:bottom w:w="100" w:type="dxa"/>
              <w:end w:w="120" w:type="dxa"/>
            </w:tcMar>
          </w:tcPr>
          <w:p>
            <w:pPr>
              <w:spacing w:after="0" w:line="252" w:lineRule="auto"/>
            </w:pPr>
            <w:r/>
            <w:r>
              <w:rPr>
                <w:rFonts w:ascii="Calibri" w:hAnsi="Calibri"/>
                <w:b w:val="0"/>
                <w:color w:val="3E3533"/>
                <w:sz w:val="17"/>
              </w:rPr>
              <w:t>General concept partly supported; exact software rule still needs review.</w:t>
            </w:r>
          </w:p>
        </w:tc>
      </w:tr>
      <w:tr>
        <w:trPr>
          <w:cantSplit/>
        </w:trPr>
        <w:tc>
          <w:tcPr>
            <w:tcW w:type="dxa" w:w="1800"/>
            <w:shd w:fill="F3F1F0"/>
            <w:vAlign w:val="center"/>
            <w:tcMar>
              <w:top w:w="100" w:type="dxa"/>
              <w:start w:w="120" w:type="dxa"/>
              <w:bottom w:w="100" w:type="dxa"/>
              <w:end w:w="120" w:type="dxa"/>
            </w:tcMar>
          </w:tcPr>
          <w:p>
            <w:pPr>
              <w:spacing w:after="0" w:line="252" w:lineRule="auto"/>
            </w:pPr>
            <w:r/>
            <w:r>
              <w:rPr>
                <w:rFonts w:ascii="Calibri" w:hAnsi="Calibri"/>
                <w:b/>
                <w:color w:val="754B47"/>
                <w:sz w:val="17"/>
              </w:rPr>
              <w:t>Insufficient</w:t>
            </w:r>
          </w:p>
        </w:tc>
        <w:tc>
          <w:tcPr>
            <w:tcW w:type="dxa" w:w="900"/>
            <w:vAlign w:val="center"/>
            <w:tcMar>
              <w:top w:w="100" w:type="dxa"/>
              <w:start w:w="120" w:type="dxa"/>
              <w:bottom w:w="100" w:type="dxa"/>
              <w:end w:w="120" w:type="dxa"/>
            </w:tcMar>
          </w:tcPr>
          <w:p>
            <w:pPr>
              <w:spacing w:after="0" w:line="252" w:lineRule="auto"/>
            </w:pPr>
            <w:r/>
            <w:r>
              <w:rPr>
                <w:rFonts w:ascii="Calibri" w:hAnsi="Calibri"/>
                <w:b/>
                <w:color w:val="3E3533"/>
                <w:sz w:val="17"/>
              </w:rPr>
              <w:t>3</w:t>
            </w:r>
          </w:p>
        </w:tc>
        <w:tc>
          <w:tcPr>
            <w:tcW w:type="dxa" w:w="6660"/>
            <w:vAlign w:val="center"/>
            <w:tcMar>
              <w:top w:w="100" w:type="dxa"/>
              <w:start w:w="120" w:type="dxa"/>
              <w:bottom w:w="100" w:type="dxa"/>
              <w:end w:w="120" w:type="dxa"/>
            </w:tcMar>
          </w:tcPr>
          <w:p>
            <w:pPr>
              <w:spacing w:after="0" w:line="252" w:lineRule="auto"/>
            </w:pPr>
            <w:r/>
            <w:r>
              <w:rPr>
                <w:rFonts w:ascii="Calibri" w:hAnsi="Calibri"/>
                <w:b w:val="0"/>
                <w:color w:val="3E3533"/>
                <w:sz w:val="17"/>
              </w:rPr>
              <w:t>No adequate public evidence for the decision.</w:t>
            </w:r>
          </w:p>
        </w:tc>
      </w:tr>
      <w:tr>
        <w:trPr>
          <w:cantSplit/>
        </w:trPr>
        <w:tc>
          <w:tcPr>
            <w:tcW w:type="dxa" w:w="1800"/>
            <w:shd w:fill="EAF1ED"/>
            <w:vAlign w:val="center"/>
            <w:tcMar>
              <w:top w:w="100" w:type="dxa"/>
              <w:start w:w="120" w:type="dxa"/>
              <w:bottom w:w="100" w:type="dxa"/>
              <w:end w:w="120" w:type="dxa"/>
            </w:tcMar>
          </w:tcPr>
          <w:p>
            <w:pPr>
              <w:spacing w:after="0" w:line="252" w:lineRule="auto"/>
            </w:pPr>
            <w:r/>
            <w:r>
              <w:rPr>
                <w:rFonts w:ascii="Calibri" w:hAnsi="Calibri"/>
                <w:b/>
                <w:color w:val="426A58"/>
                <w:sz w:val="17"/>
              </w:rPr>
              <w:t>Supported</w:t>
            </w:r>
          </w:p>
        </w:tc>
        <w:tc>
          <w:tcPr>
            <w:tcW w:type="dxa" w:w="900"/>
            <w:vAlign w:val="center"/>
            <w:tcMar>
              <w:top w:w="100" w:type="dxa"/>
              <w:start w:w="120" w:type="dxa"/>
              <w:bottom w:w="100" w:type="dxa"/>
              <w:end w:w="120" w:type="dxa"/>
            </w:tcMar>
          </w:tcPr>
          <w:p>
            <w:pPr>
              <w:spacing w:after="0" w:line="252" w:lineRule="auto"/>
            </w:pPr>
            <w:r/>
            <w:r>
              <w:rPr>
                <w:rFonts w:ascii="Calibri" w:hAnsi="Calibri"/>
                <w:b/>
                <w:color w:val="3E3533"/>
                <w:sz w:val="17"/>
              </w:rPr>
              <w:t>0</w:t>
            </w:r>
          </w:p>
        </w:tc>
        <w:tc>
          <w:tcPr>
            <w:tcW w:type="dxa" w:w="6660"/>
            <w:vAlign w:val="center"/>
            <w:tcMar>
              <w:top w:w="100" w:type="dxa"/>
              <w:start w:w="120" w:type="dxa"/>
              <w:bottom w:w="100" w:type="dxa"/>
              <w:end w:w="120" w:type="dxa"/>
            </w:tcMar>
          </w:tcPr>
          <w:p>
            <w:pPr>
              <w:spacing w:after="0" w:line="252" w:lineRule="auto"/>
            </w:pPr>
            <w:r/>
            <w:r>
              <w:rPr>
                <w:rFonts w:ascii="Calibri" w:hAnsi="Calibri"/>
                <w:b w:val="0"/>
                <w:color w:val="3E3533"/>
                <w:sz w:val="17"/>
              </w:rPr>
              <w:t>No decision is fully supported for Well Within.</w:t>
            </w:r>
          </w:p>
        </w:tc>
      </w:tr>
      <w:tr>
        <w:trPr>
          <w:cantSplit/>
        </w:trPr>
        <w:tc>
          <w:tcPr>
            <w:tcW w:type="dxa" w:w="1800"/>
            <w:shd w:fill="F5DEDE"/>
            <w:vAlign w:val="center"/>
            <w:tcMar>
              <w:top w:w="100" w:type="dxa"/>
              <w:start w:w="120" w:type="dxa"/>
              <w:bottom w:w="100" w:type="dxa"/>
              <w:end w:w="120" w:type="dxa"/>
            </w:tcMar>
          </w:tcPr>
          <w:p>
            <w:pPr>
              <w:spacing w:after="0" w:line="252" w:lineRule="auto"/>
            </w:pPr>
            <w:r/>
            <w:r>
              <w:rPr>
                <w:rFonts w:ascii="Calibri" w:hAnsi="Calibri"/>
                <w:b/>
                <w:color w:val="8D3E3E"/>
                <w:sz w:val="17"/>
              </w:rPr>
              <w:t>Contradicted</w:t>
            </w:r>
          </w:p>
        </w:tc>
        <w:tc>
          <w:tcPr>
            <w:tcW w:type="dxa" w:w="900"/>
            <w:vAlign w:val="center"/>
            <w:tcMar>
              <w:top w:w="100" w:type="dxa"/>
              <w:start w:w="120" w:type="dxa"/>
              <w:bottom w:w="100" w:type="dxa"/>
              <w:end w:w="120" w:type="dxa"/>
            </w:tcMar>
          </w:tcPr>
          <w:p>
            <w:pPr>
              <w:spacing w:after="0" w:line="252" w:lineRule="auto"/>
            </w:pPr>
            <w:r/>
            <w:r>
              <w:rPr>
                <w:rFonts w:ascii="Calibri" w:hAnsi="Calibri"/>
                <w:b/>
                <w:color w:val="3E3533"/>
                <w:sz w:val="17"/>
              </w:rPr>
              <w:t>0</w:t>
            </w:r>
          </w:p>
        </w:tc>
        <w:tc>
          <w:tcPr>
            <w:tcW w:type="dxa" w:w="6660"/>
            <w:vAlign w:val="center"/>
            <w:tcMar>
              <w:top w:w="100" w:type="dxa"/>
              <w:start w:w="120" w:type="dxa"/>
              <w:bottom w:w="100" w:type="dxa"/>
              <w:end w:w="120" w:type="dxa"/>
            </w:tcMar>
          </w:tcPr>
          <w:p>
            <w:pPr>
              <w:spacing w:after="0" w:line="252" w:lineRule="auto"/>
            </w:pPr>
            <w:r/>
            <w:r>
              <w:rPr>
                <w:rFonts w:ascii="Calibri" w:hAnsi="Calibri"/>
                <w:b w:val="0"/>
                <w:color w:val="3E3533"/>
                <w:sz w:val="17"/>
              </w:rPr>
              <w:t>No whole decision is contradicted; D-04 and D-05 contain contradiction signals.</w:t>
            </w:r>
          </w:p>
        </w:tc>
      </w:tr>
    </w:tbl>
    <w:p>
      <w:pPr>
        <w:pStyle w:val="Heading2"/>
        <w:keepNext/>
        <w:keepLines/>
      </w:pPr>
      <w:r>
        <w:t>Decision map</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4350"/>
        <w:gridCol w:w="1550"/>
        <w:gridCol w:w="3460"/>
      </w:tblGrid>
      <w:tr>
        <w:tc>
          <w:tcPr>
            <w:tcW w:type="dxa" w:w="4350"/>
            <w:shd w:fill="F5EAE7"/>
            <w:vAlign w:val="center"/>
            <w:tcMar>
              <w:top w:w="100" w:type="dxa"/>
              <w:start w:w="120" w:type="dxa"/>
              <w:bottom w:w="100" w:type="dxa"/>
              <w:end w:w="120" w:type="dxa"/>
            </w:tcMar>
          </w:tcPr>
          <w:p>
            <w:pPr>
              <w:spacing w:after="0" w:line="252" w:lineRule="auto"/>
            </w:pPr>
            <w:r/>
            <w:r>
              <w:rPr>
                <w:rFonts w:ascii="Calibri" w:hAnsi="Calibri"/>
                <w:b/>
                <w:color w:val="754B47"/>
                <w:sz w:val="16"/>
              </w:rPr>
              <w:t>Decision</w:t>
            </w:r>
          </w:p>
        </w:tc>
        <w:tc>
          <w:tcPr>
            <w:tcW w:type="dxa" w:w="1550"/>
            <w:shd w:fill="F5EAE7"/>
            <w:vAlign w:val="center"/>
            <w:tcMar>
              <w:top w:w="100" w:type="dxa"/>
              <w:start w:w="120" w:type="dxa"/>
              <w:bottom w:w="100" w:type="dxa"/>
              <w:end w:w="120" w:type="dxa"/>
            </w:tcMar>
          </w:tcPr>
          <w:p>
            <w:pPr>
              <w:spacing w:after="0" w:line="252" w:lineRule="auto"/>
            </w:pPr>
            <w:r/>
            <w:r>
              <w:rPr>
                <w:rFonts w:ascii="Calibri" w:hAnsi="Calibri"/>
                <w:b/>
                <w:color w:val="754B47"/>
                <w:sz w:val="16"/>
              </w:rPr>
              <w:t>Evidence</w:t>
            </w:r>
          </w:p>
        </w:tc>
        <w:tc>
          <w:tcPr>
            <w:tcW w:type="dxa" w:w="3460"/>
            <w:shd w:fill="F5EAE7"/>
            <w:vAlign w:val="center"/>
            <w:tcMar>
              <w:top w:w="100" w:type="dxa"/>
              <w:start w:w="120" w:type="dxa"/>
              <w:bottom w:w="100" w:type="dxa"/>
              <w:end w:w="120" w:type="dxa"/>
            </w:tcMar>
          </w:tcPr>
          <w:p>
            <w:pPr>
              <w:spacing w:after="0" w:line="252" w:lineRule="auto"/>
            </w:pPr>
            <w:r/>
            <w:r>
              <w:rPr>
                <w:rFonts w:ascii="Calibri" w:hAnsi="Calibri"/>
                <w:b/>
                <w:color w:val="754B47"/>
                <w:sz w:val="16"/>
              </w:rPr>
              <w:t>Next qualified-review action</w:t>
            </w:r>
          </w:p>
        </w:tc>
      </w:tr>
      <w:tr>
        <w:trPr>
          <w:cantSplit/>
        </w:trPr>
        <w:tc>
          <w:tcPr>
            <w:tcW w:type="dxa" w:w="4350"/>
            <w:vAlign w:val="center"/>
            <w:tcMar>
              <w:top w:w="100" w:type="dxa"/>
              <w:start w:w="120" w:type="dxa"/>
              <w:bottom w:w="100" w:type="dxa"/>
              <w:end w:w="120" w:type="dxa"/>
            </w:tcMar>
          </w:tcPr>
          <w:p>
            <w:pPr>
              <w:spacing w:after="0" w:line="252" w:lineRule="auto"/>
            </w:pPr>
            <w:r/>
            <w:r>
              <w:rPr>
                <w:rFonts w:ascii="Calibri" w:hAnsi="Calibri"/>
                <w:b/>
                <w:color w:val="3E3533"/>
                <w:sz w:val="15"/>
              </w:rPr>
              <w:t>D-01  Daily observation reduction</w:t>
            </w:r>
          </w:p>
        </w:tc>
        <w:tc>
          <w:tcPr>
            <w:tcW w:type="dxa" w:w="1550"/>
            <w:shd w:fill="F6F0DD"/>
            <w:vAlign w:val="center"/>
            <w:tcMar>
              <w:top w:w="100" w:type="dxa"/>
              <w:start w:w="120" w:type="dxa"/>
              <w:bottom w:w="100" w:type="dxa"/>
              <w:end w:w="120" w:type="dxa"/>
            </w:tcMar>
          </w:tcPr>
          <w:p>
            <w:pPr>
              <w:spacing w:after="0" w:line="252" w:lineRule="auto"/>
            </w:pPr>
            <w:r/>
            <w:r>
              <w:rPr>
                <w:rFonts w:ascii="Calibri" w:hAnsi="Calibri"/>
                <w:b/>
                <w:color w:val="7B6427"/>
                <w:sz w:val="15"/>
              </w:rPr>
              <w:t>Mixed</w:t>
            </w:r>
          </w:p>
        </w:tc>
        <w:tc>
          <w:tcPr>
            <w:tcW w:type="dxa" w:w="3460"/>
            <w:vAlign w:val="center"/>
            <w:tcMar>
              <w:top w:w="100" w:type="dxa"/>
              <w:start w:w="120" w:type="dxa"/>
              <w:bottom w:w="100" w:type="dxa"/>
              <w:end w:w="120" w:type="dxa"/>
            </w:tcMar>
          </w:tcPr>
          <w:p>
            <w:pPr>
              <w:spacing w:after="0" w:line="252" w:lineRule="auto"/>
            </w:pPr>
            <w:r/>
            <w:r>
              <w:rPr>
                <w:rFonts w:ascii="Calibri" w:hAnsi="Calibri"/>
                <w:b w:val="0"/>
                <w:color w:val="3E3533"/>
                <w:sz w:val="15"/>
              </w:rPr>
              <w:t>Adjudicate ranking and conflicts</w:t>
            </w:r>
          </w:p>
        </w:tc>
      </w:tr>
      <w:tr>
        <w:trPr>
          <w:cantSplit/>
        </w:trPr>
        <w:tc>
          <w:tcPr>
            <w:tcW w:type="dxa" w:w="4350"/>
            <w:vAlign w:val="center"/>
            <w:tcMar>
              <w:top w:w="100" w:type="dxa"/>
              <w:start w:w="120" w:type="dxa"/>
              <w:bottom w:w="100" w:type="dxa"/>
              <w:end w:w="120" w:type="dxa"/>
            </w:tcMar>
          </w:tcPr>
          <w:p>
            <w:pPr>
              <w:spacing w:after="0" w:line="252" w:lineRule="auto"/>
            </w:pPr>
            <w:r/>
            <w:r>
              <w:rPr>
                <w:rFonts w:ascii="Calibri" w:hAnsi="Calibri"/>
                <w:b/>
                <w:color w:val="3E3533"/>
                <w:sz w:val="15"/>
              </w:rPr>
              <w:t>D-02  Sensation, appearance, and generated notation</w:t>
            </w:r>
          </w:p>
        </w:tc>
        <w:tc>
          <w:tcPr>
            <w:tcW w:type="dxa" w:w="1550"/>
            <w:shd w:fill="F6F0DD"/>
            <w:vAlign w:val="center"/>
            <w:tcMar>
              <w:top w:w="100" w:type="dxa"/>
              <w:start w:w="120" w:type="dxa"/>
              <w:bottom w:w="100" w:type="dxa"/>
              <w:end w:w="120" w:type="dxa"/>
            </w:tcMar>
          </w:tcPr>
          <w:p>
            <w:pPr>
              <w:spacing w:after="0" w:line="252" w:lineRule="auto"/>
            </w:pPr>
            <w:r/>
            <w:r>
              <w:rPr>
                <w:rFonts w:ascii="Calibri" w:hAnsi="Calibri"/>
                <w:b/>
                <w:color w:val="7B6427"/>
                <w:sz w:val="15"/>
              </w:rPr>
              <w:t>Mixed</w:t>
            </w:r>
          </w:p>
        </w:tc>
        <w:tc>
          <w:tcPr>
            <w:tcW w:type="dxa" w:w="3460"/>
            <w:vAlign w:val="center"/>
            <w:tcMar>
              <w:top w:w="100" w:type="dxa"/>
              <w:start w:w="120" w:type="dxa"/>
              <w:bottom w:w="100" w:type="dxa"/>
              <w:end w:w="120" w:type="dxa"/>
            </w:tcMar>
          </w:tcPr>
          <w:p>
            <w:pPr>
              <w:spacing w:after="0" w:line="252" w:lineRule="auto"/>
            </w:pPr>
            <w:r/>
            <w:r>
              <w:rPr>
                <w:rFonts w:ascii="Calibri" w:hAnsi="Calibri"/>
                <w:b w:val="0"/>
                <w:color w:val="3E3533"/>
                <w:sz w:val="15"/>
              </w:rPr>
              <w:t>Approve full mapping table</w:t>
            </w:r>
          </w:p>
        </w:tc>
      </w:tr>
      <w:tr>
        <w:trPr>
          <w:cantSplit/>
        </w:trPr>
        <w:tc>
          <w:tcPr>
            <w:tcW w:type="dxa" w:w="4350"/>
            <w:vAlign w:val="center"/>
            <w:tcMar>
              <w:top w:w="100" w:type="dxa"/>
              <w:start w:w="120" w:type="dxa"/>
              <w:bottom w:w="100" w:type="dxa"/>
              <w:end w:w="120" w:type="dxa"/>
            </w:tcMar>
          </w:tcPr>
          <w:p>
            <w:pPr>
              <w:spacing w:after="0" w:line="252" w:lineRule="auto"/>
            </w:pPr>
            <w:r/>
            <w:r>
              <w:rPr>
                <w:rFonts w:ascii="Calibri" w:hAnsi="Calibri"/>
                <w:b/>
                <w:color w:val="3E3533"/>
                <w:sz w:val="15"/>
              </w:rPr>
              <w:t>D-03  Contradictory or incomplete input combinations</w:t>
            </w:r>
          </w:p>
        </w:tc>
        <w:tc>
          <w:tcPr>
            <w:tcW w:type="dxa" w:w="1550"/>
            <w:shd w:fill="F3F1F0"/>
            <w:vAlign w:val="center"/>
            <w:tcMar>
              <w:top w:w="100" w:type="dxa"/>
              <w:start w:w="120" w:type="dxa"/>
              <w:bottom w:w="100" w:type="dxa"/>
              <w:end w:w="120" w:type="dxa"/>
            </w:tcMar>
          </w:tcPr>
          <w:p>
            <w:pPr>
              <w:spacing w:after="0" w:line="252" w:lineRule="auto"/>
            </w:pPr>
            <w:r/>
            <w:r>
              <w:rPr>
                <w:rFonts w:ascii="Calibri" w:hAnsi="Calibri"/>
                <w:b/>
                <w:color w:val="754B47"/>
                <w:sz w:val="15"/>
              </w:rPr>
              <w:t>Insufficient</w:t>
            </w:r>
          </w:p>
        </w:tc>
        <w:tc>
          <w:tcPr>
            <w:tcW w:type="dxa" w:w="3460"/>
            <w:vAlign w:val="center"/>
            <w:tcMar>
              <w:top w:w="100" w:type="dxa"/>
              <w:start w:w="120" w:type="dxa"/>
              <w:bottom w:w="100" w:type="dxa"/>
              <w:end w:w="120" w:type="dxa"/>
            </w:tcMar>
          </w:tcPr>
          <w:p>
            <w:pPr>
              <w:spacing w:after="0" w:line="252" w:lineRule="auto"/>
            </w:pPr>
            <w:r/>
            <w:r>
              <w:rPr>
                <w:rFonts w:ascii="Calibri" w:hAnsi="Calibri"/>
                <w:b w:val="0"/>
                <w:color w:val="3E3533"/>
                <w:sz w:val="15"/>
              </w:rPr>
              <w:t>Define input-validity matrix</w:t>
            </w:r>
          </w:p>
        </w:tc>
      </w:tr>
      <w:tr>
        <w:trPr>
          <w:cantSplit/>
        </w:trPr>
        <w:tc>
          <w:tcPr>
            <w:tcW w:type="dxa" w:w="4350"/>
            <w:vAlign w:val="center"/>
            <w:tcMar>
              <w:top w:w="100" w:type="dxa"/>
              <w:start w:w="120" w:type="dxa"/>
              <w:bottom w:w="100" w:type="dxa"/>
              <w:end w:w="120" w:type="dxa"/>
            </w:tcMar>
          </w:tcPr>
          <w:p>
            <w:pPr>
              <w:spacing w:after="0" w:line="252" w:lineRule="auto"/>
            </w:pPr>
            <w:r/>
            <w:r>
              <w:rPr>
                <w:rFonts w:ascii="Calibri" w:hAnsi="Calibri"/>
                <w:b/>
                <w:color w:val="3E3533"/>
                <w:sz w:val="15"/>
              </w:rPr>
              <w:t>D-04  Flow, spotting, brown observations, and mucus</w:t>
            </w:r>
          </w:p>
        </w:tc>
        <w:tc>
          <w:tcPr>
            <w:tcW w:type="dxa" w:w="1550"/>
            <w:shd w:fill="F6F0DD"/>
            <w:vAlign w:val="center"/>
            <w:tcMar>
              <w:top w:w="100" w:type="dxa"/>
              <w:start w:w="120" w:type="dxa"/>
              <w:bottom w:w="100" w:type="dxa"/>
              <w:end w:w="120" w:type="dxa"/>
            </w:tcMar>
          </w:tcPr>
          <w:p>
            <w:pPr>
              <w:spacing w:after="0" w:line="252" w:lineRule="auto"/>
            </w:pPr>
            <w:r/>
            <w:r>
              <w:rPr>
                <w:rFonts w:ascii="Calibri" w:hAnsi="Calibri"/>
                <w:b/>
                <w:color w:val="7B6427"/>
                <w:sz w:val="15"/>
              </w:rPr>
              <w:t>Mixed</w:t>
            </w:r>
          </w:p>
        </w:tc>
        <w:tc>
          <w:tcPr>
            <w:tcW w:type="dxa" w:w="3460"/>
            <w:vAlign w:val="center"/>
            <w:tcMar>
              <w:top w:w="100" w:type="dxa"/>
              <w:start w:w="120" w:type="dxa"/>
              <w:bottom w:w="100" w:type="dxa"/>
              <w:end w:w="120" w:type="dxa"/>
            </w:tcMar>
          </w:tcPr>
          <w:p>
            <w:pPr>
              <w:spacing w:after="0" w:line="252" w:lineRule="auto"/>
            </w:pPr>
            <w:r/>
            <w:r>
              <w:rPr>
                <w:rFonts w:ascii="Calibri" w:hAnsi="Calibri"/>
                <w:b w:val="0"/>
                <w:color w:val="3E3533"/>
                <w:sz w:val="15"/>
              </w:rPr>
              <w:t>Decide bleeding + mucus treatment</w:t>
            </w:r>
          </w:p>
        </w:tc>
      </w:tr>
      <w:tr>
        <w:trPr>
          <w:cantSplit/>
        </w:trPr>
        <w:tc>
          <w:tcPr>
            <w:tcW w:type="dxa" w:w="4350"/>
            <w:vAlign w:val="center"/>
            <w:tcMar>
              <w:top w:w="100" w:type="dxa"/>
              <w:start w:w="120" w:type="dxa"/>
              <w:bottom w:w="100" w:type="dxa"/>
              <w:end w:w="120" w:type="dxa"/>
            </w:tcMar>
          </w:tcPr>
          <w:p>
            <w:pPr>
              <w:spacing w:after="0" w:line="252" w:lineRule="auto"/>
            </w:pPr>
            <w:r/>
            <w:r>
              <w:rPr>
                <w:rFonts w:ascii="Calibri" w:hAnsi="Calibri"/>
                <w:b/>
                <w:color w:val="3E3533"/>
                <w:sz w:val="15"/>
              </w:rPr>
              <w:t>D-05  Cycle start and continuing flow</w:t>
            </w:r>
          </w:p>
        </w:tc>
        <w:tc>
          <w:tcPr>
            <w:tcW w:type="dxa" w:w="1550"/>
            <w:shd w:fill="F6F0DD"/>
            <w:vAlign w:val="center"/>
            <w:tcMar>
              <w:top w:w="100" w:type="dxa"/>
              <w:start w:w="120" w:type="dxa"/>
              <w:bottom w:w="100" w:type="dxa"/>
              <w:end w:w="120" w:type="dxa"/>
            </w:tcMar>
          </w:tcPr>
          <w:p>
            <w:pPr>
              <w:spacing w:after="0" w:line="252" w:lineRule="auto"/>
            </w:pPr>
            <w:r/>
            <w:r>
              <w:rPr>
                <w:rFonts w:ascii="Calibri" w:hAnsi="Calibri"/>
                <w:b/>
                <w:color w:val="7B6427"/>
                <w:sz w:val="15"/>
              </w:rPr>
              <w:t>Mixed</w:t>
            </w:r>
          </w:p>
        </w:tc>
        <w:tc>
          <w:tcPr>
            <w:tcW w:type="dxa" w:w="3460"/>
            <w:vAlign w:val="center"/>
            <w:tcMar>
              <w:top w:w="100" w:type="dxa"/>
              <w:start w:w="120" w:type="dxa"/>
              <w:bottom w:w="100" w:type="dxa"/>
              <w:end w:w="120" w:type="dxa"/>
            </w:tcMar>
          </w:tcPr>
          <w:p>
            <w:pPr>
              <w:spacing w:after="0" w:line="252" w:lineRule="auto"/>
            </w:pPr>
            <w:r/>
            <w:r>
              <w:rPr>
                <w:rFonts w:ascii="Calibri" w:hAnsi="Calibri"/>
                <w:b w:val="0"/>
                <w:color w:val="3E3533"/>
                <w:sz w:val="15"/>
              </w:rPr>
              <w:t>Define Cycle Day 1 boundary</w:t>
            </w:r>
          </w:p>
        </w:tc>
      </w:tr>
      <w:tr>
        <w:trPr>
          <w:cantSplit/>
        </w:trPr>
        <w:tc>
          <w:tcPr>
            <w:tcW w:type="dxa" w:w="4350"/>
            <w:vAlign w:val="center"/>
            <w:tcMar>
              <w:top w:w="100" w:type="dxa"/>
              <w:start w:w="120" w:type="dxa"/>
              <w:bottom w:w="100" w:type="dxa"/>
              <w:end w:w="120" w:type="dxa"/>
            </w:tcMar>
          </w:tcPr>
          <w:p>
            <w:pPr>
              <w:spacing w:after="0" w:line="252" w:lineRule="auto"/>
            </w:pPr>
            <w:r/>
            <w:r>
              <w:rPr>
                <w:rFonts w:ascii="Calibri" w:hAnsi="Calibri"/>
                <w:b/>
                <w:color w:val="3E3533"/>
                <w:sz w:val="15"/>
              </w:rPr>
              <w:t>D-06  Peak-type observation definition</w:t>
            </w:r>
          </w:p>
        </w:tc>
        <w:tc>
          <w:tcPr>
            <w:tcW w:type="dxa" w:w="1550"/>
            <w:shd w:fill="F6F0DD"/>
            <w:vAlign w:val="center"/>
            <w:tcMar>
              <w:top w:w="100" w:type="dxa"/>
              <w:start w:w="120" w:type="dxa"/>
              <w:bottom w:w="100" w:type="dxa"/>
              <w:end w:w="120" w:type="dxa"/>
            </w:tcMar>
          </w:tcPr>
          <w:p>
            <w:pPr>
              <w:spacing w:after="0" w:line="252" w:lineRule="auto"/>
            </w:pPr>
            <w:r/>
            <w:r>
              <w:rPr>
                <w:rFonts w:ascii="Calibri" w:hAnsi="Calibri"/>
                <w:b/>
                <w:color w:val="7B6427"/>
                <w:sz w:val="15"/>
              </w:rPr>
              <w:t>Mixed</w:t>
            </w:r>
          </w:p>
        </w:tc>
        <w:tc>
          <w:tcPr>
            <w:tcW w:type="dxa" w:w="3460"/>
            <w:vAlign w:val="center"/>
            <w:tcMar>
              <w:top w:w="100" w:type="dxa"/>
              <w:start w:w="120" w:type="dxa"/>
              <w:bottom w:w="100" w:type="dxa"/>
              <w:end w:w="120" w:type="dxa"/>
            </w:tcMar>
          </w:tcPr>
          <w:p>
            <w:pPr>
              <w:spacing w:after="0" w:line="252" w:lineRule="auto"/>
            </w:pPr>
            <w:r/>
            <w:r>
              <w:rPr>
                <w:rFonts w:ascii="Calibri" w:hAnsi="Calibri"/>
                <w:b w:val="0"/>
                <w:color w:val="3E3533"/>
                <w:sz w:val="15"/>
              </w:rPr>
              <w:t>Approve exact Peak-type set</w:t>
            </w:r>
          </w:p>
        </w:tc>
      </w:tr>
      <w:tr>
        <w:trPr>
          <w:cantSplit/>
        </w:trPr>
        <w:tc>
          <w:tcPr>
            <w:tcW w:type="dxa" w:w="4350"/>
            <w:vAlign w:val="center"/>
            <w:tcMar>
              <w:top w:w="100" w:type="dxa"/>
              <w:start w:w="120" w:type="dxa"/>
              <w:bottom w:w="100" w:type="dxa"/>
              <w:end w:w="120" w:type="dxa"/>
            </w:tcMar>
          </w:tcPr>
          <w:p>
            <w:pPr>
              <w:spacing w:after="0" w:line="252" w:lineRule="auto"/>
            </w:pPr>
            <w:r/>
            <w:r>
              <w:rPr>
                <w:rFonts w:ascii="Calibri" w:hAnsi="Calibri"/>
                <w:b/>
                <w:color w:val="3E3533"/>
                <w:sz w:val="15"/>
              </w:rPr>
              <w:t>D-07  Retrospective Peak Day and the three-day sequence</w:t>
            </w:r>
          </w:p>
        </w:tc>
        <w:tc>
          <w:tcPr>
            <w:tcW w:type="dxa" w:w="1550"/>
            <w:shd w:fill="F6F0DD"/>
            <w:vAlign w:val="center"/>
            <w:tcMar>
              <w:top w:w="100" w:type="dxa"/>
              <w:start w:w="120" w:type="dxa"/>
              <w:bottom w:w="100" w:type="dxa"/>
              <w:end w:w="120" w:type="dxa"/>
            </w:tcMar>
          </w:tcPr>
          <w:p>
            <w:pPr>
              <w:spacing w:after="0" w:line="252" w:lineRule="auto"/>
            </w:pPr>
            <w:r/>
            <w:r>
              <w:rPr>
                <w:rFonts w:ascii="Calibri" w:hAnsi="Calibri"/>
                <w:b/>
                <w:color w:val="7B6427"/>
                <w:sz w:val="15"/>
              </w:rPr>
              <w:t>Mixed</w:t>
            </w:r>
          </w:p>
        </w:tc>
        <w:tc>
          <w:tcPr>
            <w:tcW w:type="dxa" w:w="3460"/>
            <w:vAlign w:val="center"/>
            <w:tcMar>
              <w:top w:w="100" w:type="dxa"/>
              <w:start w:w="120" w:type="dxa"/>
              <w:bottom w:w="100" w:type="dxa"/>
              <w:end w:w="120" w:type="dxa"/>
            </w:tcMar>
          </w:tcPr>
          <w:p>
            <w:pPr>
              <w:spacing w:after="0" w:line="252" w:lineRule="auto"/>
            </w:pPr>
            <w:r/>
            <w:r>
              <w:rPr>
                <w:rFonts w:ascii="Calibri" w:hAnsi="Calibri"/>
                <w:b w:val="0"/>
                <w:color w:val="3E3533"/>
                <w:sz w:val="15"/>
              </w:rPr>
              <w:t>Approve exact retrospective rule</w:t>
            </w:r>
          </w:p>
        </w:tc>
      </w:tr>
      <w:tr>
        <w:trPr>
          <w:cantSplit/>
        </w:trPr>
        <w:tc>
          <w:tcPr>
            <w:tcW w:type="dxa" w:w="4350"/>
            <w:vAlign w:val="center"/>
            <w:tcMar>
              <w:top w:w="100" w:type="dxa"/>
              <w:start w:w="120" w:type="dxa"/>
              <w:bottom w:w="100" w:type="dxa"/>
              <w:end w:w="120" w:type="dxa"/>
            </w:tcMar>
          </w:tcPr>
          <w:p>
            <w:pPr>
              <w:spacing w:after="0" w:line="252" w:lineRule="auto"/>
            </w:pPr>
            <w:r/>
            <w:r>
              <w:rPr>
                <w:rFonts w:ascii="Calibri" w:hAnsi="Calibri"/>
                <w:b/>
                <w:color w:val="3E3533"/>
                <w:sz w:val="15"/>
              </w:rPr>
              <w:t>D-08  Calendar gaps and days marked not observed</w:t>
            </w:r>
          </w:p>
        </w:tc>
        <w:tc>
          <w:tcPr>
            <w:tcW w:type="dxa" w:w="1550"/>
            <w:shd w:fill="F3F1F0"/>
            <w:vAlign w:val="center"/>
            <w:tcMar>
              <w:top w:w="100" w:type="dxa"/>
              <w:start w:w="120" w:type="dxa"/>
              <w:bottom w:w="100" w:type="dxa"/>
              <w:end w:w="120" w:type="dxa"/>
            </w:tcMar>
          </w:tcPr>
          <w:p>
            <w:pPr>
              <w:spacing w:after="0" w:line="252" w:lineRule="auto"/>
            </w:pPr>
            <w:r/>
            <w:r>
              <w:rPr>
                <w:rFonts w:ascii="Calibri" w:hAnsi="Calibri"/>
                <w:b/>
                <w:color w:val="754B47"/>
                <w:sz w:val="15"/>
              </w:rPr>
              <w:t>Insufficient</w:t>
            </w:r>
          </w:p>
        </w:tc>
        <w:tc>
          <w:tcPr>
            <w:tcW w:type="dxa" w:w="3460"/>
            <w:vAlign w:val="center"/>
            <w:tcMar>
              <w:top w:w="100" w:type="dxa"/>
              <w:start w:w="120" w:type="dxa"/>
              <w:bottom w:w="100" w:type="dxa"/>
              <w:end w:w="120" w:type="dxa"/>
            </w:tcMar>
          </w:tcPr>
          <w:p>
            <w:pPr>
              <w:spacing w:after="0" w:line="252" w:lineRule="auto"/>
            </w:pPr>
            <w:r/>
            <w:r>
              <w:rPr>
                <w:rFonts w:ascii="Calibri" w:hAnsi="Calibri"/>
                <w:b w:val="0"/>
                <w:color w:val="3E3533"/>
                <w:sz w:val="15"/>
              </w:rPr>
              <w:t>Define missing-data effects</w:t>
            </w:r>
          </w:p>
        </w:tc>
      </w:tr>
      <w:tr>
        <w:trPr>
          <w:cantSplit/>
        </w:trPr>
        <w:tc>
          <w:tcPr>
            <w:tcW w:type="dxa" w:w="4350"/>
            <w:vAlign w:val="center"/>
            <w:tcMar>
              <w:top w:w="100" w:type="dxa"/>
              <w:start w:w="120" w:type="dxa"/>
              <w:bottom w:w="100" w:type="dxa"/>
              <w:end w:w="120" w:type="dxa"/>
            </w:tcMar>
          </w:tcPr>
          <w:p>
            <w:pPr>
              <w:spacing w:after="0" w:line="252" w:lineRule="auto"/>
            </w:pPr>
            <w:r/>
            <w:r>
              <w:rPr>
                <w:rFonts w:ascii="Calibri" w:hAnsi="Calibri"/>
                <w:b/>
                <w:color w:val="3E3533"/>
                <w:sz w:val="15"/>
              </w:rPr>
              <w:t>D-09  Separated or repeated Peak-type sequences</w:t>
            </w:r>
          </w:p>
        </w:tc>
        <w:tc>
          <w:tcPr>
            <w:tcW w:type="dxa" w:w="1550"/>
            <w:shd w:fill="F6F0DD"/>
            <w:vAlign w:val="center"/>
            <w:tcMar>
              <w:top w:w="100" w:type="dxa"/>
              <w:start w:w="120" w:type="dxa"/>
              <w:bottom w:w="100" w:type="dxa"/>
              <w:end w:w="120" w:type="dxa"/>
            </w:tcMar>
          </w:tcPr>
          <w:p>
            <w:pPr>
              <w:spacing w:after="0" w:line="252" w:lineRule="auto"/>
            </w:pPr>
            <w:r/>
            <w:r>
              <w:rPr>
                <w:rFonts w:ascii="Calibri" w:hAnsi="Calibri"/>
                <w:b/>
                <w:color w:val="7B6427"/>
                <w:sz w:val="15"/>
              </w:rPr>
              <w:t>Mixed</w:t>
            </w:r>
          </w:p>
        </w:tc>
        <w:tc>
          <w:tcPr>
            <w:tcW w:type="dxa" w:w="3460"/>
            <w:vAlign w:val="center"/>
            <w:tcMar>
              <w:top w:w="100" w:type="dxa"/>
              <w:start w:w="120" w:type="dxa"/>
              <w:bottom w:w="100" w:type="dxa"/>
              <w:end w:w="120" w:type="dxa"/>
            </w:tcMar>
          </w:tcPr>
          <w:p>
            <w:pPr>
              <w:spacing w:after="0" w:line="252" w:lineRule="auto"/>
            </w:pPr>
            <w:r/>
            <w:r>
              <w:rPr>
                <w:rFonts w:ascii="Calibri" w:hAnsi="Calibri"/>
                <w:b w:val="0"/>
                <w:color w:val="3E3533"/>
                <w:sz w:val="15"/>
              </w:rPr>
              <w:t>Define repeated-sequence handling</w:t>
            </w:r>
          </w:p>
        </w:tc>
      </w:tr>
      <w:tr>
        <w:trPr>
          <w:cantSplit/>
        </w:trPr>
        <w:tc>
          <w:tcPr>
            <w:tcW w:type="dxa" w:w="4350"/>
            <w:vAlign w:val="center"/>
            <w:tcMar>
              <w:top w:w="100" w:type="dxa"/>
              <w:start w:w="120" w:type="dxa"/>
              <w:bottom w:w="100" w:type="dxa"/>
              <w:end w:w="120" w:type="dxa"/>
            </w:tcMar>
          </w:tcPr>
          <w:p>
            <w:pPr>
              <w:spacing w:after="0" w:line="252" w:lineRule="auto"/>
            </w:pPr>
            <w:r/>
            <w:r>
              <w:rPr>
                <w:rFonts w:ascii="Calibri" w:hAnsi="Calibri"/>
                <w:b/>
                <w:color w:val="3E3533"/>
                <w:sz w:val="15"/>
              </w:rPr>
              <w:t>D-10  Continuous mucus, non-Peak-only patterns, and special contexts</w:t>
            </w:r>
          </w:p>
        </w:tc>
        <w:tc>
          <w:tcPr>
            <w:tcW w:type="dxa" w:w="1550"/>
            <w:shd w:fill="F6F0DD"/>
            <w:vAlign w:val="center"/>
            <w:tcMar>
              <w:top w:w="100" w:type="dxa"/>
              <w:start w:w="120" w:type="dxa"/>
              <w:bottom w:w="100" w:type="dxa"/>
              <w:end w:w="120" w:type="dxa"/>
            </w:tcMar>
          </w:tcPr>
          <w:p>
            <w:pPr>
              <w:spacing w:after="0" w:line="252" w:lineRule="auto"/>
            </w:pPr>
            <w:r/>
            <w:r>
              <w:rPr>
                <w:rFonts w:ascii="Calibri" w:hAnsi="Calibri"/>
                <w:b/>
                <w:color w:val="7B6427"/>
                <w:sz w:val="15"/>
              </w:rPr>
              <w:t>Mixed</w:t>
            </w:r>
          </w:p>
        </w:tc>
        <w:tc>
          <w:tcPr>
            <w:tcW w:type="dxa" w:w="3460"/>
            <w:vAlign w:val="center"/>
            <w:tcMar>
              <w:top w:w="100" w:type="dxa"/>
              <w:start w:w="120" w:type="dxa"/>
              <w:bottom w:w="100" w:type="dxa"/>
              <w:end w:w="120" w:type="dxa"/>
            </w:tcMar>
          </w:tcPr>
          <w:p>
            <w:pPr>
              <w:spacing w:after="0" w:line="252" w:lineRule="auto"/>
            </w:pPr>
            <w:r/>
            <w:r>
              <w:rPr>
                <w:rFonts w:ascii="Calibri" w:hAnsi="Calibri"/>
                <w:b w:val="0"/>
                <w:color w:val="3E3533"/>
                <w:sz w:val="15"/>
              </w:rPr>
              <w:t>Set population/context scope</w:t>
            </w:r>
          </w:p>
        </w:tc>
      </w:tr>
      <w:tr>
        <w:trPr>
          <w:cantSplit/>
        </w:trPr>
        <w:tc>
          <w:tcPr>
            <w:tcW w:type="dxa" w:w="4350"/>
            <w:vAlign w:val="center"/>
            <w:tcMar>
              <w:top w:w="100" w:type="dxa"/>
              <w:start w:w="120" w:type="dxa"/>
              <w:bottom w:w="100" w:type="dxa"/>
              <w:end w:w="120" w:type="dxa"/>
            </w:tcMar>
          </w:tcPr>
          <w:p>
            <w:pPr>
              <w:spacing w:after="0" w:line="252" w:lineRule="auto"/>
            </w:pPr>
            <w:r/>
            <w:r>
              <w:rPr>
                <w:rFonts w:ascii="Calibri" w:hAnsi="Calibri"/>
                <w:b/>
                <w:color w:val="3E3533"/>
                <w:sz w:val="15"/>
              </w:rPr>
              <w:t>D-11  Permitted ordinary-user terminology</w:t>
            </w:r>
          </w:p>
        </w:tc>
        <w:tc>
          <w:tcPr>
            <w:tcW w:type="dxa" w:w="1550"/>
            <w:shd w:fill="F6F0DD"/>
            <w:vAlign w:val="center"/>
            <w:tcMar>
              <w:top w:w="100" w:type="dxa"/>
              <w:start w:w="120" w:type="dxa"/>
              <w:bottom w:w="100" w:type="dxa"/>
              <w:end w:w="120" w:type="dxa"/>
            </w:tcMar>
          </w:tcPr>
          <w:p>
            <w:pPr>
              <w:spacing w:after="0" w:line="252" w:lineRule="auto"/>
            </w:pPr>
            <w:r/>
            <w:r>
              <w:rPr>
                <w:rFonts w:ascii="Calibri" w:hAnsi="Calibri"/>
                <w:b/>
                <w:color w:val="7B6427"/>
                <w:sz w:val="15"/>
              </w:rPr>
              <w:t>Mixed</w:t>
            </w:r>
          </w:p>
        </w:tc>
        <w:tc>
          <w:tcPr>
            <w:tcW w:type="dxa" w:w="3460"/>
            <w:vAlign w:val="center"/>
            <w:tcMar>
              <w:top w:w="100" w:type="dxa"/>
              <w:start w:w="120" w:type="dxa"/>
              <w:bottom w:w="100" w:type="dxa"/>
              <w:end w:w="120" w:type="dxa"/>
            </w:tcMar>
          </w:tcPr>
          <w:p>
            <w:pPr>
              <w:spacing w:after="0" w:line="252" w:lineRule="auto"/>
            </w:pPr>
            <w:r/>
            <w:r>
              <w:rPr>
                <w:rFonts w:ascii="Calibri" w:hAnsi="Calibri"/>
                <w:b w:val="0"/>
                <w:color w:val="3E3533"/>
                <w:sz w:val="15"/>
              </w:rPr>
              <w:t>Approve exact user language</w:t>
            </w:r>
          </w:p>
        </w:tc>
      </w:tr>
      <w:tr>
        <w:trPr>
          <w:cantSplit/>
        </w:trPr>
        <w:tc>
          <w:tcPr>
            <w:tcW w:type="dxa" w:w="4350"/>
            <w:vAlign w:val="center"/>
            <w:tcMar>
              <w:top w:w="100" w:type="dxa"/>
              <w:start w:w="120" w:type="dxa"/>
              <w:bottom w:w="100" w:type="dxa"/>
              <w:end w:w="120" w:type="dxa"/>
            </w:tcMar>
          </w:tcPr>
          <w:p>
            <w:pPr>
              <w:spacing w:after="0" w:line="252" w:lineRule="auto"/>
            </w:pPr>
            <w:r/>
            <w:r>
              <w:rPr>
                <w:rFonts w:ascii="Calibri" w:hAnsi="Calibri"/>
                <w:b/>
                <w:color w:val="3E3533"/>
                <w:sz w:val="15"/>
              </w:rPr>
              <w:t>D-12  History comparisons and inclusion eligibility</w:t>
            </w:r>
          </w:p>
        </w:tc>
        <w:tc>
          <w:tcPr>
            <w:tcW w:type="dxa" w:w="1550"/>
            <w:shd w:fill="F3F1F0"/>
            <w:vAlign w:val="center"/>
            <w:tcMar>
              <w:top w:w="100" w:type="dxa"/>
              <w:start w:w="120" w:type="dxa"/>
              <w:bottom w:w="100" w:type="dxa"/>
              <w:end w:w="120" w:type="dxa"/>
            </w:tcMar>
          </w:tcPr>
          <w:p>
            <w:pPr>
              <w:spacing w:after="0" w:line="252" w:lineRule="auto"/>
            </w:pPr>
            <w:r/>
            <w:r>
              <w:rPr>
                <w:rFonts w:ascii="Calibri" w:hAnsi="Calibri"/>
                <w:b/>
                <w:color w:val="754B47"/>
                <w:sz w:val="15"/>
              </w:rPr>
              <w:t>Insufficient</w:t>
            </w:r>
          </w:p>
        </w:tc>
        <w:tc>
          <w:tcPr>
            <w:tcW w:type="dxa" w:w="3460"/>
            <w:vAlign w:val="center"/>
            <w:tcMar>
              <w:top w:w="100" w:type="dxa"/>
              <w:start w:w="120" w:type="dxa"/>
              <w:bottom w:w="100" w:type="dxa"/>
              <w:end w:w="120" w:type="dxa"/>
            </w:tcMar>
          </w:tcPr>
          <w:p>
            <w:pPr>
              <w:spacing w:after="0" w:line="252" w:lineRule="auto"/>
            </w:pPr>
            <w:r/>
            <w:r>
              <w:rPr>
                <w:rFonts w:ascii="Calibri" w:hAnsi="Calibri"/>
                <w:b w:val="0"/>
                <w:color w:val="3E3533"/>
                <w:sz w:val="15"/>
              </w:rPr>
              <w:t>Define or remove comparisons</w:t>
            </w:r>
          </w:p>
        </w:tc>
      </w:tr>
      <w:tr>
        <w:trPr>
          <w:cantSplit/>
        </w:trPr>
        <w:tc>
          <w:tcPr>
            <w:tcW w:type="dxa" w:w="4350"/>
            <w:vAlign w:val="center"/>
            <w:tcMar>
              <w:top w:w="100" w:type="dxa"/>
              <w:start w:w="120" w:type="dxa"/>
              <w:bottom w:w="100" w:type="dxa"/>
              <w:end w:w="120" w:type="dxa"/>
            </w:tcMar>
          </w:tcPr>
          <w:p>
            <w:pPr>
              <w:spacing w:after="0" w:line="252" w:lineRule="auto"/>
            </w:pPr>
            <w:r/>
            <w:r>
              <w:rPr>
                <w:rFonts w:ascii="Calibri" w:hAnsi="Calibri"/>
                <w:b/>
                <w:color w:val="3E3533"/>
                <w:sz w:val="15"/>
              </w:rPr>
              <w:t>D-13  Possible fertile pattern presentation</w:t>
            </w:r>
          </w:p>
        </w:tc>
        <w:tc>
          <w:tcPr>
            <w:tcW w:type="dxa" w:w="1550"/>
            <w:shd w:fill="F6F0DD"/>
            <w:vAlign w:val="center"/>
            <w:tcMar>
              <w:top w:w="100" w:type="dxa"/>
              <w:start w:w="120" w:type="dxa"/>
              <w:bottom w:w="100" w:type="dxa"/>
              <w:end w:w="120" w:type="dxa"/>
            </w:tcMar>
          </w:tcPr>
          <w:p>
            <w:pPr>
              <w:spacing w:after="0" w:line="252" w:lineRule="auto"/>
            </w:pPr>
            <w:r/>
            <w:r>
              <w:rPr>
                <w:rFonts w:ascii="Calibri" w:hAnsi="Calibri"/>
                <w:b/>
                <w:color w:val="7B6427"/>
                <w:sz w:val="15"/>
              </w:rPr>
              <w:t>Mixed</w:t>
            </w:r>
          </w:p>
        </w:tc>
        <w:tc>
          <w:tcPr>
            <w:tcW w:type="dxa" w:w="3460"/>
            <w:vAlign w:val="center"/>
            <w:tcMar>
              <w:top w:w="100" w:type="dxa"/>
              <w:start w:w="120" w:type="dxa"/>
              <w:bottom w:w="100" w:type="dxa"/>
              <w:end w:w="120" w:type="dxa"/>
            </w:tcMar>
          </w:tcPr>
          <w:p>
            <w:pPr>
              <w:spacing w:after="0" w:line="252" w:lineRule="auto"/>
            </w:pPr>
            <w:r/>
            <w:r>
              <w:rPr>
                <w:rFonts w:ascii="Calibri" w:hAnsi="Calibri"/>
                <w:b w:val="0"/>
                <w:color w:val="3E3533"/>
                <w:sz w:val="15"/>
              </w:rPr>
              <w:t>Confirm exact eligible display</w:t>
            </w:r>
          </w:p>
        </w:tc>
      </w:tr>
    </w:tbl>
    <w:p>
      <w:pPr>
        <w:pStyle w:val="Heading2"/>
        <w:keepNext/>
        <w:keepLines/>
      </w:pPr>
      <w:r>
        <w:t>Immediate sequencing</w:t>
      </w:r>
    </w:p>
    <w:p>
      <w:pPr>
        <w:numPr>
          <w:ilvl w:val="0"/>
          <w:numId w:val="10"/>
        </w:numPr>
        <w:spacing w:after="80" w:line="300" w:lineRule="auto"/>
      </w:pPr>
      <w:r>
        <w:rPr>
          <w:rFonts w:ascii="Calibri" w:hAnsi="Calibri"/>
          <w:color w:val="3E3533"/>
          <w:sz w:val="22"/>
        </w:rPr>
        <w:t>First: define supported population, special-context exclusions, and no-interpretation states.</w:t>
      </w:r>
    </w:p>
    <w:p>
      <w:pPr>
        <w:numPr>
          <w:ilvl w:val="0"/>
          <w:numId w:val="10"/>
        </w:numPr>
        <w:spacing w:after="80" w:line="300" w:lineRule="auto"/>
      </w:pPr>
      <w:r>
        <w:rPr>
          <w:rFonts w:ascii="Calibri" w:hAnsi="Calibri"/>
          <w:color w:val="3E3533"/>
          <w:sz w:val="22"/>
        </w:rPr>
        <w:t>Second: adjudicate observation mapping, input validity, bleeding, cycle start, Peak-type, and Peak rules.</w:t>
      </w:r>
    </w:p>
    <w:p>
      <w:pPr>
        <w:numPr>
          <w:ilvl w:val="0"/>
          <w:numId w:val="10"/>
        </w:numPr>
        <w:spacing w:after="80" w:line="300" w:lineRule="auto"/>
      </w:pPr>
      <w:r>
        <w:rPr>
          <w:rFonts w:ascii="Calibri" w:hAnsi="Calibri"/>
          <w:color w:val="3E3533"/>
          <w:sz w:val="22"/>
        </w:rPr>
        <w:t>Third: align the Phase 1C possible-pattern presentation, user terminology, and history displays only after the underlying rules are fixed.</w:t>
      </w:r>
    </w:p>
    <w:p>
      <w:pPr>
        <w:numPr>
          <w:ilvl w:val="0"/>
          <w:numId w:val="10"/>
        </w:numPr>
        <w:spacing w:after="80" w:line="300" w:lineRule="auto"/>
      </w:pPr>
      <w:r>
        <w:rPr>
          <w:rFonts w:ascii="Calibri" w:hAnsi="Calibri"/>
          <w:color w:val="3E3533"/>
          <w:sz w:val="22"/>
        </w:rPr>
        <w:t>Parallel outside this clinical review: counsel assesses license, copyright, trademark, regulatory, and claim boundaries.</w:t>
      </w:r>
    </w:p>
    <w:p>
      <w:r>
        <w:br w:type="page"/>
      </w:r>
    </w:p>
    <w:p>
      <w:pPr>
        <w:pStyle w:val="Heading1"/>
        <w:keepNext/>
        <w:keepLines/>
      </w:pPr>
      <w:r>
        <w:t>How to read the evidence ratings</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800"/>
        <w:gridCol w:w="7560"/>
      </w:tblGrid>
      <w:tr>
        <w:trPr>
          <w:cantSplit/>
        </w:trPr>
        <w:tc>
          <w:tcPr>
            <w:tcW w:type="dxa" w:w="1800"/>
            <w:shd w:fill="EAF1ED"/>
            <w:vAlign w:val="center"/>
            <w:tcMar>
              <w:top w:w="100" w:type="dxa"/>
              <w:start w:w="120" w:type="dxa"/>
              <w:bottom w:w="100" w:type="dxa"/>
              <w:end w:w="120" w:type="dxa"/>
            </w:tcMar>
          </w:tcPr>
          <w:p>
            <w:pPr>
              <w:spacing w:after="0" w:line="252" w:lineRule="auto"/>
            </w:pPr>
            <w:r/>
            <w:r>
              <w:rPr>
                <w:rFonts w:ascii="Calibri" w:hAnsi="Calibri"/>
                <w:b/>
                <w:color w:val="426A58"/>
                <w:sz w:val="17"/>
              </w:rPr>
              <w:t>Supported</w:t>
            </w:r>
          </w:p>
        </w:tc>
        <w:tc>
          <w:tcPr>
            <w:tcW w:type="dxa" w:w="7560"/>
            <w:vAlign w:val="center"/>
            <w:tcMar>
              <w:top w:w="100" w:type="dxa"/>
              <w:start w:w="120" w:type="dxa"/>
              <w:bottom w:w="100" w:type="dxa"/>
              <w:end w:w="120" w:type="dxa"/>
            </w:tcMar>
          </w:tcPr>
          <w:p>
            <w:pPr>
              <w:spacing w:after="0" w:line="252" w:lineRule="auto"/>
            </w:pPr>
            <w:r/>
            <w:r>
              <w:rPr>
                <w:rFonts w:ascii="Calibri" w:hAnsi="Calibri"/>
                <w:b w:val="0"/>
                <w:color w:val="3E3533"/>
                <w:sz w:val="17"/>
              </w:rPr>
              <w:t>Authoritative public evidence directly supports the decision as stated, including the Well Within implementation.</w:t>
            </w:r>
          </w:p>
        </w:tc>
      </w:tr>
      <w:tr>
        <w:trPr>
          <w:cantSplit/>
        </w:trPr>
        <w:tc>
          <w:tcPr>
            <w:tcW w:type="dxa" w:w="1800"/>
            <w:shd w:fill="F5DEDE"/>
            <w:vAlign w:val="center"/>
            <w:tcMar>
              <w:top w:w="100" w:type="dxa"/>
              <w:start w:w="120" w:type="dxa"/>
              <w:bottom w:w="100" w:type="dxa"/>
              <w:end w:w="120" w:type="dxa"/>
            </w:tcMar>
          </w:tcPr>
          <w:p>
            <w:pPr>
              <w:spacing w:after="0" w:line="252" w:lineRule="auto"/>
            </w:pPr>
            <w:r/>
            <w:r>
              <w:rPr>
                <w:rFonts w:ascii="Calibri" w:hAnsi="Calibri"/>
                <w:b/>
                <w:color w:val="8D3E3E"/>
                <w:sz w:val="17"/>
              </w:rPr>
              <w:t>Contradicted</w:t>
            </w:r>
          </w:p>
        </w:tc>
        <w:tc>
          <w:tcPr>
            <w:tcW w:type="dxa" w:w="7560"/>
            <w:vAlign w:val="center"/>
            <w:tcMar>
              <w:top w:w="100" w:type="dxa"/>
              <w:start w:w="120" w:type="dxa"/>
              <w:bottom w:w="100" w:type="dxa"/>
              <w:end w:w="120" w:type="dxa"/>
            </w:tcMar>
          </w:tcPr>
          <w:p>
            <w:pPr>
              <w:spacing w:after="0" w:line="252" w:lineRule="auto"/>
            </w:pPr>
            <w:r/>
            <w:r>
              <w:rPr>
                <w:rFonts w:ascii="Calibri" w:hAnsi="Calibri"/>
                <w:b w:val="0"/>
                <w:color w:val="3E3533"/>
                <w:sz w:val="17"/>
              </w:rPr>
              <w:t>Authoritative public evidence conflicts with the decision as stated.</w:t>
            </w:r>
          </w:p>
        </w:tc>
      </w:tr>
      <w:tr>
        <w:trPr>
          <w:cantSplit/>
        </w:trPr>
        <w:tc>
          <w:tcPr>
            <w:tcW w:type="dxa" w:w="1800"/>
            <w:shd w:fill="F6F0DD"/>
            <w:vAlign w:val="center"/>
            <w:tcMar>
              <w:top w:w="100" w:type="dxa"/>
              <w:start w:w="120" w:type="dxa"/>
              <w:bottom w:w="100" w:type="dxa"/>
              <w:end w:w="120" w:type="dxa"/>
            </w:tcMar>
          </w:tcPr>
          <w:p>
            <w:pPr>
              <w:spacing w:after="0" w:line="252" w:lineRule="auto"/>
            </w:pPr>
            <w:r/>
            <w:r>
              <w:rPr>
                <w:rFonts w:ascii="Calibri" w:hAnsi="Calibri"/>
                <w:b/>
                <w:color w:val="7B6427"/>
                <w:sz w:val="17"/>
              </w:rPr>
              <w:t>Mixed</w:t>
            </w:r>
          </w:p>
        </w:tc>
        <w:tc>
          <w:tcPr>
            <w:tcW w:type="dxa" w:w="7560"/>
            <w:vAlign w:val="center"/>
            <w:tcMar>
              <w:top w:w="100" w:type="dxa"/>
              <w:start w:w="120" w:type="dxa"/>
              <w:bottom w:w="100" w:type="dxa"/>
              <w:end w:w="120" w:type="dxa"/>
            </w:tcMar>
          </w:tcPr>
          <w:p>
            <w:pPr>
              <w:spacing w:after="0" w:line="252" w:lineRule="auto"/>
            </w:pPr>
            <w:r/>
            <w:r>
              <w:rPr>
                <w:rFonts w:ascii="Calibri" w:hAnsi="Calibri"/>
                <w:b w:val="0"/>
                <w:color w:val="3E3533"/>
                <w:sz w:val="17"/>
              </w:rPr>
              <w:t>Some concept-level support exists, but the exact implementation is unresolved, context-dependent, or contains contrary signals.</w:t>
            </w:r>
          </w:p>
        </w:tc>
      </w:tr>
      <w:tr>
        <w:trPr>
          <w:cantSplit/>
        </w:trPr>
        <w:tc>
          <w:tcPr>
            <w:tcW w:type="dxa" w:w="1800"/>
            <w:shd w:fill="F3F1F0"/>
            <w:vAlign w:val="center"/>
            <w:tcMar>
              <w:top w:w="100" w:type="dxa"/>
              <w:start w:w="120" w:type="dxa"/>
              <w:bottom w:w="100" w:type="dxa"/>
              <w:end w:w="120" w:type="dxa"/>
            </w:tcMar>
          </w:tcPr>
          <w:p>
            <w:pPr>
              <w:spacing w:after="0" w:line="252" w:lineRule="auto"/>
            </w:pPr>
            <w:r/>
            <w:r>
              <w:rPr>
                <w:rFonts w:ascii="Calibri" w:hAnsi="Calibri"/>
                <w:b/>
                <w:color w:val="754B47"/>
                <w:sz w:val="17"/>
              </w:rPr>
              <w:t>Insufficient</w:t>
            </w:r>
          </w:p>
        </w:tc>
        <w:tc>
          <w:tcPr>
            <w:tcW w:type="dxa" w:w="7560"/>
            <w:vAlign w:val="center"/>
            <w:tcMar>
              <w:top w:w="100" w:type="dxa"/>
              <w:start w:w="120" w:type="dxa"/>
              <w:bottom w:w="100" w:type="dxa"/>
              <w:end w:w="120" w:type="dxa"/>
            </w:tcMar>
          </w:tcPr>
          <w:p>
            <w:pPr>
              <w:spacing w:after="0" w:line="252" w:lineRule="auto"/>
            </w:pPr>
            <w:r/>
            <w:r>
              <w:rPr>
                <w:rFonts w:ascii="Calibri" w:hAnsi="Calibri"/>
                <w:b w:val="0"/>
                <w:color w:val="3E3533"/>
                <w:sz w:val="17"/>
              </w:rPr>
              <w:t>Available public evidence does not answer the decision with adequate specificity.</w:t>
            </w:r>
          </w:p>
        </w:tc>
      </w:tr>
    </w:tbl>
    <w:p>
      <w:pPr>
        <w:pStyle w:val="Heading2"/>
        <w:keepNext/>
        <w:keepLines/>
      </w:pPr>
      <w:r>
        <w:t>Two evidence layers kept separate</w:t>
      </w:r>
    </w:p>
    <w:p>
      <w:pPr>
        <w:numPr>
          <w:ilvl w:val="0"/>
          <w:numId w:val="10"/>
        </w:numPr>
        <w:spacing w:after="80" w:line="300" w:lineRule="auto"/>
      </w:pPr>
      <w:r>
        <w:rPr>
          <w:rFonts w:ascii="Calibri" w:hAnsi="Calibri"/>
          <w:color w:val="3E3533"/>
          <w:sz w:val="22"/>
        </w:rPr>
        <w:t>Creighton/general evidence: official public descriptions and peer-reviewed studies of trained charting support or qualify a broad concept.</w:t>
      </w:r>
    </w:p>
    <w:p>
      <w:pPr>
        <w:numPr>
          <w:ilvl w:val="0"/>
          <w:numId w:val="10"/>
        </w:numPr>
        <w:spacing w:after="80" w:line="300" w:lineRule="auto"/>
      </w:pPr>
      <w:r>
        <w:rPr>
          <w:rFonts w:ascii="Calibri" w:hAnsi="Calibri"/>
          <w:color w:val="3E3533"/>
          <w:sz w:val="22"/>
        </w:rPr>
        <w:t>Well Within-specific validation: evidence that the app's exact inputs, transformation, algorithm, missing-data behavior, wording, and population work as intended. No such validation was located.</w:t>
      </w:r>
    </w:p>
    <w:p>
      <w:pPr>
        <w:numPr>
          <w:ilvl w:val="0"/>
          <w:numId w:val="10"/>
        </w:numPr>
        <w:spacing w:after="80" w:line="300" w:lineRule="auto"/>
      </w:pPr>
      <w:r>
        <w:rPr>
          <w:rFonts w:ascii="Calibri" w:hAnsi="Calibri"/>
          <w:color w:val="3E3533"/>
          <w:sz w:val="22"/>
        </w:rPr>
        <w:t>Implementation context: Action 5 audits and tests describe what the product does and whether it is internally consistent. They are not clinical evidence.</w:t>
      </w:r>
    </w:p>
    <w:p>
      <w:pPr>
        <w:pStyle w:val="Heading2"/>
        <w:keepNext/>
        <w:keepLines/>
      </w:pPr>
      <w:r>
        <w:t>Research boundaries</w:t>
      </w:r>
    </w:p>
    <w:p>
      <w:pPr>
        <w:numPr>
          <w:ilvl w:val="0"/>
          <w:numId w:val="10"/>
        </w:numPr>
        <w:spacing w:after="80" w:line="300" w:lineRule="auto"/>
      </w:pPr>
      <w:r>
        <w:rPr>
          <w:rFonts w:ascii="Calibri" w:hAnsi="Calibri"/>
          <w:color w:val="3E3533"/>
          <w:sz w:val="22"/>
        </w:rPr>
        <w:t>Public material was not used to reconstruct missing proprietary rules.</w:t>
      </w:r>
    </w:p>
    <w:p>
      <w:pPr>
        <w:numPr>
          <w:ilvl w:val="0"/>
          <w:numId w:val="10"/>
        </w:numPr>
        <w:spacing w:after="80" w:line="300" w:lineRule="auto"/>
      </w:pPr>
      <w:r>
        <w:rPr>
          <w:rFonts w:ascii="Calibri" w:hAnsi="Calibri"/>
          <w:color w:val="3E3533"/>
          <w:sz w:val="22"/>
        </w:rPr>
        <w:t>A public sample that identifies copyrighted material was treated as evidence about selected published concepts, not as a license or complete specification.</w:t>
      </w:r>
    </w:p>
    <w:p>
      <w:pPr>
        <w:numPr>
          <w:ilvl w:val="0"/>
          <w:numId w:val="10"/>
        </w:numPr>
        <w:spacing w:after="80" w:line="300" w:lineRule="auto"/>
      </w:pPr>
      <w:r>
        <w:rPr>
          <w:rFonts w:ascii="Calibri" w:hAnsi="Calibri"/>
          <w:color w:val="3E3533"/>
          <w:sz w:val="22"/>
        </w:rPr>
        <w:t>Clinical evidence was not treated as legal, regulatory, trademark, copyright, licensing, or advertising approval.</w:t>
      </w:r>
    </w:p>
    <w:p>
      <w:pPr>
        <w:numPr>
          <w:ilvl w:val="0"/>
          <w:numId w:val="10"/>
        </w:numPr>
        <w:spacing w:after="80" w:line="300" w:lineRule="auto"/>
      </w:pPr>
      <w:r>
        <w:rPr>
          <w:rFonts w:ascii="Calibri" w:hAnsi="Calibri"/>
          <w:color w:val="3E3533"/>
          <w:sz w:val="22"/>
        </w:rPr>
        <w:t>Questions remain unresolved wherever the public record is incomplete or does not match the exact product rule.</w:t>
      </w:r>
    </w:p>
    <w:p>
      <w:pPr>
        <w:numPr>
          <w:ilvl w:val="0"/>
          <w:numId w:val="10"/>
        </w:numPr>
        <w:spacing w:after="80" w:line="300" w:lineRule="auto"/>
      </w:pPr>
      <w:r>
        <w:rPr>
          <w:rFonts w:ascii="Calibri" w:hAnsi="Calibri"/>
          <w:color w:val="3E3533"/>
          <w:sz w:val="22"/>
        </w:rPr>
        <w:t>The requested 20-chart set should be called a reviewer conformance/adjudication set, not clinical validation, unless a qualified protocol defines a validation study.</w:t>
      </w:r>
    </w:p>
    <w:tbl>
      <w:tblPr>
        <w:tblW w:type="dxa" w:w="9360"/>
        <w:tblLayout w:type="fixed"/>
        <w:tblLook w:firstColumn="1" w:firstRow="1" w:lastColumn="0" w:lastRow="0" w:noHBand="0" w:noVBand="1" w:val="04A0"/>
        <w:tblInd w:w="120" w:type="dxa"/>
        <w:tblBorders>
          <w:top w:val="single" w:sz="2" w:space="0" w:color="F3F1F0"/>
          <w:left w:val="single" w:sz="2" w:space="0" w:color="F3F1F0"/>
          <w:bottom w:val="single" w:sz="2" w:space="0" w:color="F3F1F0"/>
          <w:right w:val="single" w:sz="2" w:space="0" w:color="F3F1F0"/>
          <w:insideH w:val="single" w:sz="2" w:space="0" w:color="F3F1F0"/>
          <w:insideV w:val="single" w:sz="2" w:space="0" w:color="F3F1F0"/>
        </w:tblBorders>
      </w:tblPr>
      <w:tblGrid>
        <w:gridCol w:w="9360"/>
      </w:tblGrid>
      <w:tr>
        <w:trPr>
          <w:cantSplit/>
        </w:trPr>
        <w:tc>
          <w:tcPr>
            <w:tcW w:type="dxa" w:w="9360"/>
            <w:vAlign w:val="center"/>
            <w:tcMar>
              <w:top w:w="100" w:type="dxa"/>
              <w:start w:w="120" w:type="dxa"/>
              <w:bottom w:w="100" w:type="dxa"/>
              <w:end w:w="120" w:type="dxa"/>
            </w:tcMar>
            <w:shd w:fill="F3F1F0"/>
          </w:tcPr>
          <w:p>
            <w:pPr>
              <w:spacing w:after="0" w:line="276" w:lineRule="auto"/>
            </w:pPr>
            <w:r>
              <w:rPr>
                <w:rFonts w:ascii="Calibri" w:hAnsi="Calibri"/>
                <w:b/>
                <w:color w:val="754B47"/>
                <w:sz w:val="21"/>
              </w:rPr>
              <w:t xml:space="preserve">Implementation context reviewed  </w:t>
            </w:r>
            <w:r>
              <w:rPr>
                <w:rFonts w:ascii="Calibri" w:hAnsi="Calibri"/>
                <w:color w:val="3E3533"/>
                <w:sz w:val="21"/>
              </w:rPr>
              <w:t>ACTION_5_GOAL, REPORT, CORRECTNESS_FINDINGS, RULE_PROVENANCE_MATRIX, SOURCE_REGISTER, CLAIM_REVIEW_MATRIX, CLINICAL_REVIEW_FIXTURES, UX_SURFACING_SPEC, PHASE_1A_IMPLEMENTATION, and PHASE_1B_IMPLEMENTATION.</w:t>
            </w:r>
          </w:p>
        </w:tc>
      </w:tr>
    </w:tbl>
    <w:p>
      <w:pPr>
        <w:spacing w:after="40"/>
      </w:pPr>
    </w:p>
    <w:p>
      <w:r>
        <w:br w:type="page"/>
      </w:r>
    </w:p>
    <w:p>
      <w:pPr>
        <w:pStyle w:val="Heading1"/>
        <w:keepNext/>
        <w:keepLines/>
      </w:pPr>
      <w:r>
        <w:t>Clinical decision records</w:t>
      </w:r>
    </w:p>
    <w:p>
      <w:pPr>
        <w:spacing w:after="80" w:line="264" w:lineRule="auto"/>
      </w:pPr>
      <w:r>
        <w:rPr>
          <w:rFonts w:ascii="Calibri" w:hAnsi="Calibri"/>
          <w:color w:val="3E3533"/>
          <w:sz w:val="18"/>
        </w:rPr>
        <w:t>Each record separates broad method evidence from evidence for the exact Well Within implementation. The reviewer disposition is intentionally blank.</w:t>
      </w:r>
    </w:p>
    <w:p>
      <w:pPr>
        <w:pStyle w:val="Heading1"/>
        <w:keepNext/>
        <w:keepLines/>
      </w:pPr>
      <w:r>
        <w:t>D-01  |  Daily observation reduction</w:t>
      </w:r>
    </w:p>
    <w:tbl>
      <w:tblPr>
        <w:tblW w:type="dxa" w:w="9360"/>
        <w:tblLayout w:type="fixed"/>
        <w:tblLook w:firstColumn="1" w:firstRow="1" w:lastColumn="0" w:lastRow="0" w:noHBand="0" w:noVBand="1" w:val="04A0"/>
        <w:tblInd w:w="120" w:type="dxa"/>
        <w:tblBorders>
          <w:top w:val="single" w:sz="2" w:space="0" w:color="F6F0DD"/>
          <w:left w:val="single" w:sz="2" w:space="0" w:color="F6F0DD"/>
          <w:bottom w:val="single" w:sz="2" w:space="0" w:color="F6F0DD"/>
          <w:right w:val="single" w:sz="2" w:space="0" w:color="F6F0DD"/>
          <w:insideH w:val="single" w:sz="2" w:space="0" w:color="F6F0DD"/>
          <w:insideV w:val="single" w:sz="2" w:space="0" w:color="F6F0DD"/>
        </w:tblBorders>
      </w:tblPr>
      <w:tblGrid>
        <w:gridCol w:w="1700"/>
        <w:gridCol w:w="7660"/>
      </w:tblGrid>
      <w:tr>
        <w:trPr>
          <w:cantSplit/>
        </w:trPr>
        <w:tc>
          <w:tcPr>
            <w:tcW w:type="dxa" w:w="1700"/>
            <w:vAlign w:val="center"/>
            <w:tcMar>
              <w:top w:w="100" w:type="dxa"/>
              <w:start w:w="120" w:type="dxa"/>
              <w:bottom w:w="100" w:type="dxa"/>
              <w:end w:w="120" w:type="dxa"/>
            </w:tcMar>
            <w:shd w:fill="F6F0DD"/>
          </w:tcPr>
          <w:p>
            <w:pPr>
              <w:spacing w:after="0" w:line="252" w:lineRule="auto"/>
            </w:pPr>
            <w:r/>
            <w:r>
              <w:rPr>
                <w:rFonts w:ascii="Calibri" w:hAnsi="Calibri"/>
                <w:b/>
                <w:color w:val="7B6427"/>
                <w:sz w:val="18"/>
              </w:rPr>
              <w:t>EVIDENCE</w:t>
              <w:br/>
              <w:t>MIXED</w:t>
            </w:r>
          </w:p>
        </w:tc>
        <w:tc>
          <w:tcPr>
            <w:tcW w:type="dxa" w:w="7660"/>
            <w:vAlign w:val="center"/>
            <w:tcMar>
              <w:top w:w="100" w:type="dxa"/>
              <w:start w:w="120" w:type="dxa"/>
              <w:bottom w:w="100" w:type="dxa"/>
              <w:end w:w="120" w:type="dxa"/>
            </w:tcMar>
            <w:shd w:fill="F6F0DD"/>
          </w:tcPr>
          <w:p>
            <w:pPr>
              <w:spacing w:after="0" w:line="252" w:lineRule="auto"/>
            </w:pPr>
            <w:r/>
            <w:r>
              <w:rPr>
                <w:rFonts w:ascii="Calibri" w:hAnsi="Calibri"/>
                <w:b w:val="0"/>
                <w:color w:val="3E3533"/>
                <w:sz w:val="18"/>
              </w:rPr>
              <w:t>The general idea of recording the most fertile sign is publicly supported. The app's exact 0-3 ranking, tie handling, conflicting-entry handling, and use of a single reduced value are not publicly validated.</w:t>
            </w:r>
          </w:p>
        </w:tc>
      </w:tr>
    </w:tbl>
    <w:p>
      <w:pPr>
        <w:spacing w:after="20"/>
      </w:pP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750"/>
        <w:gridCol w:w="7610"/>
      </w:tblGrid>
      <w:tr>
        <w:trPr>
          <w:cantSplit/>
        </w:trPr>
        <w:tc>
          <w:tcPr>
            <w:tcW w:type="dxa" w:w="1750"/>
            <w:vAlign w:val="center"/>
            <w:tcMar>
              <w:top w:w="100" w:type="dxa"/>
              <w:start w:w="120" w:type="dxa"/>
              <w:bottom w:w="100" w:type="dxa"/>
              <w:end w:w="120" w:type="dxa"/>
            </w:tcMar>
            <w:shd w:fill="F3F1F0"/>
          </w:tcPr>
          <w:p>
            <w:pPr>
              <w:spacing w:after="0" w:line="252" w:lineRule="auto"/>
            </w:pPr>
            <w:r/>
            <w:r>
              <w:rPr>
                <w:rFonts w:ascii="Calibri" w:hAnsi="Calibri"/>
                <w:b/>
                <w:color w:val="754B47"/>
                <w:sz w:val="16"/>
              </w:rPr>
              <w:t>Audit references</w:t>
            </w:r>
          </w:p>
        </w:tc>
        <w:tc>
          <w:tcPr>
            <w:tcW w:type="dxa" w:w="7610"/>
            <w:vAlign w:val="center"/>
            <w:tcMar>
              <w:top w:w="100" w:type="dxa"/>
              <w:start w:w="120" w:type="dxa"/>
              <w:bottom w:w="100" w:type="dxa"/>
              <w:end w:w="120" w:type="dxa"/>
            </w:tcMar>
          </w:tcPr>
          <w:p>
            <w:pPr>
              <w:spacing w:after="0" w:line="252" w:lineRule="auto"/>
            </w:pPr>
            <w:r/>
            <w:r>
              <w:rPr>
                <w:rFonts w:ascii="Calibri" w:hAnsi="Calibri"/>
                <w:b w:val="0"/>
                <w:color w:val="3E3533"/>
                <w:sz w:val="16"/>
              </w:rPr>
              <w:t>R-01; I-08</w:t>
            </w:r>
          </w:p>
        </w:tc>
      </w:tr>
      <w:tr>
        <w:trPr>
          <w:cantSplit/>
        </w:trPr>
        <w:tc>
          <w:tcPr>
            <w:tcW w:type="dxa" w:w="1750"/>
            <w:vAlign w:val="center"/>
            <w:tcMar>
              <w:top w:w="100" w:type="dxa"/>
              <w:start w:w="120" w:type="dxa"/>
              <w:bottom w:w="100" w:type="dxa"/>
              <w:end w:w="120" w:type="dxa"/>
            </w:tcMar>
            <w:shd w:fill="F3F1F0"/>
          </w:tcPr>
          <w:p>
            <w:pPr>
              <w:spacing w:after="0" w:line="252" w:lineRule="auto"/>
            </w:pPr>
            <w:r/>
            <w:r>
              <w:rPr>
                <w:rFonts w:ascii="Calibri" w:hAnsi="Calibri"/>
                <w:b/>
                <w:color w:val="754B47"/>
                <w:sz w:val="16"/>
              </w:rPr>
              <w:t>Current behavior</w:t>
            </w:r>
          </w:p>
        </w:tc>
        <w:tc>
          <w:tcPr>
            <w:tcW w:type="dxa" w:w="7610"/>
            <w:vAlign w:val="center"/>
            <w:tcMar>
              <w:top w:w="100" w:type="dxa"/>
              <w:start w:w="120" w:type="dxa"/>
              <w:bottom w:w="100" w:type="dxa"/>
              <w:end w:w="120" w:type="dxa"/>
            </w:tcMar>
          </w:tcPr>
          <w:p>
            <w:pPr>
              <w:spacing w:after="0" w:line="252" w:lineRule="auto"/>
            </w:pPr>
            <w:r/>
            <w:r>
              <w:rPr>
                <w:rFonts w:ascii="Calibri" w:hAnsi="Calibri"/>
                <w:b w:val="0"/>
                <w:color w:val="3E3533"/>
                <w:sz w:val="16"/>
              </w:rPr>
              <w:t>The engine normalizes each observation, then uses the highest internal 0-3 rank as the day's interpretive value. The original observations remain stored.</w:t>
            </w:r>
          </w:p>
        </w:tc>
      </w:tr>
    </w:tbl>
    <w:p>
      <w:pPr>
        <w:pStyle w:val="Heading2"/>
        <w:keepNext/>
        <w:keepLines/>
      </w:pPr>
      <w:r>
        <w:t>Public evidence about Creighton / general FABM</w:t>
      </w:r>
    </w:p>
    <w:p>
      <w:pPr>
        <w:numPr>
          <w:ilvl w:val="0"/>
          <w:numId w:val="10"/>
        </w:numPr>
        <w:spacing w:after="40" w:line="254" w:lineRule="auto"/>
      </w:pPr>
      <w:r>
        <w:rPr>
          <w:rFonts w:ascii="Calibri" w:hAnsi="Calibri"/>
          <w:color w:val="3E3533"/>
          <w:sz w:val="18"/>
        </w:rPr>
        <w:t>The public sample instructs users to chart daily and record the most fertile sign. That supports a strongest-sign concept at the method level.</w:t>
      </w:r>
    </w:p>
    <w:p>
      <w:pPr>
        <w:pStyle w:val="SmallNote"/>
        <w:spacing w:after="40" w:line="245" w:lineRule="auto"/>
        <w:ind w:left="245" w:hanging="245"/>
      </w:pPr>
      <w:r>
        <w:rPr>
          <w:rFonts w:ascii="Calibri" w:hAnsi="Calibri"/>
          <w:b/>
          <w:color w:val="754B47"/>
          <w:sz w:val="15"/>
        </w:rPr>
        <w:t xml:space="preserve">[P1] </w:t>
      </w:r>
      <w:hyperlink r:id="rId12">
        <w:r>
          <w:rPr>
            <w:rFonts w:ascii="Calibri" w:hAnsi="Calibri"/>
            <w:color w:val="7C4F70"/>
            <w:u w:val="single"/>
          </w:rPr>
          <w:t>Saint Paul VI Institute. CrMS App Copyright: Samples of Intellectual Property/Copyrighted Material, p. 3 (public PDF).</w:t>
        </w:r>
      </w:hyperlink>
    </w:p>
    <w:p>
      <w:pPr>
        <w:numPr>
          <w:ilvl w:val="0"/>
          <w:numId w:val="10"/>
        </w:numPr>
        <w:spacing w:after="40" w:line="254" w:lineRule="auto"/>
      </w:pPr>
      <w:r>
        <w:rPr>
          <w:rFonts w:ascii="Calibri" w:hAnsi="Calibri"/>
          <w:color w:val="3E3533"/>
          <w:sz w:val="18"/>
        </w:rPr>
        <w:t>Research comparing woman-, expert-, and computer-selected Peak Day shows that chart reduction and interpretation are not interchangeable across people or algorithms.</w:t>
      </w:r>
    </w:p>
    <w:p>
      <w:pPr>
        <w:pStyle w:val="SmallNote"/>
        <w:spacing w:after="40" w:line="245" w:lineRule="auto"/>
        <w:ind w:left="245" w:hanging="245"/>
      </w:pPr>
      <w:r>
        <w:rPr>
          <w:rFonts w:ascii="Calibri" w:hAnsi="Calibri"/>
          <w:b/>
          <w:color w:val="754B47"/>
          <w:sz w:val="15"/>
        </w:rPr>
        <w:t xml:space="preserve">[R2] </w:t>
      </w:r>
      <w:hyperlink r:id="rId13">
        <w:r>
          <w:rPr>
            <w:rFonts w:ascii="Calibri" w:hAnsi="Calibri"/>
            <w:color w:val="7C4F70"/>
            <w:u w:val="single"/>
          </w:rPr>
          <w:t>Stanford JB, Schliep KC, Chang C-P, O'Sullivan J-P, Porucznik CA. Comparison of woman-picked, expert-picked, and computer-picked Peak Day of cervical mucus with blinded urine luteinising hormone surge for concurrent identification of ovulation. Paediatr Perinat Epidemiol. 2020;34(2):105-113. doi:10.1111/ppe.12642.</w:t>
        </w:r>
      </w:hyperlink>
    </w:p>
    <w:p>
      <w:pPr>
        <w:pStyle w:val="Heading2"/>
        <w:keepNext/>
        <w:keepLines/>
      </w:pPr>
      <w:r>
        <w:t>Evidence validating Well Within's specific implementation</w:t>
      </w:r>
    </w:p>
    <w:tbl>
      <w:tblPr>
        <w:tblW w:type="dxa" w:w="9360"/>
        <w:tblLayout w:type="fixed"/>
        <w:tblLook w:firstColumn="1" w:firstRow="1" w:lastColumn="0" w:lastRow="0" w:noHBand="0" w:noVBand="1" w:val="04A0"/>
        <w:tblInd w:w="120" w:type="dxa"/>
        <w:tblBorders>
          <w:top w:val="single" w:sz="2" w:space="0" w:color="F3F1F0"/>
          <w:left w:val="single" w:sz="2" w:space="0" w:color="F3F1F0"/>
          <w:bottom w:val="single" w:sz="2" w:space="0" w:color="F3F1F0"/>
          <w:right w:val="single" w:sz="2" w:space="0" w:color="F3F1F0"/>
          <w:insideH w:val="single" w:sz="2" w:space="0" w:color="F3F1F0"/>
          <w:insideV w:val="single" w:sz="2" w:space="0" w:color="F3F1F0"/>
        </w:tblBorders>
      </w:tblPr>
      <w:tblGrid>
        <w:gridCol w:w="9360"/>
      </w:tblGrid>
      <w:tr>
        <w:trPr>
          <w:cantSplit/>
        </w:trPr>
        <w:tc>
          <w:tcPr>
            <w:tcW w:type="dxa" w:w="9360"/>
            <w:vAlign w:val="center"/>
            <w:tcMar>
              <w:top w:w="100" w:type="dxa"/>
              <w:start w:w="120" w:type="dxa"/>
              <w:bottom w:w="100" w:type="dxa"/>
              <w:end w:w="120" w:type="dxa"/>
            </w:tcMar>
            <w:shd w:fill="F3F1F0"/>
          </w:tcPr>
          <w:p>
            <w:pPr>
              <w:spacing w:after="0" w:line="276" w:lineRule="auto"/>
            </w:pPr>
            <w:r>
              <w:rPr>
                <w:rFonts w:ascii="Calibri" w:hAnsi="Calibri"/>
                <w:b/>
                <w:color w:val="754B47"/>
                <w:sz w:val="21"/>
              </w:rPr>
              <w:t xml:space="preserve">PRODUCT-SPECIFIC EVIDENCE  </w:t>
            </w:r>
            <w:r>
              <w:rPr>
                <w:rFonts w:ascii="Calibri" w:hAnsi="Calibri"/>
                <w:color w:val="3E3533"/>
                <w:sz w:val="21"/>
              </w:rPr>
              <w:t>Insufficient. Internal tests show that Well Within applies its rank consistently and retains the original observations; no public study validates this rank, its tie rules, or its output for conflicting observations.</w:t>
            </w:r>
          </w:p>
        </w:tc>
      </w:tr>
    </w:tbl>
    <w:p>
      <w:pPr>
        <w:spacing w:after="40"/>
      </w:pPr>
    </w:p>
    <w:p>
      <w:pPr>
        <w:pStyle w:val="Heading2"/>
        <w:keepNext/>
        <w:keepLines/>
      </w:pPr>
      <w:r>
        <w:t>AI draft disposition for qualified review</w:t>
      </w:r>
    </w:p>
    <w:p>
      <w:pPr>
        <w:spacing w:after="80" w:line="264" w:lineRule="auto"/>
      </w:pPr>
      <w:r>
        <w:rPr>
          <w:rFonts w:ascii="Calibri" w:hAnsi="Calibri"/>
          <w:color w:val="3E3533"/>
          <w:sz w:val="18"/>
        </w:rPr>
        <w:t>Hold the exact software reduction rule for qualified review. A reviewer may accept the broad strongest-sign concept while separately adjudicating every mapped input and conflict case.</w:t>
      </w:r>
    </w:p>
    <w:p>
      <w:pPr>
        <w:spacing w:after="80" w:line="264" w:lineRule="auto"/>
      </w:pPr>
      <w:r>
        <w:rPr>
          <w:rFonts w:ascii="Calibri" w:hAnsi="Calibri"/>
          <w:b/>
          <w:color w:val="3E3533"/>
          <w:sz w:val="18"/>
        </w:rPr>
        <w:t xml:space="preserve">Authorized-source boundary: </w:t>
      </w:r>
      <w:r>
        <w:rPr>
          <w:rFonts w:ascii="Calibri" w:hAnsi="Calibri"/>
          <w:color w:val="3E3533"/>
          <w:sz w:val="18"/>
        </w:rPr>
        <w:t>Do not infer the proprietary ordering, exceptions, or conflict rules from a public sample. Require the reviewer to cite an authorized source edition and page or expressly document clinical judgment.</w:t>
      </w:r>
    </w:p>
    <w:p>
      <w:pPr>
        <w:pStyle w:val="Heading2"/>
        <w:keepNext/>
        <w:keepLines/>
      </w:pPr>
      <w:r>
        <w:t>Questions the reviewer must decide</w:t>
      </w:r>
    </w:p>
    <w:p>
      <w:pPr>
        <w:numPr>
          <w:ilvl w:val="0"/>
          <w:numId w:val="10"/>
        </w:numPr>
        <w:spacing w:after="80" w:line="300" w:lineRule="auto"/>
      </w:pPr>
      <w:r>
        <w:rPr>
          <w:rFonts w:ascii="Calibri" w:hAnsi="Calibri"/>
          <w:color w:val="3E3533"/>
          <w:sz w:val="22"/>
        </w:rPr>
        <w:t>Is strongest-sign reduction appropriate for every supported context?</w:t>
      </w:r>
    </w:p>
    <w:p>
      <w:pPr>
        <w:numPr>
          <w:ilvl w:val="0"/>
          <w:numId w:val="10"/>
        </w:numPr>
        <w:spacing w:after="80" w:line="300" w:lineRule="auto"/>
      </w:pPr>
      <w:r>
        <w:rPr>
          <w:rFonts w:ascii="Calibri" w:hAnsi="Calibri"/>
          <w:color w:val="3E3533"/>
          <w:sz w:val="22"/>
        </w:rPr>
        <w:t>For conflicting observations, should the app select, warn, require correction, or record without interpretation?</w:t>
      </w:r>
    </w:p>
    <w:p>
      <w:pPr>
        <w:numPr>
          <w:ilvl w:val="0"/>
          <w:numId w:val="10"/>
        </w:numPr>
        <w:spacing w:after="80" w:line="300" w:lineRule="auto"/>
      </w:pPr>
      <w:r>
        <w:rPr>
          <w:rFonts w:ascii="Calibri" w:hAnsi="Calibri"/>
          <w:color w:val="3E3533"/>
          <w:sz w:val="22"/>
        </w:rPr>
        <w:t>Which original details must remain visible next to a reduced value?</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9360"/>
      </w:tblGrid>
      <w:tr>
        <w:trPr>
          <w:cantSplit/>
        </w:trPr>
        <w:tc>
          <w:tcPr>
            <w:tcW w:type="dxa" w:w="9360"/>
            <w:vAlign w:val="center"/>
            <w:tcMar>
              <w:top w:w="100" w:type="dxa"/>
              <w:start w:w="120" w:type="dxa"/>
              <w:bottom w:w="100" w:type="dxa"/>
              <w:end w:w="120" w:type="dxa"/>
            </w:tcMar>
            <w:shd w:fill="EAF1ED"/>
          </w:tcPr>
          <w:p>
            <w:pPr>
              <w:spacing w:after="40"/>
            </w:pPr>
            <w:r>
              <w:rPr>
                <w:rFonts w:ascii="Calibri" w:hAnsi="Calibri"/>
                <w:b/>
                <w:color w:val="754B47"/>
                <w:sz w:val="18"/>
              </w:rPr>
              <w:t>Qualified reviewer disposition — intentionally blank</w:t>
            </w:r>
          </w:p>
          <w:p>
            <w:pPr>
              <w:spacing w:after="40"/>
            </w:pPr>
            <w:r>
              <w:rPr>
                <w:rFonts w:ascii="Calibri" w:hAnsi="Calibri"/>
                <w:color w:val="3E3533"/>
                <w:sz w:val="16"/>
              </w:rPr>
              <w:t>[ ] Accept for defined scope   [ ] Revise   [ ] No automated interpretation   [ ] Hold for authorized evidence</w:t>
            </w:r>
          </w:p>
          <w:p>
            <w:pPr>
              <w:spacing w:after="0"/>
            </w:pPr>
            <w:r>
              <w:rPr>
                <w:rFonts w:ascii="Calibri" w:hAnsi="Calibri"/>
                <w:color w:val="6F6663"/>
                <w:sz w:val="16"/>
              </w:rPr>
              <w:t>Scope, required change, source edition/page, or notes:  ___________________________________________________________________</w:t>
            </w:r>
          </w:p>
        </w:tc>
      </w:tr>
    </w:tbl>
    <w:p>
      <w:r>
        <w:br w:type="page"/>
      </w:r>
    </w:p>
    <w:p>
      <w:pPr>
        <w:pStyle w:val="Heading1"/>
        <w:keepNext/>
        <w:keepLines/>
      </w:pPr>
      <w:r>
        <w:t>D-02  |  Sensation, appearance, and generated notation</w:t>
      </w:r>
    </w:p>
    <w:tbl>
      <w:tblPr>
        <w:tblW w:type="dxa" w:w="9360"/>
        <w:tblLayout w:type="fixed"/>
        <w:tblLook w:firstColumn="1" w:firstRow="1" w:lastColumn="0" w:lastRow="0" w:noHBand="0" w:noVBand="1" w:val="04A0"/>
        <w:tblInd w:w="120" w:type="dxa"/>
        <w:tblBorders>
          <w:top w:val="single" w:sz="2" w:space="0" w:color="F6F0DD"/>
          <w:left w:val="single" w:sz="2" w:space="0" w:color="F6F0DD"/>
          <w:bottom w:val="single" w:sz="2" w:space="0" w:color="F6F0DD"/>
          <w:right w:val="single" w:sz="2" w:space="0" w:color="F6F0DD"/>
          <w:insideH w:val="single" w:sz="2" w:space="0" w:color="F6F0DD"/>
          <w:insideV w:val="single" w:sz="2" w:space="0" w:color="F6F0DD"/>
        </w:tblBorders>
      </w:tblPr>
      <w:tblGrid>
        <w:gridCol w:w="1700"/>
        <w:gridCol w:w="7660"/>
      </w:tblGrid>
      <w:tr>
        <w:trPr>
          <w:cantSplit/>
        </w:trPr>
        <w:tc>
          <w:tcPr>
            <w:tcW w:type="dxa" w:w="1700"/>
            <w:vAlign w:val="center"/>
            <w:tcMar>
              <w:top w:w="100" w:type="dxa"/>
              <w:start w:w="120" w:type="dxa"/>
              <w:bottom w:w="100" w:type="dxa"/>
              <w:end w:w="120" w:type="dxa"/>
            </w:tcMar>
            <w:shd w:fill="F6F0DD"/>
          </w:tcPr>
          <w:p>
            <w:pPr>
              <w:spacing w:after="0" w:line="252" w:lineRule="auto"/>
            </w:pPr>
            <w:r/>
            <w:r>
              <w:rPr>
                <w:rFonts w:ascii="Calibri" w:hAnsi="Calibri"/>
                <w:b/>
                <w:color w:val="7B6427"/>
                <w:sz w:val="18"/>
              </w:rPr>
              <w:t>EVIDENCE</w:t>
              <w:br/>
              <w:t>MIXED</w:t>
            </w:r>
          </w:p>
        </w:tc>
        <w:tc>
          <w:tcPr>
            <w:tcW w:type="dxa" w:w="7660"/>
            <w:vAlign w:val="center"/>
            <w:tcMar>
              <w:top w:w="100" w:type="dxa"/>
              <w:start w:w="120" w:type="dxa"/>
              <w:bottom w:w="100" w:type="dxa"/>
              <w:end w:w="120" w:type="dxa"/>
            </w:tcMar>
            <w:shd w:fill="F6F0DD"/>
          </w:tcPr>
          <w:p>
            <w:pPr>
              <w:spacing w:after="0" w:line="252" w:lineRule="auto"/>
            </w:pPr>
            <w:r/>
            <w:r>
              <w:rPr>
                <w:rFonts w:ascii="Calibri" w:hAnsi="Calibri"/>
                <w:b w:val="0"/>
                <w:color w:val="3E3533"/>
                <w:sz w:val="18"/>
              </w:rPr>
              <w:t>Public material supports several observation terms and sample notation elements, but it does not validate Well Within's complete mapping, suffix order, omitted-frequency behavior, rank scale, or opening-boundary logic.</w:t>
            </w:r>
          </w:p>
        </w:tc>
      </w:tr>
    </w:tbl>
    <w:p>
      <w:pPr>
        <w:spacing w:after="20"/>
      </w:pP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750"/>
        <w:gridCol w:w="7610"/>
      </w:tblGrid>
      <w:tr>
        <w:trPr>
          <w:cantSplit/>
        </w:trPr>
        <w:tc>
          <w:tcPr>
            <w:tcW w:type="dxa" w:w="1750"/>
            <w:vAlign w:val="center"/>
            <w:tcMar>
              <w:top w:w="100" w:type="dxa"/>
              <w:start w:w="120" w:type="dxa"/>
              <w:bottom w:w="100" w:type="dxa"/>
              <w:end w:w="120" w:type="dxa"/>
            </w:tcMar>
            <w:shd w:fill="F3F1F0"/>
          </w:tcPr>
          <w:p>
            <w:pPr>
              <w:spacing w:after="0" w:line="252" w:lineRule="auto"/>
            </w:pPr>
            <w:r/>
            <w:r>
              <w:rPr>
                <w:rFonts w:ascii="Calibri" w:hAnsi="Calibri"/>
                <w:b/>
                <w:color w:val="754B47"/>
                <w:sz w:val="16"/>
              </w:rPr>
              <w:t>Audit references</w:t>
            </w:r>
          </w:p>
        </w:tc>
        <w:tc>
          <w:tcPr>
            <w:tcW w:type="dxa" w:w="7610"/>
            <w:vAlign w:val="center"/>
            <w:tcMar>
              <w:top w:w="100" w:type="dxa"/>
              <w:start w:w="120" w:type="dxa"/>
              <w:bottom w:w="100" w:type="dxa"/>
              <w:end w:w="120" w:type="dxa"/>
            </w:tcMar>
          </w:tcPr>
          <w:p>
            <w:pPr>
              <w:spacing w:after="0" w:line="252" w:lineRule="auto"/>
            </w:pPr>
            <w:r/>
            <w:r>
              <w:rPr>
                <w:rFonts w:ascii="Calibri" w:hAnsi="Calibri"/>
                <w:b w:val="0"/>
                <w:color w:val="3E3533"/>
                <w:sz w:val="16"/>
              </w:rPr>
              <w:t>R-02-R-05; R-07; I-01-I-03; I-09</w:t>
            </w:r>
          </w:p>
        </w:tc>
      </w:tr>
      <w:tr>
        <w:trPr>
          <w:cantSplit/>
        </w:trPr>
        <w:tc>
          <w:tcPr>
            <w:tcW w:type="dxa" w:w="1750"/>
            <w:vAlign w:val="center"/>
            <w:tcMar>
              <w:top w:w="100" w:type="dxa"/>
              <w:start w:w="120" w:type="dxa"/>
              <w:bottom w:w="100" w:type="dxa"/>
              <w:end w:w="120" w:type="dxa"/>
            </w:tcMar>
            <w:shd w:fill="F3F1F0"/>
          </w:tcPr>
          <w:p>
            <w:pPr>
              <w:spacing w:after="0" w:line="252" w:lineRule="auto"/>
            </w:pPr>
            <w:r/>
            <w:r>
              <w:rPr>
                <w:rFonts w:ascii="Calibri" w:hAnsi="Calibri"/>
                <w:b/>
                <w:color w:val="754B47"/>
                <w:sz w:val="16"/>
              </w:rPr>
              <w:t>Current behavior</w:t>
            </w:r>
          </w:p>
        </w:tc>
        <w:tc>
          <w:tcPr>
            <w:tcW w:type="dxa" w:w="7610"/>
            <w:vAlign w:val="center"/>
            <w:tcMar>
              <w:top w:w="100" w:type="dxa"/>
              <w:start w:w="120" w:type="dxa"/>
              <w:bottom w:w="100" w:type="dxa"/>
              <w:end w:w="120" w:type="dxa"/>
            </w:tcMar>
          </w:tcPr>
          <w:p>
            <w:pPr>
              <w:spacing w:after="0" w:line="252" w:lineRule="auto"/>
            </w:pPr>
            <w:r/>
            <w:r>
              <w:rPr>
                <w:rFonts w:ascii="Calibri" w:hAnsi="Calibri"/>
                <w:b w:val="0"/>
                <w:color w:val="3E3533"/>
                <w:sz w:val="16"/>
              </w:rPr>
              <w:t>The app maps sensations, appearances, and frequency into generated notation and a 0-3 interpretive rank. Damp, wet, and shiny inputs can currently open the derived mucus pattern.</w:t>
            </w:r>
          </w:p>
        </w:tc>
      </w:tr>
    </w:tbl>
    <w:p>
      <w:pPr>
        <w:pStyle w:val="Heading2"/>
        <w:keepNext/>
        <w:keepLines/>
      </w:pPr>
      <w:r>
        <w:t>Public evidence about Creighton / general FABM</w:t>
      </w:r>
    </w:p>
    <w:p>
      <w:pPr>
        <w:numPr>
          <w:ilvl w:val="0"/>
          <w:numId w:val="10"/>
        </w:numPr>
        <w:spacing w:after="40" w:line="254" w:lineRule="auto"/>
      </w:pPr>
      <w:r>
        <w:rPr>
          <w:rFonts w:ascii="Calibri" w:hAnsi="Calibri"/>
          <w:color w:val="3E3533"/>
          <w:sz w:val="18"/>
        </w:rPr>
        <w:t>The public sample lists selected sensation, appearance, frequency, and notation examples, including dry, damp, wet, shiny, sticky, tacky, stretchy, and several appearance letters.</w:t>
      </w:r>
    </w:p>
    <w:p>
      <w:pPr>
        <w:pStyle w:val="SmallNote"/>
        <w:spacing w:after="40" w:line="245" w:lineRule="auto"/>
        <w:ind w:left="245" w:hanging="245"/>
      </w:pPr>
      <w:r>
        <w:rPr>
          <w:rFonts w:ascii="Calibri" w:hAnsi="Calibri"/>
          <w:b/>
          <w:color w:val="754B47"/>
          <w:sz w:val="15"/>
        </w:rPr>
        <w:t xml:space="preserve">[P1] </w:t>
      </w:r>
      <w:hyperlink r:id="rId12">
        <w:r>
          <w:rPr>
            <w:rFonts w:ascii="Calibri" w:hAnsi="Calibri"/>
            <w:color w:val="7C4F70"/>
            <w:u w:val="single"/>
          </w:rPr>
          <w:t>Saint Paul VI Institute. CrMS App Copyright: Samples of Intellectual Property/Copyrighted Material, p. 3 (public PDF).</w:t>
        </w:r>
      </w:hyperlink>
    </w:p>
    <w:p>
      <w:pPr>
        <w:numPr>
          <w:ilvl w:val="0"/>
          <w:numId w:val="10"/>
        </w:numPr>
        <w:spacing w:after="40" w:line="254" w:lineRule="auto"/>
      </w:pPr>
      <w:r>
        <w:rPr>
          <w:rFonts w:ascii="Calibri" w:hAnsi="Calibri"/>
          <w:color w:val="3E3533"/>
          <w:sz w:val="18"/>
        </w:rPr>
        <w:t>Official descriptions place these observations inside a standardized system taught with individualized instruction and follow-up.</w:t>
      </w:r>
    </w:p>
    <w:p>
      <w:pPr>
        <w:pStyle w:val="SmallNote"/>
        <w:spacing w:after="40" w:line="245" w:lineRule="auto"/>
        <w:ind w:left="245" w:hanging="245"/>
      </w:pPr>
      <w:r>
        <w:rPr>
          <w:rFonts w:ascii="Calibri" w:hAnsi="Calibri"/>
          <w:b/>
          <w:color w:val="754B47"/>
          <w:sz w:val="15"/>
        </w:rPr>
        <w:t xml:space="preserve">[P2] </w:t>
      </w:r>
      <w:hyperlink r:id="rId14">
        <w:r>
          <w:rPr>
            <w:rFonts w:ascii="Calibri" w:hAnsi="Calibri"/>
            <w:color w:val="7C4F70"/>
            <w:u w:val="single"/>
          </w:rPr>
          <w:t>Creighton Model FertilityCare System. About the Creighton Model FertilityCare System.</w:t>
        </w:r>
      </w:hyperlink>
    </w:p>
    <w:p>
      <w:pPr>
        <w:pStyle w:val="SmallNote"/>
        <w:spacing w:after="40" w:line="245" w:lineRule="auto"/>
        <w:ind w:left="245" w:hanging="245"/>
      </w:pPr>
      <w:r>
        <w:rPr>
          <w:rFonts w:ascii="Calibri" w:hAnsi="Calibri"/>
          <w:b/>
          <w:color w:val="754B47"/>
          <w:sz w:val="15"/>
        </w:rPr>
        <w:t xml:space="preserve">[P4] </w:t>
      </w:r>
      <w:hyperlink r:id="rId15">
        <w:r>
          <w:rPr>
            <w:rFonts w:ascii="Calibri" w:hAnsi="Calibri"/>
            <w:color w:val="7C4F70"/>
            <w:u w:val="single"/>
          </w:rPr>
          <w:t>FertilityCare Centers of America. The Creighton Model System.</w:t>
        </w:r>
      </w:hyperlink>
    </w:p>
    <w:p>
      <w:pPr>
        <w:pStyle w:val="Heading2"/>
        <w:keepNext/>
        <w:keepLines/>
      </w:pPr>
      <w:r>
        <w:t>Evidence validating Well Within's specific implementation</w:t>
      </w:r>
    </w:p>
    <w:tbl>
      <w:tblPr>
        <w:tblW w:type="dxa" w:w="9360"/>
        <w:tblLayout w:type="fixed"/>
        <w:tblLook w:firstColumn="1" w:firstRow="1" w:lastColumn="0" w:lastRow="0" w:noHBand="0" w:noVBand="1" w:val="04A0"/>
        <w:tblInd w:w="120" w:type="dxa"/>
        <w:tblBorders>
          <w:top w:val="single" w:sz="2" w:space="0" w:color="F3F1F0"/>
          <w:left w:val="single" w:sz="2" w:space="0" w:color="F3F1F0"/>
          <w:bottom w:val="single" w:sz="2" w:space="0" w:color="F3F1F0"/>
          <w:right w:val="single" w:sz="2" w:space="0" w:color="F3F1F0"/>
          <w:insideH w:val="single" w:sz="2" w:space="0" w:color="F3F1F0"/>
          <w:insideV w:val="single" w:sz="2" w:space="0" w:color="F3F1F0"/>
        </w:tblBorders>
      </w:tblPr>
      <w:tblGrid>
        <w:gridCol w:w="9360"/>
      </w:tblGrid>
      <w:tr>
        <w:trPr>
          <w:cantSplit/>
        </w:trPr>
        <w:tc>
          <w:tcPr>
            <w:tcW w:type="dxa" w:w="9360"/>
            <w:vAlign w:val="center"/>
            <w:tcMar>
              <w:top w:w="100" w:type="dxa"/>
              <w:start w:w="120" w:type="dxa"/>
              <w:bottom w:w="100" w:type="dxa"/>
              <w:end w:w="120" w:type="dxa"/>
            </w:tcMar>
            <w:shd w:fill="F3F1F0"/>
          </w:tcPr>
          <w:p>
            <w:pPr>
              <w:spacing w:after="0" w:line="276" w:lineRule="auto"/>
            </w:pPr>
            <w:r>
              <w:rPr>
                <w:rFonts w:ascii="Calibri" w:hAnsi="Calibri"/>
                <w:b/>
                <w:color w:val="754B47"/>
                <w:sz w:val="21"/>
              </w:rPr>
              <w:t xml:space="preserve">PRODUCT-SPECIFIC EVIDENCE  </w:t>
            </w:r>
            <w:r>
              <w:rPr>
                <w:rFonts w:ascii="Calibri" w:hAnsi="Calibri"/>
                <w:color w:val="3E3533"/>
                <w:sz w:val="21"/>
              </w:rPr>
              <w:t>Insufficient. No public study or official source validates the app's full observation-to-notation transformation, internal 0-3 ranks, suffix ordering, or decision to let damp, wet, or shiny open a derived pattern.</w:t>
            </w:r>
          </w:p>
        </w:tc>
      </w:tr>
    </w:tbl>
    <w:p>
      <w:pPr>
        <w:spacing w:after="40"/>
      </w:pPr>
    </w:p>
    <w:p>
      <w:pPr>
        <w:pStyle w:val="Heading2"/>
        <w:keepNext/>
        <w:keepLines/>
      </w:pPr>
      <w:r>
        <w:t>AI draft disposition for qualified review</w:t>
      </w:r>
    </w:p>
    <w:p>
      <w:pPr>
        <w:spacing w:after="80" w:line="264" w:lineRule="auto"/>
      </w:pPr>
      <w:r>
        <w:rPr>
          <w:rFonts w:ascii="Calibri" w:hAnsi="Calibri"/>
          <w:color w:val="3E3533"/>
          <w:sz w:val="18"/>
        </w:rPr>
        <w:t>Treat the public codes as orientation only. Hold the exact mapping until an authorized source-by-source review covers I-01 through I-03 and I-09.</w:t>
      </w:r>
    </w:p>
    <w:p>
      <w:pPr>
        <w:spacing w:after="80" w:line="264" w:lineRule="auto"/>
      </w:pPr>
      <w:r>
        <w:rPr>
          <w:rFonts w:ascii="Calibri" w:hAnsi="Calibri"/>
          <w:b/>
          <w:color w:val="3E3533"/>
          <w:sz w:val="18"/>
        </w:rPr>
        <w:t xml:space="preserve">Authorized-source boundary: </w:t>
      </w:r>
      <w:r>
        <w:rPr>
          <w:rFonts w:ascii="Calibri" w:hAnsi="Calibri"/>
          <w:color w:val="3E3533"/>
          <w:sz w:val="18"/>
        </w:rPr>
        <w:t>The public PDF identifies its contents as samples of copyrighted/intellectual-property material. Do not copy missing tables, ordering, or expression from an unauthorized manual, and do not treat public access as a license.</w:t>
      </w:r>
    </w:p>
    <w:p>
      <w:pPr>
        <w:pStyle w:val="Heading2"/>
        <w:keepNext/>
        <w:keepLines/>
      </w:pPr>
      <w:r>
        <w:t>Questions the reviewer must decide</w:t>
      </w:r>
    </w:p>
    <w:p>
      <w:pPr>
        <w:numPr>
          <w:ilvl w:val="0"/>
          <w:numId w:val="10"/>
        </w:numPr>
        <w:spacing w:after="80" w:line="300" w:lineRule="auto"/>
      </w:pPr>
      <w:r>
        <w:rPr>
          <w:rFonts w:ascii="Calibri" w:hAnsi="Calibri"/>
          <w:color w:val="3E3533"/>
          <w:sz w:val="22"/>
        </w:rPr>
        <w:t>Which exact mappings are approved for entry, interpretation, and export?</w:t>
      </w:r>
    </w:p>
    <w:p>
      <w:pPr>
        <w:numPr>
          <w:ilvl w:val="0"/>
          <w:numId w:val="10"/>
        </w:numPr>
        <w:spacing w:after="80" w:line="300" w:lineRule="auto"/>
      </w:pPr>
      <w:r>
        <w:rPr>
          <w:rFonts w:ascii="Calibri" w:hAnsi="Calibri"/>
          <w:color w:val="3E3533"/>
          <w:sz w:val="22"/>
        </w:rPr>
        <w:t>May damp, wet, or shiny without a mucus appearance open an automated boundary?</w:t>
      </w:r>
    </w:p>
    <w:p>
      <w:pPr>
        <w:numPr>
          <w:ilvl w:val="0"/>
          <w:numId w:val="10"/>
        </w:numPr>
        <w:spacing w:after="80" w:line="300" w:lineRule="auto"/>
      </w:pPr>
      <w:r>
        <w:rPr>
          <w:rFonts w:ascii="Calibri" w:hAnsi="Calibri"/>
          <w:color w:val="3E3533"/>
          <w:sz w:val="22"/>
        </w:rPr>
        <w:t>Does omitted frequency affect interpretation, notation only, or entry validity?</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9360"/>
      </w:tblGrid>
      <w:tr>
        <w:trPr>
          <w:cantSplit/>
        </w:trPr>
        <w:tc>
          <w:tcPr>
            <w:tcW w:type="dxa" w:w="9360"/>
            <w:vAlign w:val="center"/>
            <w:tcMar>
              <w:top w:w="100" w:type="dxa"/>
              <w:start w:w="120" w:type="dxa"/>
              <w:bottom w:w="100" w:type="dxa"/>
              <w:end w:w="120" w:type="dxa"/>
            </w:tcMar>
            <w:shd w:fill="EAF1ED"/>
          </w:tcPr>
          <w:p>
            <w:pPr>
              <w:spacing w:after="40"/>
            </w:pPr>
            <w:r>
              <w:rPr>
                <w:rFonts w:ascii="Calibri" w:hAnsi="Calibri"/>
                <w:b/>
                <w:color w:val="754B47"/>
                <w:sz w:val="18"/>
              </w:rPr>
              <w:t>Qualified reviewer disposition — intentionally blank</w:t>
            </w:r>
          </w:p>
          <w:p>
            <w:pPr>
              <w:spacing w:after="40"/>
            </w:pPr>
            <w:r>
              <w:rPr>
                <w:rFonts w:ascii="Calibri" w:hAnsi="Calibri"/>
                <w:color w:val="3E3533"/>
                <w:sz w:val="16"/>
              </w:rPr>
              <w:t>[ ] Accept for defined scope   [ ] Revise   [ ] No automated interpretation   [ ] Hold for authorized evidence</w:t>
            </w:r>
          </w:p>
          <w:p>
            <w:pPr>
              <w:spacing w:after="0"/>
            </w:pPr>
            <w:r>
              <w:rPr>
                <w:rFonts w:ascii="Calibri" w:hAnsi="Calibri"/>
                <w:color w:val="6F6663"/>
                <w:sz w:val="16"/>
              </w:rPr>
              <w:t>Scope, required change, source edition/page, or notes:  ___________________________________________________________________</w:t>
            </w:r>
          </w:p>
        </w:tc>
      </w:tr>
    </w:tbl>
    <w:p>
      <w:r>
        <w:br w:type="page"/>
      </w:r>
    </w:p>
    <w:p>
      <w:pPr>
        <w:pStyle w:val="Heading1"/>
        <w:keepNext/>
        <w:keepLines/>
      </w:pPr>
      <w:r>
        <w:t>D-03  |  Contradictory or incomplete input combinations</w:t>
      </w:r>
    </w:p>
    <w:tbl>
      <w:tblPr>
        <w:tblW w:type="dxa" w:w="9360"/>
        <w:tblLayout w:type="fixed"/>
        <w:tblLook w:firstColumn="1" w:firstRow="1" w:lastColumn="0" w:lastRow="0" w:noHBand="0" w:noVBand="1" w:val="04A0"/>
        <w:tblInd w:w="120" w:type="dxa"/>
        <w:tblBorders>
          <w:top w:val="single" w:sz="2" w:space="0" w:color="F3F1F0"/>
          <w:left w:val="single" w:sz="2" w:space="0" w:color="F3F1F0"/>
          <w:bottom w:val="single" w:sz="2" w:space="0" w:color="F3F1F0"/>
          <w:right w:val="single" w:sz="2" w:space="0" w:color="F3F1F0"/>
          <w:insideH w:val="single" w:sz="2" w:space="0" w:color="F3F1F0"/>
          <w:insideV w:val="single" w:sz="2" w:space="0" w:color="F3F1F0"/>
        </w:tblBorders>
      </w:tblPr>
      <w:tblGrid>
        <w:gridCol w:w="1700"/>
        <w:gridCol w:w="7660"/>
      </w:tblGrid>
      <w:tr>
        <w:trPr>
          <w:cantSplit/>
        </w:trPr>
        <w:tc>
          <w:tcPr>
            <w:tcW w:type="dxa" w:w="1700"/>
            <w:vAlign w:val="center"/>
            <w:tcMar>
              <w:top w:w="100" w:type="dxa"/>
              <w:start w:w="120" w:type="dxa"/>
              <w:bottom w:w="100" w:type="dxa"/>
              <w:end w:w="120" w:type="dxa"/>
            </w:tcMar>
            <w:shd w:fill="F3F1F0"/>
          </w:tcPr>
          <w:p>
            <w:pPr>
              <w:spacing w:after="0" w:line="252" w:lineRule="auto"/>
            </w:pPr>
            <w:r/>
            <w:r>
              <w:rPr>
                <w:rFonts w:ascii="Calibri" w:hAnsi="Calibri"/>
                <w:b/>
                <w:color w:val="754B47"/>
                <w:sz w:val="18"/>
              </w:rPr>
              <w:t>EVIDENCE</w:t>
              <w:br/>
              <w:t>INSUFFICIENT</w:t>
            </w:r>
          </w:p>
        </w:tc>
        <w:tc>
          <w:tcPr>
            <w:tcW w:type="dxa" w:w="7660"/>
            <w:vAlign w:val="center"/>
            <w:tcMar>
              <w:top w:w="100" w:type="dxa"/>
              <w:start w:w="120" w:type="dxa"/>
              <w:bottom w:w="100" w:type="dxa"/>
              <w:end w:w="120" w:type="dxa"/>
            </w:tcMar>
            <w:shd w:fill="F3F1F0"/>
          </w:tcPr>
          <w:p>
            <w:pPr>
              <w:spacing w:after="0" w:line="252" w:lineRule="auto"/>
            </w:pPr>
            <w:r/>
            <w:r>
              <w:rPr>
                <w:rFonts w:ascii="Calibri" w:hAnsi="Calibri"/>
                <w:b w:val="0"/>
                <w:color w:val="3E3533"/>
                <w:sz w:val="18"/>
              </w:rPr>
              <w:t>No authoritative public source located defines Well Within's accept, warn, reject, or record-without-interpretation policy for contradictory fields, missing required fields, duplicate dates, or invalid date order.</w:t>
            </w:r>
          </w:p>
        </w:tc>
      </w:tr>
    </w:tbl>
    <w:p>
      <w:pPr>
        <w:spacing w:after="20"/>
      </w:pP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750"/>
        <w:gridCol w:w="7610"/>
      </w:tblGrid>
      <w:tr>
        <w:trPr>
          <w:cantSplit/>
        </w:trPr>
        <w:tc>
          <w:tcPr>
            <w:tcW w:type="dxa" w:w="1750"/>
            <w:vAlign w:val="center"/>
            <w:tcMar>
              <w:top w:w="100" w:type="dxa"/>
              <w:start w:w="120" w:type="dxa"/>
              <w:bottom w:w="100" w:type="dxa"/>
              <w:end w:w="120" w:type="dxa"/>
            </w:tcMar>
            <w:shd w:fill="F3F1F0"/>
          </w:tcPr>
          <w:p>
            <w:pPr>
              <w:spacing w:after="0" w:line="252" w:lineRule="auto"/>
            </w:pPr>
            <w:r/>
            <w:r>
              <w:rPr>
                <w:rFonts w:ascii="Calibri" w:hAnsi="Calibri"/>
                <w:b/>
                <w:color w:val="754B47"/>
                <w:sz w:val="16"/>
              </w:rPr>
              <w:t>Audit references</w:t>
            </w:r>
          </w:p>
        </w:tc>
        <w:tc>
          <w:tcPr>
            <w:tcW w:type="dxa" w:w="7610"/>
            <w:vAlign w:val="center"/>
            <w:tcMar>
              <w:top w:w="100" w:type="dxa"/>
              <w:start w:w="120" w:type="dxa"/>
              <w:bottom w:w="100" w:type="dxa"/>
              <w:end w:w="120" w:type="dxa"/>
            </w:tcMar>
          </w:tcPr>
          <w:p>
            <w:pPr>
              <w:spacing w:after="0" w:line="252" w:lineRule="auto"/>
            </w:pPr>
            <w:r/>
            <w:r>
              <w:rPr>
                <w:rFonts w:ascii="Calibri" w:hAnsi="Calibri"/>
                <w:b w:val="0"/>
                <w:color w:val="3E3533"/>
                <w:sz w:val="16"/>
              </w:rPr>
              <w:t>R-06; I-04-I-06; I-10</w:t>
            </w:r>
          </w:p>
        </w:tc>
      </w:tr>
      <w:tr>
        <w:trPr>
          <w:cantSplit/>
        </w:trPr>
        <w:tc>
          <w:tcPr>
            <w:tcW w:type="dxa" w:w="1750"/>
            <w:vAlign w:val="center"/>
            <w:tcMar>
              <w:top w:w="100" w:type="dxa"/>
              <w:start w:w="120" w:type="dxa"/>
              <w:bottom w:w="100" w:type="dxa"/>
              <w:end w:w="120" w:type="dxa"/>
            </w:tcMar>
            <w:shd w:fill="F3F1F0"/>
          </w:tcPr>
          <w:p>
            <w:pPr>
              <w:spacing w:after="0" w:line="252" w:lineRule="auto"/>
            </w:pPr>
            <w:r/>
            <w:r>
              <w:rPr>
                <w:rFonts w:ascii="Calibri" w:hAnsi="Calibri"/>
                <w:b/>
                <w:color w:val="754B47"/>
                <w:sz w:val="16"/>
              </w:rPr>
              <w:t>Current behavior</w:t>
            </w:r>
          </w:p>
        </w:tc>
        <w:tc>
          <w:tcPr>
            <w:tcW w:type="dxa" w:w="7610"/>
            <w:vAlign w:val="center"/>
            <w:tcMar>
              <w:top w:w="100" w:type="dxa"/>
              <w:start w:w="120" w:type="dxa"/>
              <w:bottom w:w="100" w:type="dxa"/>
              <w:end w:w="120" w:type="dxa"/>
            </w:tcMar>
          </w:tcPr>
          <w:p>
            <w:pPr>
              <w:spacing w:after="0" w:line="252" w:lineRule="auto"/>
            </w:pPr>
            <w:r/>
            <w:r>
              <w:rPr>
                <w:rFonts w:ascii="Calibri" w:hAnsi="Calibri"/>
                <w:b w:val="0"/>
                <w:color w:val="3E3533"/>
                <w:sz w:val="16"/>
              </w:rPr>
              <w:t>Some appearance selections can override a 'dry' sensation and become Peak-type in the current engine. Missing dates are tolerated in legacy/test paths, while production records normally carry dates.</w:t>
            </w:r>
          </w:p>
        </w:tc>
      </w:tr>
    </w:tbl>
    <w:p>
      <w:pPr>
        <w:pStyle w:val="Heading2"/>
        <w:keepNext/>
        <w:keepLines/>
      </w:pPr>
      <w:r>
        <w:t>Public evidence about Creighton / general FABM</w:t>
      </w:r>
    </w:p>
    <w:p>
      <w:pPr>
        <w:numPr>
          <w:ilvl w:val="0"/>
          <w:numId w:val="10"/>
        </w:numPr>
        <w:spacing w:after="40" w:line="254" w:lineRule="auto"/>
      </w:pPr>
      <w:r>
        <w:rPr>
          <w:rFonts w:ascii="Calibri" w:hAnsi="Calibri"/>
          <w:color w:val="3E3533"/>
          <w:sz w:val="18"/>
        </w:rPr>
        <w:t>The computer-comparison study excluded incomplete charts, which confirms that missingness can affect interpretability but does not establish an app input policy.</w:t>
      </w:r>
    </w:p>
    <w:p>
      <w:pPr>
        <w:pStyle w:val="SmallNote"/>
        <w:spacing w:after="40" w:line="245" w:lineRule="auto"/>
        <w:ind w:left="245" w:hanging="245"/>
      </w:pPr>
      <w:r>
        <w:rPr>
          <w:rFonts w:ascii="Calibri" w:hAnsi="Calibri"/>
          <w:b/>
          <w:color w:val="754B47"/>
          <w:sz w:val="15"/>
        </w:rPr>
        <w:t xml:space="preserve">[R2] </w:t>
      </w:r>
      <w:hyperlink r:id="rId13">
        <w:r>
          <w:rPr>
            <w:rFonts w:ascii="Calibri" w:hAnsi="Calibri"/>
            <w:color w:val="7C4F70"/>
            <w:u w:val="single"/>
          </w:rPr>
          <w:t>Stanford JB, Schliep KC, Chang C-P, O'Sullivan J-P, Porucznik CA. Comparison of woman-picked, expert-picked, and computer-picked Peak Day of cervical mucus with blinded urine luteinising hormone surge for concurrent identification of ovulation. Paediatr Perinat Epidemiol. 2020;34(2):105-113. doi:10.1111/ppe.12642.</w:t>
        </w:r>
      </w:hyperlink>
    </w:p>
    <w:p>
      <w:pPr>
        <w:numPr>
          <w:ilvl w:val="0"/>
          <w:numId w:val="10"/>
        </w:numPr>
        <w:spacing w:after="40" w:line="254" w:lineRule="auto"/>
      </w:pPr>
      <w:r>
        <w:rPr>
          <w:rFonts w:ascii="Calibri" w:hAnsi="Calibri"/>
          <w:color w:val="3E3533"/>
          <w:sz w:val="18"/>
        </w:rPr>
        <w:t>Official public descriptions emphasize standardized observations and practitioner follow-up; they do not publish a complete validation matrix for software input combinations.</w:t>
      </w:r>
    </w:p>
    <w:p>
      <w:pPr>
        <w:pStyle w:val="SmallNote"/>
        <w:spacing w:after="40" w:line="245" w:lineRule="auto"/>
        <w:ind w:left="245" w:hanging="245"/>
      </w:pPr>
      <w:r>
        <w:rPr>
          <w:rFonts w:ascii="Calibri" w:hAnsi="Calibri"/>
          <w:b/>
          <w:color w:val="754B47"/>
          <w:sz w:val="15"/>
        </w:rPr>
        <w:t xml:space="preserve">[P2] </w:t>
      </w:r>
      <w:hyperlink r:id="rId14">
        <w:r>
          <w:rPr>
            <w:rFonts w:ascii="Calibri" w:hAnsi="Calibri"/>
            <w:color w:val="7C4F70"/>
            <w:u w:val="single"/>
          </w:rPr>
          <w:t>Creighton Model FertilityCare System. About the Creighton Model FertilityCare System.</w:t>
        </w:r>
      </w:hyperlink>
    </w:p>
    <w:p>
      <w:pPr>
        <w:pStyle w:val="SmallNote"/>
        <w:spacing w:after="40" w:line="245" w:lineRule="auto"/>
        <w:ind w:left="245" w:hanging="245"/>
      </w:pPr>
      <w:r>
        <w:rPr>
          <w:rFonts w:ascii="Calibri" w:hAnsi="Calibri"/>
          <w:b/>
          <w:color w:val="754B47"/>
          <w:sz w:val="15"/>
        </w:rPr>
        <w:t xml:space="preserve">[P4] </w:t>
      </w:r>
      <w:hyperlink r:id="rId15">
        <w:r>
          <w:rPr>
            <w:rFonts w:ascii="Calibri" w:hAnsi="Calibri"/>
            <w:color w:val="7C4F70"/>
            <w:u w:val="single"/>
          </w:rPr>
          <w:t>FertilityCare Centers of America. The Creighton Model System.</w:t>
        </w:r>
      </w:hyperlink>
    </w:p>
    <w:p>
      <w:pPr>
        <w:pStyle w:val="Heading2"/>
        <w:keepNext/>
        <w:keepLines/>
      </w:pPr>
      <w:r>
        <w:t>Evidence validating Well Within's specific implementation</w:t>
      </w:r>
    </w:p>
    <w:tbl>
      <w:tblPr>
        <w:tblW w:type="dxa" w:w="9360"/>
        <w:tblLayout w:type="fixed"/>
        <w:tblLook w:firstColumn="1" w:firstRow="1" w:lastColumn="0" w:lastRow="0" w:noHBand="0" w:noVBand="1" w:val="04A0"/>
        <w:tblInd w:w="120" w:type="dxa"/>
        <w:tblBorders>
          <w:top w:val="single" w:sz="2" w:space="0" w:color="F3F1F0"/>
          <w:left w:val="single" w:sz="2" w:space="0" w:color="F3F1F0"/>
          <w:bottom w:val="single" w:sz="2" w:space="0" w:color="F3F1F0"/>
          <w:right w:val="single" w:sz="2" w:space="0" w:color="F3F1F0"/>
          <w:insideH w:val="single" w:sz="2" w:space="0" w:color="F3F1F0"/>
          <w:insideV w:val="single" w:sz="2" w:space="0" w:color="F3F1F0"/>
        </w:tblBorders>
      </w:tblPr>
      <w:tblGrid>
        <w:gridCol w:w="9360"/>
      </w:tblGrid>
      <w:tr>
        <w:trPr>
          <w:cantSplit/>
        </w:trPr>
        <w:tc>
          <w:tcPr>
            <w:tcW w:type="dxa" w:w="9360"/>
            <w:vAlign w:val="center"/>
            <w:tcMar>
              <w:top w:w="100" w:type="dxa"/>
              <w:start w:w="120" w:type="dxa"/>
              <w:bottom w:w="100" w:type="dxa"/>
              <w:end w:w="120" w:type="dxa"/>
            </w:tcMar>
            <w:shd w:fill="F3F1F0"/>
          </w:tcPr>
          <w:p>
            <w:pPr>
              <w:spacing w:after="0" w:line="276" w:lineRule="auto"/>
            </w:pPr>
            <w:r>
              <w:rPr>
                <w:rFonts w:ascii="Calibri" w:hAnsi="Calibri"/>
                <w:b/>
                <w:color w:val="754B47"/>
                <w:sz w:val="21"/>
              </w:rPr>
              <w:t xml:space="preserve">PRODUCT-SPECIFIC EVIDENCE  </w:t>
            </w:r>
            <w:r>
              <w:rPr>
                <w:rFonts w:ascii="Calibri" w:hAnsi="Calibri"/>
                <w:color w:val="3E3533"/>
                <w:sz w:val="21"/>
              </w:rPr>
              <w:t>Insufficient. The current dry-plus-appearance promotions and legacy date tolerances are implementation behavior, not clinical validation.</w:t>
            </w:r>
          </w:p>
        </w:tc>
      </w:tr>
    </w:tbl>
    <w:p>
      <w:pPr>
        <w:spacing w:after="40"/>
      </w:pPr>
    </w:p>
    <w:p>
      <w:pPr>
        <w:pStyle w:val="Heading2"/>
        <w:keepNext/>
        <w:keepLines/>
      </w:pPr>
      <w:r>
        <w:t>AI draft disposition for qualified review</w:t>
      </w:r>
    </w:p>
    <w:p>
      <w:pPr>
        <w:spacing w:after="80" w:line="264" w:lineRule="auto"/>
      </w:pPr>
      <w:r>
        <w:rPr>
          <w:rFonts w:ascii="Calibri" w:hAnsi="Calibri"/>
          <w:color w:val="3E3533"/>
          <w:sz w:val="18"/>
        </w:rPr>
        <w:t>Hold automated interpretation for unresolved contradictory combinations. Ask the reviewer to define a complete minimum-valid-input and error-recovery table.</w:t>
      </w:r>
    </w:p>
    <w:p>
      <w:pPr>
        <w:spacing w:after="80" w:line="264" w:lineRule="auto"/>
      </w:pPr>
      <w:r>
        <w:rPr>
          <w:rFonts w:ascii="Calibri" w:hAnsi="Calibri"/>
          <w:b/>
          <w:color w:val="3E3533"/>
          <w:sz w:val="18"/>
        </w:rPr>
        <w:t xml:space="preserve">Authorized-source boundary: </w:t>
      </w:r>
      <w:r>
        <w:rPr>
          <w:rFonts w:ascii="Calibri" w:hAnsi="Calibri"/>
          <w:color w:val="3E3533"/>
          <w:sz w:val="18"/>
        </w:rPr>
        <w:t>A proprietary manual may contain relevant distinctions. Do not reverse-engineer them from sample codes or current app behavior.</w:t>
      </w:r>
    </w:p>
    <w:p>
      <w:pPr>
        <w:pStyle w:val="Heading2"/>
        <w:keepNext/>
        <w:keepLines/>
      </w:pPr>
      <w:r>
        <w:t>Questions the reviewer must decide</w:t>
      </w:r>
    </w:p>
    <w:p>
      <w:pPr>
        <w:numPr>
          <w:ilvl w:val="0"/>
          <w:numId w:val="10"/>
        </w:numPr>
        <w:spacing w:after="80" w:line="300" w:lineRule="auto"/>
      </w:pPr>
      <w:r>
        <w:rPr>
          <w:rFonts w:ascii="Calibri" w:hAnsi="Calibri"/>
          <w:color w:val="3E3533"/>
          <w:sz w:val="22"/>
        </w:rPr>
        <w:t>For dry plus clear, lubricative, or yellow appearance, should the app accept, warn, correct, or exclude the day from interpretation?</w:t>
      </w:r>
    </w:p>
    <w:p>
      <w:pPr>
        <w:numPr>
          <w:ilvl w:val="0"/>
          <w:numId w:val="10"/>
        </w:numPr>
        <w:spacing w:after="80" w:line="300" w:lineRule="auto"/>
      </w:pPr>
      <w:r>
        <w:rPr>
          <w:rFonts w:ascii="Calibri" w:hAnsi="Calibri"/>
          <w:color w:val="3E3533"/>
          <w:sz w:val="22"/>
        </w:rPr>
        <w:t>Which fields are mandatory before a day may drive a marker?</w:t>
      </w:r>
    </w:p>
    <w:p>
      <w:pPr>
        <w:numPr>
          <w:ilvl w:val="0"/>
          <w:numId w:val="10"/>
        </w:numPr>
        <w:spacing w:after="80" w:line="300" w:lineRule="auto"/>
      </w:pPr>
      <w:r>
        <w:rPr>
          <w:rFonts w:ascii="Calibri" w:hAnsi="Calibri"/>
          <w:color w:val="3E3533"/>
          <w:sz w:val="22"/>
        </w:rPr>
        <w:t>How should duplicate, missing, invalid, and out-of-order dates be handled?</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9360"/>
      </w:tblGrid>
      <w:tr>
        <w:trPr>
          <w:cantSplit/>
        </w:trPr>
        <w:tc>
          <w:tcPr>
            <w:tcW w:type="dxa" w:w="9360"/>
            <w:vAlign w:val="center"/>
            <w:tcMar>
              <w:top w:w="100" w:type="dxa"/>
              <w:start w:w="120" w:type="dxa"/>
              <w:bottom w:w="100" w:type="dxa"/>
              <w:end w:w="120" w:type="dxa"/>
            </w:tcMar>
            <w:shd w:fill="EAF1ED"/>
          </w:tcPr>
          <w:p>
            <w:pPr>
              <w:spacing w:after="40"/>
            </w:pPr>
            <w:r>
              <w:rPr>
                <w:rFonts w:ascii="Calibri" w:hAnsi="Calibri"/>
                <w:b/>
                <w:color w:val="754B47"/>
                <w:sz w:val="18"/>
              </w:rPr>
              <w:t>Qualified reviewer disposition — intentionally blank</w:t>
            </w:r>
          </w:p>
          <w:p>
            <w:pPr>
              <w:spacing w:after="40"/>
            </w:pPr>
            <w:r>
              <w:rPr>
                <w:rFonts w:ascii="Calibri" w:hAnsi="Calibri"/>
                <w:color w:val="3E3533"/>
                <w:sz w:val="16"/>
              </w:rPr>
              <w:t>[ ] Accept for defined scope   [ ] Revise   [ ] No automated interpretation   [ ] Hold for authorized evidence</w:t>
            </w:r>
          </w:p>
          <w:p>
            <w:pPr>
              <w:spacing w:after="0"/>
            </w:pPr>
            <w:r>
              <w:rPr>
                <w:rFonts w:ascii="Calibri" w:hAnsi="Calibri"/>
                <w:color w:val="6F6663"/>
                <w:sz w:val="16"/>
              </w:rPr>
              <w:t>Scope, required change, source edition/page, or notes:  ___________________________________________________________________</w:t>
            </w:r>
          </w:p>
        </w:tc>
      </w:tr>
    </w:tbl>
    <w:p>
      <w:r>
        <w:br w:type="page"/>
      </w:r>
    </w:p>
    <w:p>
      <w:pPr>
        <w:pStyle w:val="Heading1"/>
        <w:keepNext/>
        <w:keepLines/>
      </w:pPr>
      <w:r>
        <w:t>D-04  |  Flow, spotting, brown observations, and mucus</w:t>
      </w:r>
    </w:p>
    <w:tbl>
      <w:tblPr>
        <w:tblW w:type="dxa" w:w="9360"/>
        <w:tblLayout w:type="fixed"/>
        <w:tblLook w:firstColumn="1" w:firstRow="1" w:lastColumn="0" w:lastRow="0" w:noHBand="0" w:noVBand="1" w:val="04A0"/>
        <w:tblInd w:w="120" w:type="dxa"/>
        <w:tblBorders>
          <w:top w:val="single" w:sz="2" w:space="0" w:color="F6F0DD"/>
          <w:left w:val="single" w:sz="2" w:space="0" w:color="F6F0DD"/>
          <w:bottom w:val="single" w:sz="2" w:space="0" w:color="F6F0DD"/>
          <w:right w:val="single" w:sz="2" w:space="0" w:color="F6F0DD"/>
          <w:insideH w:val="single" w:sz="2" w:space="0" w:color="F6F0DD"/>
          <w:insideV w:val="single" w:sz="2" w:space="0" w:color="F6F0DD"/>
        </w:tblBorders>
      </w:tblPr>
      <w:tblGrid>
        <w:gridCol w:w="1700"/>
        <w:gridCol w:w="7660"/>
      </w:tblGrid>
      <w:tr>
        <w:trPr>
          <w:cantSplit/>
        </w:trPr>
        <w:tc>
          <w:tcPr>
            <w:tcW w:type="dxa" w:w="1700"/>
            <w:vAlign w:val="center"/>
            <w:tcMar>
              <w:top w:w="100" w:type="dxa"/>
              <w:start w:w="120" w:type="dxa"/>
              <w:bottom w:w="100" w:type="dxa"/>
              <w:end w:w="120" w:type="dxa"/>
            </w:tcMar>
            <w:shd w:fill="F6F0DD"/>
          </w:tcPr>
          <w:p>
            <w:pPr>
              <w:spacing w:after="0" w:line="252" w:lineRule="auto"/>
            </w:pPr>
            <w:r/>
            <w:r>
              <w:rPr>
                <w:rFonts w:ascii="Calibri" w:hAnsi="Calibri"/>
                <w:b/>
                <w:color w:val="7B6427"/>
                <w:sz w:val="18"/>
              </w:rPr>
              <w:t>EVIDENCE</w:t>
              <w:br/>
              <w:t>MIXED</w:t>
            </w:r>
          </w:p>
        </w:tc>
        <w:tc>
          <w:tcPr>
            <w:tcW w:type="dxa" w:w="7660"/>
            <w:vAlign w:val="center"/>
            <w:tcMar>
              <w:top w:w="100" w:type="dxa"/>
              <w:start w:w="120" w:type="dxa"/>
              <w:bottom w:w="100" w:type="dxa"/>
              <w:end w:w="120" w:type="dxa"/>
            </w:tcMar>
            <w:shd w:fill="F6F0DD"/>
          </w:tcPr>
          <w:p>
            <w:pPr>
              <w:spacing w:after="0" w:line="252" w:lineRule="auto"/>
            </w:pPr>
            <w:r/>
            <w:r>
              <w:rPr>
                <w:rFonts w:ascii="Calibri" w:hAnsi="Calibri"/>
                <w:b w:val="0"/>
                <w:color w:val="3E3533"/>
                <w:sz w:val="18"/>
              </w:rPr>
              <w:t>Public evidence supports recording mucus during light or very-light flow, creating a contradiction signal for any blanket rule that makes all flow-day mucus unusable. The exact automated Peak candidacy and ordinary-user wording remain unresolved.</w:t>
            </w:r>
          </w:p>
        </w:tc>
      </w:tr>
    </w:tbl>
    <w:p>
      <w:pPr>
        <w:spacing w:after="20"/>
      </w:pP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750"/>
        <w:gridCol w:w="7610"/>
      </w:tblGrid>
      <w:tr>
        <w:trPr>
          <w:cantSplit/>
        </w:trPr>
        <w:tc>
          <w:tcPr>
            <w:tcW w:type="dxa" w:w="1750"/>
            <w:vAlign w:val="center"/>
            <w:tcMar>
              <w:top w:w="100" w:type="dxa"/>
              <w:start w:w="120" w:type="dxa"/>
              <w:bottom w:w="100" w:type="dxa"/>
              <w:end w:w="120" w:type="dxa"/>
            </w:tcMar>
            <w:shd w:fill="F3F1F0"/>
          </w:tcPr>
          <w:p>
            <w:pPr>
              <w:spacing w:after="0" w:line="252" w:lineRule="auto"/>
            </w:pPr>
            <w:r/>
            <w:r>
              <w:rPr>
                <w:rFonts w:ascii="Calibri" w:hAnsi="Calibri"/>
                <w:b/>
                <w:color w:val="754B47"/>
                <w:sz w:val="16"/>
              </w:rPr>
              <w:t>Audit references</w:t>
            </w:r>
          </w:p>
        </w:tc>
        <w:tc>
          <w:tcPr>
            <w:tcW w:type="dxa" w:w="7610"/>
            <w:vAlign w:val="center"/>
            <w:tcMar>
              <w:top w:w="100" w:type="dxa"/>
              <w:start w:w="120" w:type="dxa"/>
              <w:bottom w:w="100" w:type="dxa"/>
              <w:end w:w="120" w:type="dxa"/>
            </w:tcMar>
          </w:tcPr>
          <w:p>
            <w:pPr>
              <w:spacing w:after="0" w:line="252" w:lineRule="auto"/>
            </w:pPr>
            <w:r/>
            <w:r>
              <w:rPr>
                <w:rFonts w:ascii="Calibri" w:hAnsi="Calibri"/>
                <w:b w:val="0"/>
                <w:color w:val="3E3533"/>
                <w:sz w:val="16"/>
              </w:rPr>
              <w:t>R-09-R-12; F-06; I-07; C-10-C-11</w:t>
            </w:r>
          </w:p>
        </w:tc>
      </w:tr>
      <w:tr>
        <w:trPr>
          <w:cantSplit/>
        </w:trPr>
        <w:tc>
          <w:tcPr>
            <w:tcW w:type="dxa" w:w="1750"/>
            <w:vAlign w:val="center"/>
            <w:tcMar>
              <w:top w:w="100" w:type="dxa"/>
              <w:start w:w="120" w:type="dxa"/>
              <w:bottom w:w="100" w:type="dxa"/>
              <w:end w:w="120" w:type="dxa"/>
            </w:tcMar>
            <w:shd w:fill="F3F1F0"/>
          </w:tcPr>
          <w:p>
            <w:pPr>
              <w:spacing w:after="0" w:line="252" w:lineRule="auto"/>
            </w:pPr>
            <w:r/>
            <w:r>
              <w:rPr>
                <w:rFonts w:ascii="Calibri" w:hAnsi="Calibri"/>
                <w:b/>
                <w:color w:val="754B47"/>
                <w:sz w:val="16"/>
              </w:rPr>
              <w:t>Current behavior</w:t>
            </w:r>
          </w:p>
        </w:tc>
        <w:tc>
          <w:tcPr>
            <w:tcW w:type="dxa" w:w="7610"/>
            <w:vAlign w:val="center"/>
            <w:tcMar>
              <w:top w:w="100" w:type="dxa"/>
              <w:start w:w="120" w:type="dxa"/>
              <w:bottom w:w="100" w:type="dxa"/>
              <w:end w:w="120" w:type="dxa"/>
            </w:tcMar>
          </w:tcPr>
          <w:p>
            <w:pPr>
              <w:spacing w:after="0" w:line="252" w:lineRule="auto"/>
            </w:pPr>
            <w:r/>
            <w:r>
              <w:rPr>
                <w:rFonts w:ascii="Calibri" w:hAnsi="Calibri"/>
                <w:b w:val="0"/>
                <w:color w:val="3E3533"/>
                <w:sz w:val="16"/>
              </w:rPr>
              <w:t>Menstrual flow suppresses Peak-type interpretation on that day. Spotting remains descriptive. Light/spotting rows are currently blocked from opening the derived interval or becoming a Peak candidate.</w:t>
            </w:r>
          </w:p>
        </w:tc>
      </w:tr>
    </w:tbl>
    <w:p>
      <w:pPr>
        <w:pStyle w:val="Heading2"/>
        <w:keepNext/>
        <w:keepLines/>
      </w:pPr>
      <w:r>
        <w:t>Public evidence about Creighton / general FABM</w:t>
      </w:r>
    </w:p>
    <w:p>
      <w:pPr>
        <w:numPr>
          <w:ilvl w:val="0"/>
          <w:numId w:val="10"/>
        </w:numPr>
        <w:spacing w:after="40" w:line="254" w:lineRule="auto"/>
      </w:pPr>
      <w:r>
        <w:rPr>
          <w:rFonts w:ascii="Calibri" w:hAnsi="Calibri"/>
          <w:color w:val="3E3533"/>
          <w:sz w:val="18"/>
        </w:rPr>
        <w:t>The public sample specifically instructs recording the presence or absence of mucus on light and very-light flow days.</w:t>
      </w:r>
    </w:p>
    <w:p>
      <w:pPr>
        <w:pStyle w:val="SmallNote"/>
        <w:spacing w:after="40" w:line="245" w:lineRule="auto"/>
        <w:ind w:left="245" w:hanging="245"/>
      </w:pPr>
      <w:r>
        <w:rPr>
          <w:rFonts w:ascii="Calibri" w:hAnsi="Calibri"/>
          <w:b/>
          <w:color w:val="754B47"/>
          <w:sz w:val="15"/>
        </w:rPr>
        <w:t xml:space="preserve">[P1] </w:t>
      </w:r>
      <w:hyperlink r:id="rId12">
        <w:r>
          <w:rPr>
            <w:rFonts w:ascii="Calibri" w:hAnsi="Calibri"/>
            <w:color w:val="7C4F70"/>
            <w:u w:val="single"/>
          </w:rPr>
          <w:t>Saint Paul VI Institute. CrMS App Copyright: Samples of Intellectual Property/Copyrighted Material, p. 3 (public PDF).</w:t>
        </w:r>
      </w:hyperlink>
    </w:p>
    <w:p>
      <w:pPr>
        <w:numPr>
          <w:ilvl w:val="0"/>
          <w:numId w:val="10"/>
        </w:numPr>
        <w:spacing w:after="40" w:line="254" w:lineRule="auto"/>
      </w:pPr>
      <w:r>
        <w:rPr>
          <w:rFonts w:ascii="Calibri" w:hAnsi="Calibri"/>
          <w:color w:val="3E3533"/>
          <w:sz w:val="18"/>
        </w:rPr>
        <w:t>Peer-reviewed CrMS chart analyses include bleeding and spotting context, but do not validate Well Within's suppression, opening-boundary, or candidate rules.</w:t>
      </w:r>
    </w:p>
    <w:p>
      <w:pPr>
        <w:pStyle w:val="SmallNote"/>
        <w:spacing w:after="40" w:line="245" w:lineRule="auto"/>
        <w:ind w:left="245" w:hanging="245"/>
      </w:pPr>
      <w:r>
        <w:rPr>
          <w:rFonts w:ascii="Calibri" w:hAnsi="Calibri"/>
          <w:b/>
          <w:color w:val="754B47"/>
          <w:sz w:val="15"/>
        </w:rPr>
        <w:t xml:space="preserve">[R3] </w:t>
      </w:r>
      <w:hyperlink r:id="rId16">
        <w:r>
          <w:rPr>
            <w:rFonts w:ascii="Calibri" w:hAnsi="Calibri"/>
            <w:color w:val="7C4F70"/>
            <w:u w:val="single"/>
          </w:rPr>
          <w:t>Najmabadi S, Schliep KC, Simonsen SE, Porucznik CA, Egger MJ, Stanford JB. Cervical mucus patterns and the fertile window in women without known subfertility: a pooled analysis of three cohorts. Hum Reprod. 2021;36(7):1784-1795. doi:10.1093/humrep/deab049.</w:t>
        </w:r>
      </w:hyperlink>
    </w:p>
    <w:p>
      <w:pPr>
        <w:pStyle w:val="SmallNote"/>
        <w:spacing w:after="40" w:line="245" w:lineRule="auto"/>
        <w:ind w:left="245" w:hanging="245"/>
      </w:pPr>
      <w:r>
        <w:rPr>
          <w:rFonts w:ascii="Calibri" w:hAnsi="Calibri"/>
          <w:b/>
          <w:color w:val="754B47"/>
          <w:sz w:val="15"/>
        </w:rPr>
        <w:t xml:space="preserve">[R4] </w:t>
      </w:r>
      <w:hyperlink r:id="rId17">
        <w:r>
          <w:rPr>
            <w:rFonts w:ascii="Calibri" w:hAnsi="Calibri"/>
            <w:color w:val="7C4F70"/>
            <w:u w:val="single"/>
          </w:rPr>
          <w:t>Najmabadi S, Schliep KC, Simonsen SE, Porucznik CA, Egger MJ, Stanford JB. Menstrual bleeding, cycle length, and follicular and luteal phase lengths in women without known subfertility: a pooled analysis of three cohorts. Paediatr Perinat Epidemiol. 2020;34(3):318-327. doi:10.1111/ppe.12644.</w:t>
        </w:r>
      </w:hyperlink>
    </w:p>
    <w:p>
      <w:pPr>
        <w:pStyle w:val="Heading2"/>
        <w:keepNext/>
        <w:keepLines/>
      </w:pPr>
      <w:r>
        <w:t>Evidence validating Well Within's specific implementation</w:t>
      </w:r>
    </w:p>
    <w:tbl>
      <w:tblPr>
        <w:tblW w:type="dxa" w:w="9360"/>
        <w:tblLayout w:type="fixed"/>
        <w:tblLook w:firstColumn="1" w:firstRow="1" w:lastColumn="0" w:lastRow="0" w:noHBand="0" w:noVBand="1" w:val="04A0"/>
        <w:tblInd w:w="120" w:type="dxa"/>
        <w:tblBorders>
          <w:top w:val="single" w:sz="2" w:space="0" w:color="F3F1F0"/>
          <w:left w:val="single" w:sz="2" w:space="0" w:color="F3F1F0"/>
          <w:bottom w:val="single" w:sz="2" w:space="0" w:color="F3F1F0"/>
          <w:right w:val="single" w:sz="2" w:space="0" w:color="F3F1F0"/>
          <w:insideH w:val="single" w:sz="2" w:space="0" w:color="F3F1F0"/>
          <w:insideV w:val="single" w:sz="2" w:space="0" w:color="F3F1F0"/>
        </w:tblBorders>
      </w:tblPr>
      <w:tblGrid>
        <w:gridCol w:w="9360"/>
      </w:tblGrid>
      <w:tr>
        <w:trPr>
          <w:cantSplit/>
        </w:trPr>
        <w:tc>
          <w:tcPr>
            <w:tcW w:type="dxa" w:w="9360"/>
            <w:vAlign w:val="center"/>
            <w:tcMar>
              <w:top w:w="100" w:type="dxa"/>
              <w:start w:w="120" w:type="dxa"/>
              <w:bottom w:w="100" w:type="dxa"/>
              <w:end w:w="120" w:type="dxa"/>
            </w:tcMar>
            <w:shd w:fill="F3F1F0"/>
          </w:tcPr>
          <w:p>
            <w:pPr>
              <w:spacing w:after="0" w:line="276" w:lineRule="auto"/>
            </w:pPr>
            <w:r>
              <w:rPr>
                <w:rFonts w:ascii="Calibri" w:hAnsi="Calibri"/>
                <w:b/>
                <w:color w:val="754B47"/>
                <w:sz w:val="21"/>
              </w:rPr>
              <w:t xml:space="preserve">PRODUCT-SPECIFIC EVIDENCE  </w:t>
            </w:r>
            <w:r>
              <w:rPr>
                <w:rFonts w:ascii="Calibri" w:hAnsi="Calibri"/>
                <w:color w:val="3E3533"/>
                <w:sz w:val="21"/>
              </w:rPr>
              <w:t>Insufficient for the implementation. Well Within suppresses Peak-type interpretation on menstrual-flow days and blocks light/spotting rows from opening the derived interval or becoming a candidate; no public product-specific validation was found.</w:t>
            </w:r>
          </w:p>
        </w:tc>
      </w:tr>
    </w:tbl>
    <w:p>
      <w:pPr>
        <w:spacing w:after="40"/>
      </w:pPr>
    </w:p>
    <w:p>
      <w:pPr>
        <w:pStyle w:val="Heading2"/>
        <w:keepNext/>
        <w:keepLines/>
      </w:pPr>
      <w:r>
        <w:t>AI draft disposition for qualified review</w:t>
      </w:r>
    </w:p>
    <w:p>
      <w:pPr>
        <w:spacing w:after="80" w:line="264" w:lineRule="auto"/>
      </w:pPr>
      <w:r>
        <w:rPr>
          <w:rFonts w:ascii="Calibri" w:hAnsi="Calibri"/>
          <w:color w:val="3E3533"/>
          <w:sz w:val="18"/>
        </w:rPr>
        <w:t>Do not approve a blanket flow-day exclusion from public evidence. Require fixture-level adjudication for C-10 and C-11, including what remains descriptive and what may drive a marker.</w:t>
      </w:r>
    </w:p>
    <w:p>
      <w:pPr>
        <w:spacing w:after="80" w:line="264" w:lineRule="auto"/>
      </w:pPr>
      <w:r>
        <w:rPr>
          <w:rFonts w:ascii="Calibri" w:hAnsi="Calibri"/>
          <w:b/>
          <w:color w:val="3E3533"/>
          <w:sz w:val="18"/>
        </w:rPr>
        <w:t xml:space="preserve">Authorized-source boundary: </w:t>
      </w:r>
      <w:r>
        <w:rPr>
          <w:rFonts w:ascii="Calibri" w:hAnsi="Calibri"/>
          <w:color w:val="3E3533"/>
          <w:sz w:val="18"/>
        </w:rPr>
        <w:t>The precise interaction between flow symbols, mucus signs, Peak candidacy, and later counting may require an authorized manual. Leave it unresolved until cited review.</w:t>
      </w:r>
    </w:p>
    <w:p>
      <w:pPr>
        <w:pStyle w:val="Heading2"/>
        <w:keepNext/>
        <w:keepLines/>
      </w:pPr>
      <w:r>
        <w:t>Questions the reviewer must decide</w:t>
      </w:r>
    </w:p>
    <w:p>
      <w:pPr>
        <w:numPr>
          <w:ilvl w:val="0"/>
          <w:numId w:val="10"/>
        </w:numPr>
        <w:spacing w:after="80" w:line="300" w:lineRule="auto"/>
      </w:pPr>
      <w:r>
        <w:rPr>
          <w:rFonts w:ascii="Calibri" w:hAnsi="Calibri"/>
          <w:color w:val="3E3533"/>
          <w:sz w:val="22"/>
        </w:rPr>
        <w:t>Can light-flow or spotting days affect a Peak-type marker, and under what exact conditions?</w:t>
      </w:r>
    </w:p>
    <w:p>
      <w:pPr>
        <w:numPr>
          <w:ilvl w:val="0"/>
          <w:numId w:val="10"/>
        </w:numPr>
        <w:spacing w:after="80" w:line="300" w:lineRule="auto"/>
      </w:pPr>
      <w:r>
        <w:rPr>
          <w:rFonts w:ascii="Calibri" w:hAnsi="Calibri"/>
          <w:color w:val="3E3533"/>
          <w:sz w:val="22"/>
        </w:rPr>
        <w:t>Which bleeding observations are descriptive only or require individualized review?</w:t>
      </w:r>
    </w:p>
    <w:p>
      <w:pPr>
        <w:numPr>
          <w:ilvl w:val="0"/>
          <w:numId w:val="10"/>
        </w:numPr>
        <w:spacing w:after="80" w:line="300" w:lineRule="auto"/>
      </w:pPr>
      <w:r>
        <w:rPr>
          <w:rFonts w:ascii="Calibri" w:hAnsi="Calibri"/>
          <w:color w:val="3E3533"/>
          <w:sz w:val="22"/>
        </w:rPr>
        <w:t>What should users see when bleeding and a high-quality mucus sign occur together?</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9360"/>
      </w:tblGrid>
      <w:tr>
        <w:trPr>
          <w:cantSplit/>
        </w:trPr>
        <w:tc>
          <w:tcPr>
            <w:tcW w:type="dxa" w:w="9360"/>
            <w:vAlign w:val="center"/>
            <w:tcMar>
              <w:top w:w="100" w:type="dxa"/>
              <w:start w:w="120" w:type="dxa"/>
              <w:bottom w:w="100" w:type="dxa"/>
              <w:end w:w="120" w:type="dxa"/>
            </w:tcMar>
            <w:shd w:fill="EAF1ED"/>
          </w:tcPr>
          <w:p>
            <w:pPr>
              <w:spacing w:after="40"/>
            </w:pPr>
            <w:r>
              <w:rPr>
                <w:rFonts w:ascii="Calibri" w:hAnsi="Calibri"/>
                <w:b/>
                <w:color w:val="754B47"/>
                <w:sz w:val="18"/>
              </w:rPr>
              <w:t>Qualified reviewer disposition — intentionally blank</w:t>
            </w:r>
          </w:p>
          <w:p>
            <w:pPr>
              <w:spacing w:after="40"/>
            </w:pPr>
            <w:r>
              <w:rPr>
                <w:rFonts w:ascii="Calibri" w:hAnsi="Calibri"/>
                <w:color w:val="3E3533"/>
                <w:sz w:val="16"/>
              </w:rPr>
              <w:t>[ ] Accept for defined scope   [ ] Revise   [ ] No automated interpretation   [ ] Hold for authorized evidence</w:t>
            </w:r>
          </w:p>
          <w:p>
            <w:pPr>
              <w:spacing w:after="0"/>
            </w:pPr>
            <w:r>
              <w:rPr>
                <w:rFonts w:ascii="Calibri" w:hAnsi="Calibri"/>
                <w:color w:val="6F6663"/>
                <w:sz w:val="16"/>
              </w:rPr>
              <w:t>Scope, required change, source edition/page, or notes:  ___________________________________________________________________</w:t>
            </w:r>
          </w:p>
        </w:tc>
      </w:tr>
    </w:tbl>
    <w:p>
      <w:r>
        <w:br w:type="page"/>
      </w:r>
    </w:p>
    <w:p>
      <w:pPr>
        <w:pStyle w:val="Heading1"/>
        <w:keepNext/>
        <w:keepLines/>
      </w:pPr>
      <w:r>
        <w:t>D-05  |  Cycle start and continuing flow</w:t>
      </w:r>
    </w:p>
    <w:tbl>
      <w:tblPr>
        <w:tblW w:type="dxa" w:w="9360"/>
        <w:tblLayout w:type="fixed"/>
        <w:tblLook w:firstColumn="1" w:firstRow="1" w:lastColumn="0" w:lastRow="0" w:noHBand="0" w:noVBand="1" w:val="04A0"/>
        <w:tblInd w:w="120" w:type="dxa"/>
        <w:tblBorders>
          <w:top w:val="single" w:sz="2" w:space="0" w:color="F6F0DD"/>
          <w:left w:val="single" w:sz="2" w:space="0" w:color="F6F0DD"/>
          <w:bottom w:val="single" w:sz="2" w:space="0" w:color="F6F0DD"/>
          <w:right w:val="single" w:sz="2" w:space="0" w:color="F6F0DD"/>
          <w:insideH w:val="single" w:sz="2" w:space="0" w:color="F6F0DD"/>
          <w:insideV w:val="single" w:sz="2" w:space="0" w:color="F6F0DD"/>
        </w:tblBorders>
      </w:tblPr>
      <w:tblGrid>
        <w:gridCol w:w="1700"/>
        <w:gridCol w:w="7660"/>
      </w:tblGrid>
      <w:tr>
        <w:trPr>
          <w:cantSplit/>
        </w:trPr>
        <w:tc>
          <w:tcPr>
            <w:tcW w:type="dxa" w:w="1700"/>
            <w:vAlign w:val="center"/>
            <w:tcMar>
              <w:top w:w="100" w:type="dxa"/>
              <w:start w:w="120" w:type="dxa"/>
              <w:bottom w:w="100" w:type="dxa"/>
              <w:end w:w="120" w:type="dxa"/>
            </w:tcMar>
            <w:shd w:fill="F6F0DD"/>
          </w:tcPr>
          <w:p>
            <w:pPr>
              <w:spacing w:after="0" w:line="252" w:lineRule="auto"/>
            </w:pPr>
            <w:r/>
            <w:r>
              <w:rPr>
                <w:rFonts w:ascii="Calibri" w:hAnsi="Calibri"/>
                <w:b/>
                <w:color w:val="7B6427"/>
                <w:sz w:val="18"/>
              </w:rPr>
              <w:t>EVIDENCE</w:t>
              <w:br/>
              <w:t>MIXED</w:t>
            </w:r>
          </w:p>
        </w:tc>
        <w:tc>
          <w:tcPr>
            <w:tcW w:type="dxa" w:w="7660"/>
            <w:vAlign w:val="center"/>
            <w:tcMar>
              <w:top w:w="100" w:type="dxa"/>
              <w:start w:w="120" w:type="dxa"/>
              <w:bottom w:w="100" w:type="dxa"/>
              <w:end w:w="120" w:type="dxa"/>
            </w:tcMar>
            <w:shd w:fill="F6F0DD"/>
          </w:tcPr>
          <w:p>
            <w:pPr>
              <w:spacing w:after="0" w:line="252" w:lineRule="auto"/>
            </w:pPr>
            <w:r/>
            <w:r>
              <w:rPr>
                <w:rFonts w:ascii="Calibri" w:hAnsi="Calibri"/>
                <w:b w:val="0"/>
                <w:color w:val="3E3533"/>
                <w:sz w:val="18"/>
              </w:rPr>
              <w:t>Public evidence supports cycle onset at the beginning of menstruation, not Well Within's exact heavy/moderate-only threshold. Leading light flow, gaps within flow, and charts without heavy/moderate flow remain unresolved.</w:t>
            </w:r>
          </w:p>
        </w:tc>
      </w:tr>
    </w:tbl>
    <w:p>
      <w:pPr>
        <w:spacing w:after="20"/>
      </w:pP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750"/>
        <w:gridCol w:w="7610"/>
      </w:tblGrid>
      <w:tr>
        <w:trPr>
          <w:cantSplit/>
        </w:trPr>
        <w:tc>
          <w:tcPr>
            <w:tcW w:type="dxa" w:w="1750"/>
            <w:vAlign w:val="center"/>
            <w:tcMar>
              <w:top w:w="100" w:type="dxa"/>
              <w:start w:w="120" w:type="dxa"/>
              <w:bottom w:w="100" w:type="dxa"/>
              <w:end w:w="120" w:type="dxa"/>
            </w:tcMar>
            <w:shd w:fill="F3F1F0"/>
          </w:tcPr>
          <w:p>
            <w:pPr>
              <w:spacing w:after="0" w:line="252" w:lineRule="auto"/>
            </w:pPr>
            <w:r/>
            <w:r>
              <w:rPr>
                <w:rFonts w:ascii="Calibri" w:hAnsi="Calibri"/>
                <w:b/>
                <w:color w:val="754B47"/>
                <w:sz w:val="16"/>
              </w:rPr>
              <w:t>Audit references</w:t>
            </w:r>
          </w:p>
        </w:tc>
        <w:tc>
          <w:tcPr>
            <w:tcW w:type="dxa" w:w="7610"/>
            <w:vAlign w:val="center"/>
            <w:tcMar>
              <w:top w:w="100" w:type="dxa"/>
              <w:start w:w="120" w:type="dxa"/>
              <w:bottom w:w="100" w:type="dxa"/>
              <w:end w:w="120" w:type="dxa"/>
            </w:tcMar>
          </w:tcPr>
          <w:p>
            <w:pPr>
              <w:spacing w:after="0" w:line="252" w:lineRule="auto"/>
            </w:pPr>
            <w:r/>
            <w:r>
              <w:rPr>
                <w:rFonts w:ascii="Calibri" w:hAnsi="Calibri"/>
                <w:b w:val="0"/>
                <w:color w:val="3E3533"/>
                <w:sz w:val="16"/>
              </w:rPr>
              <w:t>R-21-R-22; F-07; C-12-C-14</w:t>
            </w:r>
          </w:p>
        </w:tc>
      </w:tr>
      <w:tr>
        <w:trPr>
          <w:cantSplit/>
        </w:trPr>
        <w:tc>
          <w:tcPr>
            <w:tcW w:type="dxa" w:w="1750"/>
            <w:vAlign w:val="center"/>
            <w:tcMar>
              <w:top w:w="100" w:type="dxa"/>
              <w:start w:w="120" w:type="dxa"/>
              <w:bottom w:w="100" w:type="dxa"/>
              <w:end w:w="120" w:type="dxa"/>
            </w:tcMar>
            <w:shd w:fill="F3F1F0"/>
          </w:tcPr>
          <w:p>
            <w:pPr>
              <w:spacing w:after="0" w:line="252" w:lineRule="auto"/>
            </w:pPr>
            <w:r/>
            <w:r>
              <w:rPr>
                <w:rFonts w:ascii="Calibri" w:hAnsi="Calibri"/>
                <w:b/>
                <w:color w:val="754B47"/>
                <w:sz w:val="16"/>
              </w:rPr>
              <w:t>Current behavior</w:t>
            </w:r>
          </w:p>
        </w:tc>
        <w:tc>
          <w:tcPr>
            <w:tcW w:type="dxa" w:w="7610"/>
            <w:vAlign w:val="center"/>
            <w:tcMar>
              <w:top w:w="100" w:type="dxa"/>
              <w:start w:w="120" w:type="dxa"/>
              <w:bottom w:w="100" w:type="dxa"/>
              <w:end w:w="120" w:type="dxa"/>
            </w:tcMar>
          </w:tcPr>
          <w:p>
            <w:pPr>
              <w:spacing w:after="0" w:line="252" w:lineRule="auto"/>
            </w:pPr>
            <w:r/>
            <w:r>
              <w:rPr>
                <w:rFonts w:ascii="Calibri" w:hAnsi="Calibri"/>
                <w:b w:val="0"/>
                <w:color w:val="3E3533"/>
                <w:sz w:val="16"/>
              </w:rPr>
              <w:t>The current engine begins a cycle at a heavy/moderate flow row that is not treated as continuing prior flow. Calendar-day math is now used for displayed day numbers and durations, but boundary adjudication remains unresolved.</w:t>
            </w:r>
          </w:p>
        </w:tc>
      </w:tr>
    </w:tbl>
    <w:p>
      <w:pPr>
        <w:pStyle w:val="Heading2"/>
        <w:keepNext/>
        <w:keepLines/>
      </w:pPr>
      <w:r>
        <w:t>Public evidence about Creighton / general FABM</w:t>
      </w:r>
    </w:p>
    <w:p>
      <w:pPr>
        <w:numPr>
          <w:ilvl w:val="0"/>
          <w:numId w:val="10"/>
        </w:numPr>
        <w:spacing w:after="40" w:line="254" w:lineRule="auto"/>
      </w:pPr>
      <w:r>
        <w:rPr>
          <w:rFonts w:ascii="Calibri" w:hAnsi="Calibri"/>
          <w:color w:val="3E3533"/>
          <w:sz w:val="18"/>
        </w:rPr>
        <w:t>The official public background describes the cycle as beginning with the onset of menstruation.</w:t>
      </w:r>
    </w:p>
    <w:p>
      <w:pPr>
        <w:pStyle w:val="SmallNote"/>
        <w:spacing w:after="40" w:line="245" w:lineRule="auto"/>
        <w:ind w:left="245" w:hanging="245"/>
      </w:pPr>
      <w:r>
        <w:rPr>
          <w:rFonts w:ascii="Calibri" w:hAnsi="Calibri"/>
          <w:b/>
          <w:color w:val="754B47"/>
          <w:sz w:val="15"/>
        </w:rPr>
        <w:t xml:space="preserve">[P3] </w:t>
      </w:r>
      <w:hyperlink r:id="rId18">
        <w:r>
          <w:rPr>
            <w:rFonts w:ascii="Calibri" w:hAnsi="Calibri"/>
            <w:color w:val="7C4F70"/>
            <w:u w:val="single"/>
          </w:rPr>
          <w:t>Creighton Model FertilityCare System. Background.</w:t>
        </w:r>
      </w:hyperlink>
    </w:p>
    <w:p>
      <w:pPr>
        <w:numPr>
          <w:ilvl w:val="0"/>
          <w:numId w:val="10"/>
        </w:numPr>
        <w:spacing w:after="40" w:line="254" w:lineRule="auto"/>
      </w:pPr>
      <w:r>
        <w:rPr>
          <w:rFonts w:ascii="Calibri" w:hAnsi="Calibri"/>
          <w:color w:val="3E3533"/>
          <w:sz w:val="18"/>
        </w:rPr>
        <w:t>A pooled cohort study used woman-identified menstrual onset and documents substantial cycle variability; it does not validate a heavy/moderate-only software boundary.</w:t>
      </w:r>
    </w:p>
    <w:p>
      <w:pPr>
        <w:pStyle w:val="SmallNote"/>
        <w:spacing w:after="40" w:line="245" w:lineRule="auto"/>
        <w:ind w:left="245" w:hanging="245"/>
      </w:pPr>
      <w:r>
        <w:rPr>
          <w:rFonts w:ascii="Calibri" w:hAnsi="Calibri"/>
          <w:b/>
          <w:color w:val="754B47"/>
          <w:sz w:val="15"/>
        </w:rPr>
        <w:t xml:space="preserve">[R4] </w:t>
      </w:r>
      <w:hyperlink r:id="rId17">
        <w:r>
          <w:rPr>
            <w:rFonts w:ascii="Calibri" w:hAnsi="Calibri"/>
            <w:color w:val="7C4F70"/>
            <w:u w:val="single"/>
          </w:rPr>
          <w:t>Najmabadi S, Schliep KC, Simonsen SE, Porucznik CA, Egger MJ, Stanford JB. Menstrual bleeding, cycle length, and follicular and luteal phase lengths in women without known subfertility: a pooled analysis of three cohorts. Paediatr Perinat Epidemiol. 2020;34(3):318-327. doi:10.1111/ppe.12644.</w:t>
        </w:r>
      </w:hyperlink>
    </w:p>
    <w:p>
      <w:pPr>
        <w:pStyle w:val="Heading2"/>
        <w:keepNext/>
        <w:keepLines/>
      </w:pPr>
      <w:r>
        <w:t>Evidence validating Well Within's specific implementation</w:t>
      </w:r>
    </w:p>
    <w:tbl>
      <w:tblPr>
        <w:tblW w:type="dxa" w:w="9360"/>
        <w:tblLayout w:type="fixed"/>
        <w:tblLook w:firstColumn="1" w:firstRow="1" w:lastColumn="0" w:lastRow="0" w:noHBand="0" w:noVBand="1" w:val="04A0"/>
        <w:tblInd w:w="120" w:type="dxa"/>
        <w:tblBorders>
          <w:top w:val="single" w:sz="2" w:space="0" w:color="F3F1F0"/>
          <w:left w:val="single" w:sz="2" w:space="0" w:color="F3F1F0"/>
          <w:bottom w:val="single" w:sz="2" w:space="0" w:color="F3F1F0"/>
          <w:right w:val="single" w:sz="2" w:space="0" w:color="F3F1F0"/>
          <w:insideH w:val="single" w:sz="2" w:space="0" w:color="F3F1F0"/>
          <w:insideV w:val="single" w:sz="2" w:space="0" w:color="F3F1F0"/>
        </w:tblBorders>
      </w:tblPr>
      <w:tblGrid>
        <w:gridCol w:w="9360"/>
      </w:tblGrid>
      <w:tr>
        <w:trPr>
          <w:cantSplit/>
        </w:trPr>
        <w:tc>
          <w:tcPr>
            <w:tcW w:type="dxa" w:w="9360"/>
            <w:vAlign w:val="center"/>
            <w:tcMar>
              <w:top w:w="100" w:type="dxa"/>
              <w:start w:w="120" w:type="dxa"/>
              <w:bottom w:w="100" w:type="dxa"/>
              <w:end w:w="120" w:type="dxa"/>
            </w:tcMar>
            <w:shd w:fill="F3F1F0"/>
          </w:tcPr>
          <w:p>
            <w:pPr>
              <w:spacing w:after="0" w:line="276" w:lineRule="auto"/>
            </w:pPr>
            <w:r>
              <w:rPr>
                <w:rFonts w:ascii="Calibri" w:hAnsi="Calibri"/>
                <w:b/>
                <w:color w:val="754B47"/>
                <w:sz w:val="21"/>
              </w:rPr>
              <w:t xml:space="preserve">PRODUCT-SPECIFIC EVIDENCE  </w:t>
            </w:r>
            <w:r>
              <w:rPr>
                <w:rFonts w:ascii="Calibri" w:hAnsi="Calibri"/>
                <w:color w:val="3E3533"/>
                <w:sz w:val="21"/>
              </w:rPr>
              <w:t>Insufficient for the implementation. Calendar-date arithmetic has been internally corrected, but the rule that starts a cycle at a non-continuing heavy/moderate row lacks public clinical validation.</w:t>
            </w:r>
          </w:p>
        </w:tc>
      </w:tr>
    </w:tbl>
    <w:p>
      <w:pPr>
        <w:spacing w:after="40"/>
      </w:pPr>
    </w:p>
    <w:p>
      <w:pPr>
        <w:pStyle w:val="Heading2"/>
        <w:keepNext/>
        <w:keepLines/>
      </w:pPr>
      <w:r>
        <w:t>AI draft disposition for qualified review</w:t>
      </w:r>
    </w:p>
    <w:p>
      <w:pPr>
        <w:spacing w:after="80" w:line="264" w:lineRule="auto"/>
      </w:pPr>
      <w:r>
        <w:rPr>
          <w:rFonts w:ascii="Calibri" w:hAnsi="Calibri"/>
          <w:color w:val="3E3533"/>
          <w:sz w:val="18"/>
        </w:rPr>
        <w:t>Keep the calendar-date correction. Hold the boundary classifier until a reviewer marks C-12 through C-14 and defines behavior for absent dates and no qualifying flow.</w:t>
      </w:r>
    </w:p>
    <w:p>
      <w:pPr>
        <w:spacing w:after="80" w:line="264" w:lineRule="auto"/>
      </w:pPr>
      <w:r>
        <w:rPr>
          <w:rFonts w:ascii="Calibri" w:hAnsi="Calibri"/>
          <w:b/>
          <w:color w:val="3E3533"/>
          <w:sz w:val="18"/>
        </w:rPr>
        <w:t xml:space="preserve">Authorized-source boundary: </w:t>
      </w:r>
      <w:r>
        <w:rPr>
          <w:rFonts w:ascii="Calibri" w:hAnsi="Calibri"/>
          <w:color w:val="3E3533"/>
          <w:sz w:val="18"/>
        </w:rPr>
        <w:t>Do not derive a bleeding threshold from the phrase onset of menstruation. Exact symbol and continuing-flow rules need authorized review.</w:t>
      </w:r>
    </w:p>
    <w:p>
      <w:pPr>
        <w:pStyle w:val="Heading2"/>
        <w:keepNext/>
        <w:keepLines/>
      </w:pPr>
      <w:r>
        <w:t>Questions the reviewer must decide</w:t>
      </w:r>
    </w:p>
    <w:p>
      <w:pPr>
        <w:numPr>
          <w:ilvl w:val="0"/>
          <w:numId w:val="10"/>
        </w:numPr>
        <w:spacing w:after="80" w:line="300" w:lineRule="auto"/>
      </w:pPr>
      <w:r>
        <w:rPr>
          <w:rFonts w:ascii="Calibri" w:hAnsi="Calibri"/>
          <w:color w:val="3E3533"/>
          <w:sz w:val="22"/>
        </w:rPr>
        <w:t>For light then heavy then moderate flow, which date is Cycle Day 1?</w:t>
      </w:r>
    </w:p>
    <w:p>
      <w:pPr>
        <w:numPr>
          <w:ilvl w:val="0"/>
          <w:numId w:val="10"/>
        </w:numPr>
        <w:spacing w:after="80" w:line="300" w:lineRule="auto"/>
      </w:pPr>
      <w:r>
        <w:rPr>
          <w:rFonts w:ascii="Calibri" w:hAnsi="Calibri"/>
          <w:color w:val="3E3533"/>
          <w:sz w:val="22"/>
        </w:rPr>
        <w:t>How does a missing calendar date inside heavy/moderate flow affect continuation?</w:t>
      </w:r>
    </w:p>
    <w:p>
      <w:pPr>
        <w:numPr>
          <w:ilvl w:val="0"/>
          <w:numId w:val="10"/>
        </w:numPr>
        <w:spacing w:after="80" w:line="300" w:lineRule="auto"/>
      </w:pPr>
      <w:r>
        <w:rPr>
          <w:rFonts w:ascii="Calibri" w:hAnsi="Calibri"/>
          <w:color w:val="3E3533"/>
          <w:sz w:val="22"/>
        </w:rPr>
        <w:t>What should happen when no heavy/moderate boundary exists?</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9360"/>
      </w:tblGrid>
      <w:tr>
        <w:trPr>
          <w:cantSplit/>
        </w:trPr>
        <w:tc>
          <w:tcPr>
            <w:tcW w:type="dxa" w:w="9360"/>
            <w:vAlign w:val="center"/>
            <w:tcMar>
              <w:top w:w="100" w:type="dxa"/>
              <w:start w:w="120" w:type="dxa"/>
              <w:bottom w:w="100" w:type="dxa"/>
              <w:end w:w="120" w:type="dxa"/>
            </w:tcMar>
            <w:shd w:fill="EAF1ED"/>
          </w:tcPr>
          <w:p>
            <w:pPr>
              <w:spacing w:after="40"/>
            </w:pPr>
            <w:r>
              <w:rPr>
                <w:rFonts w:ascii="Calibri" w:hAnsi="Calibri"/>
                <w:b/>
                <w:color w:val="754B47"/>
                <w:sz w:val="18"/>
              </w:rPr>
              <w:t>Qualified reviewer disposition — intentionally blank</w:t>
            </w:r>
          </w:p>
          <w:p>
            <w:pPr>
              <w:spacing w:after="40"/>
            </w:pPr>
            <w:r>
              <w:rPr>
                <w:rFonts w:ascii="Calibri" w:hAnsi="Calibri"/>
                <w:color w:val="3E3533"/>
                <w:sz w:val="16"/>
              </w:rPr>
              <w:t>[ ] Accept for defined scope   [ ] Revise   [ ] No automated interpretation   [ ] Hold for authorized evidence</w:t>
            </w:r>
          </w:p>
          <w:p>
            <w:pPr>
              <w:spacing w:after="0"/>
            </w:pPr>
            <w:r>
              <w:rPr>
                <w:rFonts w:ascii="Calibri" w:hAnsi="Calibri"/>
                <w:color w:val="6F6663"/>
                <w:sz w:val="16"/>
              </w:rPr>
              <w:t>Scope, required change, source edition/page, or notes:  ___________________________________________________________________</w:t>
            </w:r>
          </w:p>
        </w:tc>
      </w:tr>
    </w:tbl>
    <w:p>
      <w:r>
        <w:br w:type="page"/>
      </w:r>
    </w:p>
    <w:p>
      <w:pPr>
        <w:pStyle w:val="Heading1"/>
        <w:keepNext/>
        <w:keepLines/>
      </w:pPr>
      <w:r>
        <w:t>D-06  |  Peak-type observation definition</w:t>
      </w:r>
    </w:p>
    <w:tbl>
      <w:tblPr>
        <w:tblW w:type="dxa" w:w="9360"/>
        <w:tblLayout w:type="fixed"/>
        <w:tblLook w:firstColumn="1" w:firstRow="1" w:lastColumn="0" w:lastRow="0" w:noHBand="0" w:noVBand="1" w:val="04A0"/>
        <w:tblInd w:w="120" w:type="dxa"/>
        <w:tblBorders>
          <w:top w:val="single" w:sz="2" w:space="0" w:color="F6F0DD"/>
          <w:left w:val="single" w:sz="2" w:space="0" w:color="F6F0DD"/>
          <w:bottom w:val="single" w:sz="2" w:space="0" w:color="F6F0DD"/>
          <w:right w:val="single" w:sz="2" w:space="0" w:color="F6F0DD"/>
          <w:insideH w:val="single" w:sz="2" w:space="0" w:color="F6F0DD"/>
          <w:insideV w:val="single" w:sz="2" w:space="0" w:color="F6F0DD"/>
        </w:tblBorders>
      </w:tblPr>
      <w:tblGrid>
        <w:gridCol w:w="1700"/>
        <w:gridCol w:w="7660"/>
      </w:tblGrid>
      <w:tr>
        <w:trPr>
          <w:cantSplit/>
        </w:trPr>
        <w:tc>
          <w:tcPr>
            <w:tcW w:type="dxa" w:w="1700"/>
            <w:vAlign w:val="center"/>
            <w:tcMar>
              <w:top w:w="100" w:type="dxa"/>
              <w:start w:w="120" w:type="dxa"/>
              <w:bottom w:w="100" w:type="dxa"/>
              <w:end w:w="120" w:type="dxa"/>
            </w:tcMar>
            <w:shd w:fill="F6F0DD"/>
          </w:tcPr>
          <w:p>
            <w:pPr>
              <w:spacing w:after="0" w:line="252" w:lineRule="auto"/>
            </w:pPr>
            <w:r/>
            <w:r>
              <w:rPr>
                <w:rFonts w:ascii="Calibri" w:hAnsi="Calibri"/>
                <w:b/>
                <w:color w:val="7B6427"/>
                <w:sz w:val="18"/>
              </w:rPr>
              <w:t>EVIDENCE</w:t>
              <w:br/>
              <w:t>MIXED</w:t>
            </w:r>
          </w:p>
        </w:tc>
        <w:tc>
          <w:tcPr>
            <w:tcW w:type="dxa" w:w="7660"/>
            <w:vAlign w:val="center"/>
            <w:tcMar>
              <w:top w:w="100" w:type="dxa"/>
              <w:start w:w="120" w:type="dxa"/>
              <w:bottom w:w="100" w:type="dxa"/>
              <w:end w:w="120" w:type="dxa"/>
            </w:tcMar>
            <w:shd w:fill="F6F0DD"/>
          </w:tcPr>
          <w:p>
            <w:pPr>
              <w:spacing w:after="0" w:line="252" w:lineRule="auto"/>
            </w:pPr>
            <w:r/>
            <w:r>
              <w:rPr>
                <w:rFonts w:ascii="Calibri" w:hAnsi="Calibri"/>
                <w:b w:val="0"/>
                <w:color w:val="3E3533"/>
                <w:sz w:val="18"/>
              </w:rPr>
              <w:t>Clear, stretchy, and lubricative signs are supported as peak-type concepts in public and peer-reviewed sources. Well Within's cloudy/clear mapping, promoted combinations, dry-plus-appearance behavior, and rank boundary are not validated.</w:t>
            </w:r>
          </w:p>
        </w:tc>
      </w:tr>
    </w:tbl>
    <w:p>
      <w:pPr>
        <w:spacing w:after="20"/>
      </w:pP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750"/>
        <w:gridCol w:w="7610"/>
      </w:tblGrid>
      <w:tr>
        <w:trPr>
          <w:cantSplit/>
        </w:trPr>
        <w:tc>
          <w:tcPr>
            <w:tcW w:type="dxa" w:w="1750"/>
            <w:vAlign w:val="center"/>
            <w:tcMar>
              <w:top w:w="100" w:type="dxa"/>
              <w:start w:w="120" w:type="dxa"/>
              <w:bottom w:w="100" w:type="dxa"/>
              <w:end w:w="120" w:type="dxa"/>
            </w:tcMar>
            <w:shd w:fill="F3F1F0"/>
          </w:tcPr>
          <w:p>
            <w:pPr>
              <w:spacing w:after="0" w:line="252" w:lineRule="auto"/>
            </w:pPr>
            <w:r/>
            <w:r>
              <w:rPr>
                <w:rFonts w:ascii="Calibri" w:hAnsi="Calibri"/>
                <w:b/>
                <w:color w:val="754B47"/>
                <w:sz w:val="16"/>
              </w:rPr>
              <w:t>Audit references</w:t>
            </w:r>
          </w:p>
        </w:tc>
        <w:tc>
          <w:tcPr>
            <w:tcW w:type="dxa" w:w="7610"/>
            <w:vAlign w:val="center"/>
            <w:tcMar>
              <w:top w:w="100" w:type="dxa"/>
              <w:start w:w="120" w:type="dxa"/>
              <w:bottom w:w="100" w:type="dxa"/>
              <w:end w:w="120" w:type="dxa"/>
            </w:tcMar>
          </w:tcPr>
          <w:p>
            <w:pPr>
              <w:spacing w:after="0" w:line="252" w:lineRule="auto"/>
            </w:pPr>
            <w:r/>
            <w:r>
              <w:rPr>
                <w:rFonts w:ascii="Calibri" w:hAnsi="Calibri"/>
                <w:b w:val="0"/>
                <w:color w:val="3E3533"/>
                <w:sz w:val="16"/>
              </w:rPr>
              <w:t>R-13; C-13; I-01-I-08</w:t>
            </w:r>
          </w:p>
        </w:tc>
      </w:tr>
      <w:tr>
        <w:trPr>
          <w:cantSplit/>
        </w:trPr>
        <w:tc>
          <w:tcPr>
            <w:tcW w:type="dxa" w:w="1750"/>
            <w:vAlign w:val="center"/>
            <w:tcMar>
              <w:top w:w="100" w:type="dxa"/>
              <w:start w:w="120" w:type="dxa"/>
              <w:bottom w:w="100" w:type="dxa"/>
              <w:end w:w="120" w:type="dxa"/>
            </w:tcMar>
            <w:shd w:fill="F3F1F0"/>
          </w:tcPr>
          <w:p>
            <w:pPr>
              <w:spacing w:after="0" w:line="252" w:lineRule="auto"/>
            </w:pPr>
            <w:r/>
            <w:r>
              <w:rPr>
                <w:rFonts w:ascii="Calibri" w:hAnsi="Calibri"/>
                <w:b/>
                <w:color w:val="754B47"/>
                <w:sz w:val="16"/>
              </w:rPr>
              <w:t>Current behavior</w:t>
            </w:r>
          </w:p>
        </w:tc>
        <w:tc>
          <w:tcPr>
            <w:tcW w:type="dxa" w:w="7610"/>
            <w:vAlign w:val="center"/>
            <w:tcMar>
              <w:top w:w="100" w:type="dxa"/>
              <w:start w:w="120" w:type="dxa"/>
              <w:bottom w:w="100" w:type="dxa"/>
              <w:end w:w="120" w:type="dxa"/>
            </w:tcMar>
          </w:tcPr>
          <w:p>
            <w:pPr>
              <w:spacing w:after="0" w:line="252" w:lineRule="auto"/>
            </w:pPr>
            <w:r/>
            <w:r>
              <w:rPr>
                <w:rFonts w:ascii="Calibri" w:hAnsi="Calibri"/>
                <w:b w:val="0"/>
                <w:color w:val="3E3533"/>
                <w:sz w:val="16"/>
              </w:rPr>
              <w:t>Clear, cloudy/clear, lubricative, stretchy, and some promoted combinations currently produce the highest internal rank and may be labeled Peak-type based on what was recorded.</w:t>
            </w:r>
          </w:p>
        </w:tc>
      </w:tr>
    </w:tbl>
    <w:p>
      <w:pPr>
        <w:pStyle w:val="Heading2"/>
        <w:keepNext/>
        <w:keepLines/>
      </w:pPr>
      <w:r>
        <w:t>Public evidence about Creighton / general FABM</w:t>
      </w:r>
    </w:p>
    <w:p>
      <w:pPr>
        <w:numPr>
          <w:ilvl w:val="0"/>
          <w:numId w:val="10"/>
        </w:numPr>
        <w:spacing w:after="40" w:line="254" w:lineRule="auto"/>
      </w:pPr>
      <w:r>
        <w:rPr>
          <w:rFonts w:ascii="Calibri" w:hAnsi="Calibri"/>
          <w:color w:val="3E3533"/>
          <w:sz w:val="18"/>
        </w:rPr>
        <w:t>The public sample and official background identify clear, stretchy, or lubricative observations as peak-type signs.</w:t>
      </w:r>
    </w:p>
    <w:p>
      <w:pPr>
        <w:pStyle w:val="SmallNote"/>
        <w:spacing w:after="40" w:line="245" w:lineRule="auto"/>
        <w:ind w:left="245" w:hanging="245"/>
      </w:pPr>
      <w:r>
        <w:rPr>
          <w:rFonts w:ascii="Calibri" w:hAnsi="Calibri"/>
          <w:b/>
          <w:color w:val="754B47"/>
          <w:sz w:val="15"/>
        </w:rPr>
        <w:t xml:space="preserve">[P1] </w:t>
      </w:r>
      <w:hyperlink r:id="rId12">
        <w:r>
          <w:rPr>
            <w:rFonts w:ascii="Calibri" w:hAnsi="Calibri"/>
            <w:color w:val="7C4F70"/>
            <w:u w:val="single"/>
          </w:rPr>
          <w:t>Saint Paul VI Institute. CrMS App Copyright: Samples of Intellectual Property/Copyrighted Material, p. 3 (public PDF).</w:t>
        </w:r>
      </w:hyperlink>
    </w:p>
    <w:p>
      <w:pPr>
        <w:pStyle w:val="SmallNote"/>
        <w:spacing w:after="40" w:line="245" w:lineRule="auto"/>
        <w:ind w:left="245" w:hanging="245"/>
      </w:pPr>
      <w:r>
        <w:rPr>
          <w:rFonts w:ascii="Calibri" w:hAnsi="Calibri"/>
          <w:b/>
          <w:color w:val="754B47"/>
          <w:sz w:val="15"/>
        </w:rPr>
        <w:t xml:space="preserve">[P3] </w:t>
      </w:r>
      <w:hyperlink r:id="rId18">
        <w:r>
          <w:rPr>
            <w:rFonts w:ascii="Calibri" w:hAnsi="Calibri"/>
            <w:color w:val="7C4F70"/>
            <w:u w:val="single"/>
          </w:rPr>
          <w:t>Creighton Model FertilityCare System. Background.</w:t>
        </w:r>
      </w:hyperlink>
    </w:p>
    <w:p>
      <w:pPr>
        <w:numPr>
          <w:ilvl w:val="0"/>
          <w:numId w:val="10"/>
        </w:numPr>
        <w:spacing w:after="40" w:line="254" w:lineRule="auto"/>
      </w:pPr>
      <w:r>
        <w:rPr>
          <w:rFonts w:ascii="Calibri" w:hAnsi="Calibri"/>
          <w:color w:val="3E3533"/>
          <w:sz w:val="18"/>
        </w:rPr>
        <w:t>Peer-reviewed CrMS data use clear, stretchy, or slippery/lubricative characteristics to describe peak-type mucus while also documenting more complex patterns.</w:t>
      </w:r>
    </w:p>
    <w:p>
      <w:pPr>
        <w:pStyle w:val="SmallNote"/>
        <w:spacing w:after="40" w:line="245" w:lineRule="auto"/>
        <w:ind w:left="245" w:hanging="245"/>
      </w:pPr>
      <w:r>
        <w:rPr>
          <w:rFonts w:ascii="Calibri" w:hAnsi="Calibri"/>
          <w:b/>
          <w:color w:val="754B47"/>
          <w:sz w:val="15"/>
        </w:rPr>
        <w:t xml:space="preserve">[R3] </w:t>
      </w:r>
      <w:hyperlink r:id="rId16">
        <w:r>
          <w:rPr>
            <w:rFonts w:ascii="Calibri" w:hAnsi="Calibri"/>
            <w:color w:val="7C4F70"/>
            <w:u w:val="single"/>
          </w:rPr>
          <w:t>Najmabadi S, Schliep KC, Simonsen SE, Porucznik CA, Egger MJ, Stanford JB. Cervical mucus patterns and the fertile window in women without known subfertility: a pooled analysis of three cohorts. Hum Reprod. 2021;36(7):1784-1795. doi:10.1093/humrep/deab049.</w:t>
        </w:r>
      </w:hyperlink>
    </w:p>
    <w:p>
      <w:pPr>
        <w:pStyle w:val="Heading2"/>
        <w:keepNext/>
        <w:keepLines/>
      </w:pPr>
      <w:r>
        <w:t>Evidence validating Well Within's specific implementation</w:t>
      </w:r>
    </w:p>
    <w:tbl>
      <w:tblPr>
        <w:tblW w:type="dxa" w:w="9360"/>
        <w:tblLayout w:type="fixed"/>
        <w:tblLook w:firstColumn="1" w:firstRow="1" w:lastColumn="0" w:lastRow="0" w:noHBand="0" w:noVBand="1" w:val="04A0"/>
        <w:tblInd w:w="120" w:type="dxa"/>
        <w:tblBorders>
          <w:top w:val="single" w:sz="2" w:space="0" w:color="F3F1F0"/>
          <w:left w:val="single" w:sz="2" w:space="0" w:color="F3F1F0"/>
          <w:bottom w:val="single" w:sz="2" w:space="0" w:color="F3F1F0"/>
          <w:right w:val="single" w:sz="2" w:space="0" w:color="F3F1F0"/>
          <w:insideH w:val="single" w:sz="2" w:space="0" w:color="F3F1F0"/>
          <w:insideV w:val="single" w:sz="2" w:space="0" w:color="F3F1F0"/>
        </w:tblBorders>
      </w:tblPr>
      <w:tblGrid>
        <w:gridCol w:w="9360"/>
      </w:tblGrid>
      <w:tr>
        <w:trPr>
          <w:cantSplit/>
        </w:trPr>
        <w:tc>
          <w:tcPr>
            <w:tcW w:type="dxa" w:w="9360"/>
            <w:vAlign w:val="center"/>
            <w:tcMar>
              <w:top w:w="100" w:type="dxa"/>
              <w:start w:w="120" w:type="dxa"/>
              <w:bottom w:w="100" w:type="dxa"/>
              <w:end w:w="120" w:type="dxa"/>
            </w:tcMar>
            <w:shd w:fill="F3F1F0"/>
          </w:tcPr>
          <w:p>
            <w:pPr>
              <w:spacing w:after="0" w:line="276" w:lineRule="auto"/>
            </w:pPr>
            <w:r>
              <w:rPr>
                <w:rFonts w:ascii="Calibri" w:hAnsi="Calibri"/>
                <w:b/>
                <w:color w:val="754B47"/>
                <w:sz w:val="21"/>
              </w:rPr>
              <w:t xml:space="preserve">PRODUCT-SPECIFIC EVIDENCE  </w:t>
            </w:r>
            <w:r>
              <w:rPr>
                <w:rFonts w:ascii="Calibri" w:hAnsi="Calibri"/>
                <w:color w:val="3E3533"/>
                <w:sz w:val="21"/>
              </w:rPr>
              <w:t>Insufficient for the exact implementation. No public source validates the complete set of inputs that Well Within promotes to its highest rank or labels Peak-type.</w:t>
            </w:r>
          </w:p>
        </w:tc>
      </w:tr>
    </w:tbl>
    <w:p>
      <w:pPr>
        <w:spacing w:after="40"/>
      </w:pPr>
    </w:p>
    <w:p>
      <w:pPr>
        <w:pStyle w:val="Heading2"/>
        <w:keepNext/>
        <w:keepLines/>
      </w:pPr>
      <w:r>
        <w:t>AI draft disposition for qualified review</w:t>
      </w:r>
    </w:p>
    <w:p>
      <w:pPr>
        <w:spacing w:after="80" w:line="264" w:lineRule="auto"/>
      </w:pPr>
      <w:r>
        <w:rPr>
          <w:rFonts w:ascii="Calibri" w:hAnsi="Calibri"/>
          <w:color w:val="3E3533"/>
          <w:sz w:val="18"/>
        </w:rPr>
        <w:t>A reviewer can accept the broad concept while holding every unlisted promotion and the exact set membership. Adjudicate I-01 through I-08 before release.</w:t>
      </w:r>
    </w:p>
    <w:p>
      <w:pPr>
        <w:spacing w:after="80" w:line="264" w:lineRule="auto"/>
      </w:pPr>
      <w:r>
        <w:rPr>
          <w:rFonts w:ascii="Calibri" w:hAnsi="Calibri"/>
          <w:b/>
          <w:color w:val="3E3533"/>
          <w:sz w:val="18"/>
        </w:rPr>
        <w:t xml:space="preserve">Authorized-source boundary: </w:t>
      </w:r>
      <w:r>
        <w:rPr>
          <w:rFonts w:ascii="Calibri" w:hAnsi="Calibri"/>
          <w:color w:val="3E3533"/>
          <w:sz w:val="18"/>
        </w:rPr>
        <w:t>Exact combination handling and any hierarchy beyond the public descriptors may require an authorized manual.</w:t>
      </w:r>
    </w:p>
    <w:tbl>
      <w:tblPr>
        <w:tblW w:type="dxa" w:w="9360"/>
        <w:tblLayout w:type="fixed"/>
        <w:tblLook w:firstColumn="1" w:firstRow="1" w:lastColumn="0" w:lastRow="0" w:noHBand="0" w:noVBand="1" w:val="04A0"/>
        <w:tblInd w:w="120" w:type="dxa"/>
        <w:tblBorders>
          <w:top w:val="single" w:sz="2" w:space="0" w:color="F6F0DD"/>
          <w:left w:val="single" w:sz="2" w:space="0" w:color="F6F0DD"/>
          <w:bottom w:val="single" w:sz="2" w:space="0" w:color="F6F0DD"/>
          <w:right w:val="single" w:sz="2" w:space="0" w:color="F6F0DD"/>
          <w:insideH w:val="single" w:sz="2" w:space="0" w:color="F6F0DD"/>
          <w:insideV w:val="single" w:sz="2" w:space="0" w:color="F6F0DD"/>
        </w:tblBorders>
      </w:tblPr>
      <w:tblGrid>
        <w:gridCol w:w="9360"/>
      </w:tblGrid>
      <w:tr>
        <w:trPr>
          <w:cantSplit/>
        </w:trPr>
        <w:tc>
          <w:tcPr>
            <w:tcW w:type="dxa" w:w="9360"/>
            <w:vAlign w:val="center"/>
            <w:tcMar>
              <w:top w:w="100" w:type="dxa"/>
              <w:start w:w="120" w:type="dxa"/>
              <w:bottom w:w="100" w:type="dxa"/>
              <w:end w:w="120" w:type="dxa"/>
            </w:tcMar>
            <w:shd w:fill="F6F0DD"/>
          </w:tcPr>
          <w:p>
            <w:pPr>
              <w:spacing w:after="0" w:line="276" w:lineRule="auto"/>
            </w:pPr>
            <w:r>
              <w:rPr>
                <w:rFonts w:ascii="Calibri" w:hAnsi="Calibri"/>
                <w:b/>
                <w:color w:val="754B47"/>
                <w:sz w:val="21"/>
              </w:rPr>
              <w:t xml:space="preserve">CROSS-REFERENCE CHECK  </w:t>
            </w:r>
            <w:r>
              <w:rPr>
                <w:rFonts w:ascii="Calibri" w:hAnsi="Calibri"/>
                <w:color w:val="3E3533"/>
                <w:sz w:val="21"/>
              </w:rPr>
              <w:t>Audit cross-reference warning: the original packet cites C-13, but C-13 is the missing-date-inside-flow fixture and appears unrelated to Peak-type definition. Confirm the intended fixture.</w:t>
            </w:r>
          </w:p>
        </w:tc>
      </w:tr>
    </w:tbl>
    <w:p>
      <w:pPr>
        <w:spacing w:after="40"/>
      </w:pPr>
    </w:p>
    <w:p>
      <w:pPr>
        <w:pStyle w:val="Heading2"/>
        <w:keepNext/>
        <w:keepLines/>
      </w:pPr>
      <w:r>
        <w:t>Questions the reviewer must decide</w:t>
      </w:r>
    </w:p>
    <w:p>
      <w:pPr>
        <w:numPr>
          <w:ilvl w:val="0"/>
          <w:numId w:val="10"/>
        </w:numPr>
        <w:spacing w:after="80" w:line="300" w:lineRule="auto"/>
      </w:pPr>
      <w:r>
        <w:rPr>
          <w:rFonts w:ascii="Calibri" w:hAnsi="Calibri"/>
          <w:color w:val="3E3533"/>
          <w:sz w:val="22"/>
        </w:rPr>
        <w:t>Which exact recorded observations may be called Peak-type in an unassisted app?</w:t>
      </w:r>
    </w:p>
    <w:p>
      <w:pPr>
        <w:numPr>
          <w:ilvl w:val="0"/>
          <w:numId w:val="10"/>
        </w:numPr>
        <w:spacing w:after="80" w:line="300" w:lineRule="auto"/>
      </w:pPr>
      <w:r>
        <w:rPr>
          <w:rFonts w:ascii="Calibri" w:hAnsi="Calibri"/>
          <w:color w:val="3E3533"/>
          <w:sz w:val="22"/>
        </w:rPr>
        <w:t>Which combinations must never be promoted automatically?</w:t>
      </w:r>
    </w:p>
    <w:p>
      <w:pPr>
        <w:numPr>
          <w:ilvl w:val="0"/>
          <w:numId w:val="10"/>
        </w:numPr>
        <w:spacing w:after="80" w:line="300" w:lineRule="auto"/>
      </w:pPr>
      <w:r>
        <w:rPr>
          <w:rFonts w:ascii="Calibri" w:hAnsi="Calibri"/>
          <w:color w:val="3E3533"/>
          <w:sz w:val="22"/>
        </w:rPr>
        <w:t>Is the proposed chart-only phrase acceptable for ordinary users?</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9360"/>
      </w:tblGrid>
      <w:tr>
        <w:trPr>
          <w:cantSplit/>
        </w:trPr>
        <w:tc>
          <w:tcPr>
            <w:tcW w:type="dxa" w:w="9360"/>
            <w:vAlign w:val="center"/>
            <w:tcMar>
              <w:top w:w="100" w:type="dxa"/>
              <w:start w:w="120" w:type="dxa"/>
              <w:bottom w:w="100" w:type="dxa"/>
              <w:end w:w="120" w:type="dxa"/>
            </w:tcMar>
            <w:shd w:fill="EAF1ED"/>
          </w:tcPr>
          <w:p>
            <w:pPr>
              <w:spacing w:after="40"/>
            </w:pPr>
            <w:r>
              <w:rPr>
                <w:rFonts w:ascii="Calibri" w:hAnsi="Calibri"/>
                <w:b/>
                <w:color w:val="754B47"/>
                <w:sz w:val="18"/>
              </w:rPr>
              <w:t>Qualified reviewer disposition — intentionally blank</w:t>
            </w:r>
          </w:p>
          <w:p>
            <w:pPr>
              <w:spacing w:after="40"/>
            </w:pPr>
            <w:r>
              <w:rPr>
                <w:rFonts w:ascii="Calibri" w:hAnsi="Calibri"/>
                <w:color w:val="3E3533"/>
                <w:sz w:val="16"/>
              </w:rPr>
              <w:t>[ ] Accept for defined scope   [ ] Revise   [ ] No automated interpretation   [ ] Hold for authorized evidence</w:t>
            </w:r>
          </w:p>
          <w:p>
            <w:pPr>
              <w:spacing w:after="0"/>
            </w:pPr>
            <w:r>
              <w:rPr>
                <w:rFonts w:ascii="Calibri" w:hAnsi="Calibri"/>
                <w:color w:val="6F6663"/>
                <w:sz w:val="16"/>
              </w:rPr>
              <w:t>Scope, required change, source edition/page, or notes:  ___________________________________________________________________</w:t>
            </w:r>
          </w:p>
        </w:tc>
      </w:tr>
    </w:tbl>
    <w:p>
      <w:r>
        <w:br w:type="page"/>
      </w:r>
    </w:p>
    <w:p>
      <w:pPr>
        <w:pStyle w:val="Heading1"/>
        <w:keepNext/>
        <w:keepLines/>
      </w:pPr>
      <w:r>
        <w:t>D-07  |  Retrospective Peak Day and the three-day sequence</w:t>
      </w:r>
    </w:p>
    <w:tbl>
      <w:tblPr>
        <w:tblW w:type="dxa" w:w="9360"/>
        <w:tblLayout w:type="fixed"/>
        <w:tblLook w:firstColumn="1" w:firstRow="1" w:lastColumn="0" w:lastRow="0" w:noHBand="0" w:noVBand="1" w:val="04A0"/>
        <w:tblInd w:w="120" w:type="dxa"/>
        <w:tblBorders>
          <w:top w:val="single" w:sz="2" w:space="0" w:color="F6F0DD"/>
          <w:left w:val="single" w:sz="2" w:space="0" w:color="F6F0DD"/>
          <w:bottom w:val="single" w:sz="2" w:space="0" w:color="F6F0DD"/>
          <w:right w:val="single" w:sz="2" w:space="0" w:color="F6F0DD"/>
          <w:insideH w:val="single" w:sz="2" w:space="0" w:color="F6F0DD"/>
          <w:insideV w:val="single" w:sz="2" w:space="0" w:color="F6F0DD"/>
        </w:tblBorders>
      </w:tblPr>
      <w:tblGrid>
        <w:gridCol w:w="1700"/>
        <w:gridCol w:w="7660"/>
      </w:tblGrid>
      <w:tr>
        <w:trPr>
          <w:cantSplit/>
        </w:trPr>
        <w:tc>
          <w:tcPr>
            <w:tcW w:type="dxa" w:w="1700"/>
            <w:vAlign w:val="center"/>
            <w:tcMar>
              <w:top w:w="100" w:type="dxa"/>
              <w:start w:w="120" w:type="dxa"/>
              <w:bottom w:w="100" w:type="dxa"/>
              <w:end w:w="120" w:type="dxa"/>
            </w:tcMar>
            <w:shd w:fill="F6F0DD"/>
          </w:tcPr>
          <w:p>
            <w:pPr>
              <w:spacing w:after="0" w:line="252" w:lineRule="auto"/>
            </w:pPr>
            <w:r/>
            <w:r>
              <w:rPr>
                <w:rFonts w:ascii="Calibri" w:hAnsi="Calibri"/>
                <w:b/>
                <w:color w:val="7B6427"/>
                <w:sz w:val="18"/>
              </w:rPr>
              <w:t>EVIDENCE</w:t>
              <w:br/>
              <w:t>MIXED</w:t>
            </w:r>
          </w:p>
        </w:tc>
        <w:tc>
          <w:tcPr>
            <w:tcW w:type="dxa" w:w="7660"/>
            <w:vAlign w:val="center"/>
            <w:tcMar>
              <w:top w:w="100" w:type="dxa"/>
              <w:start w:w="120" w:type="dxa"/>
              <w:bottom w:w="100" w:type="dxa"/>
              <w:end w:w="120" w:type="dxa"/>
            </w:tcMar>
            <w:shd w:fill="F6F0DD"/>
          </w:tcPr>
          <w:p>
            <w:pPr>
              <w:spacing w:after="0" w:line="252" w:lineRule="auto"/>
            </w:pPr>
            <w:r/>
            <w:r>
              <w:rPr>
                <w:rFonts w:ascii="Calibri" w:hAnsi="Calibri"/>
                <w:b w:val="0"/>
                <w:color w:val="3E3533"/>
                <w:sz w:val="18"/>
              </w:rPr>
              <w:t>The last clear, stretchy, or lubricative day and public P+3 framework support a retrospective Peak concept. They do not validate Well Within's strict lower-rank comparison, reset behavior, gap handling, safeguards, or wording.</w:t>
            </w:r>
          </w:p>
        </w:tc>
      </w:tr>
    </w:tbl>
    <w:p>
      <w:pPr>
        <w:spacing w:after="20"/>
      </w:pP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750"/>
        <w:gridCol w:w="7610"/>
      </w:tblGrid>
      <w:tr>
        <w:trPr>
          <w:cantSplit/>
        </w:trPr>
        <w:tc>
          <w:tcPr>
            <w:tcW w:type="dxa" w:w="1750"/>
            <w:vAlign w:val="center"/>
            <w:tcMar>
              <w:top w:w="100" w:type="dxa"/>
              <w:start w:w="120" w:type="dxa"/>
              <w:bottom w:w="100" w:type="dxa"/>
              <w:end w:w="120" w:type="dxa"/>
            </w:tcMar>
            <w:shd w:fill="F3F1F0"/>
          </w:tcPr>
          <w:p>
            <w:pPr>
              <w:spacing w:after="0" w:line="252" w:lineRule="auto"/>
            </w:pPr>
            <w:r/>
            <w:r>
              <w:rPr>
                <w:rFonts w:ascii="Calibri" w:hAnsi="Calibri"/>
                <w:b/>
                <w:color w:val="754B47"/>
                <w:sz w:val="16"/>
              </w:rPr>
              <w:t>Audit references</w:t>
            </w:r>
          </w:p>
        </w:tc>
        <w:tc>
          <w:tcPr>
            <w:tcW w:type="dxa" w:w="7610"/>
            <w:vAlign w:val="center"/>
            <w:tcMar>
              <w:top w:w="100" w:type="dxa"/>
              <w:start w:w="120" w:type="dxa"/>
              <w:bottom w:w="100" w:type="dxa"/>
              <w:end w:w="120" w:type="dxa"/>
            </w:tcMar>
          </w:tcPr>
          <w:p>
            <w:pPr>
              <w:spacing w:after="0" w:line="252" w:lineRule="auto"/>
            </w:pPr>
            <w:r/>
            <w:r>
              <w:rPr>
                <w:rFonts w:ascii="Calibri" w:hAnsi="Calibri"/>
                <w:b w:val="0"/>
                <w:color w:val="3E3533"/>
                <w:sz w:val="16"/>
              </w:rPr>
              <w:t>R-14-R-16; C-01; C-05; C-15</w:t>
            </w:r>
          </w:p>
        </w:tc>
      </w:tr>
      <w:tr>
        <w:trPr>
          <w:cantSplit/>
        </w:trPr>
        <w:tc>
          <w:tcPr>
            <w:tcW w:type="dxa" w:w="1750"/>
            <w:vAlign w:val="center"/>
            <w:tcMar>
              <w:top w:w="100" w:type="dxa"/>
              <w:start w:w="120" w:type="dxa"/>
              <w:bottom w:w="100" w:type="dxa"/>
              <w:end w:w="120" w:type="dxa"/>
            </w:tcMar>
            <w:shd w:fill="F3F1F0"/>
          </w:tcPr>
          <w:p>
            <w:pPr>
              <w:spacing w:after="0" w:line="252" w:lineRule="auto"/>
            </w:pPr>
            <w:r/>
            <w:r>
              <w:rPr>
                <w:rFonts w:ascii="Calibri" w:hAnsi="Calibri"/>
                <w:b/>
                <w:color w:val="754B47"/>
                <w:sz w:val="16"/>
              </w:rPr>
              <w:t>Current behavior</w:t>
            </w:r>
          </w:p>
        </w:tc>
        <w:tc>
          <w:tcPr>
            <w:tcW w:type="dxa" w:w="7610"/>
            <w:vAlign w:val="center"/>
            <w:tcMar>
              <w:top w:w="100" w:type="dxa"/>
              <w:start w:w="120" w:type="dxa"/>
              <w:bottom w:w="100" w:type="dxa"/>
              <w:end w:w="120" w:type="dxa"/>
            </w:tcMar>
          </w:tcPr>
          <w:p>
            <w:pPr>
              <w:spacing w:after="0" w:line="252" w:lineRule="auto"/>
            </w:pPr>
            <w:r/>
            <w:r>
              <w:rPr>
                <w:rFonts w:ascii="Calibri" w:hAnsi="Calibri"/>
                <w:b w:val="0"/>
                <w:color w:val="3E3533"/>
                <w:sz w:val="16"/>
              </w:rPr>
              <w:t>A non-flow highest-rank day becomes a candidate. The app marks it as Peak Day only after the next three consecutive calendar days are present, observed, and each lower than the candidate. A later highest-rank day during the waiting period resets the candidate.</w:t>
            </w:r>
          </w:p>
        </w:tc>
      </w:tr>
    </w:tbl>
    <w:p>
      <w:pPr>
        <w:pStyle w:val="Heading2"/>
        <w:keepNext/>
        <w:keepLines/>
      </w:pPr>
      <w:r>
        <w:t>Public evidence about Creighton / general FABM</w:t>
      </w:r>
    </w:p>
    <w:p>
      <w:pPr>
        <w:numPr>
          <w:ilvl w:val="0"/>
          <w:numId w:val="10"/>
        </w:numPr>
        <w:spacing w:after="40" w:line="254" w:lineRule="auto"/>
      </w:pPr>
      <w:r>
        <w:rPr>
          <w:rFonts w:ascii="Calibri" w:hAnsi="Calibri"/>
          <w:color w:val="3E3533"/>
          <w:sz w:val="18"/>
        </w:rPr>
        <w:t>Official public sources describe Peak as the last day of clear, stretchy, or lubricative mucus; the public sample also refers to P+3.</w:t>
      </w:r>
    </w:p>
    <w:p>
      <w:pPr>
        <w:pStyle w:val="SmallNote"/>
        <w:spacing w:after="40" w:line="245" w:lineRule="auto"/>
        <w:ind w:left="245" w:hanging="245"/>
      </w:pPr>
      <w:r>
        <w:rPr>
          <w:rFonts w:ascii="Calibri" w:hAnsi="Calibri"/>
          <w:b/>
          <w:color w:val="754B47"/>
          <w:sz w:val="15"/>
        </w:rPr>
        <w:t xml:space="preserve">[P1] </w:t>
      </w:r>
      <w:hyperlink r:id="rId12">
        <w:r>
          <w:rPr>
            <w:rFonts w:ascii="Calibri" w:hAnsi="Calibri"/>
            <w:color w:val="7C4F70"/>
            <w:u w:val="single"/>
          </w:rPr>
          <w:t>Saint Paul VI Institute. CrMS App Copyright: Samples of Intellectual Property/Copyrighted Material, p. 3 (public PDF).</w:t>
        </w:r>
      </w:hyperlink>
    </w:p>
    <w:p>
      <w:pPr>
        <w:pStyle w:val="SmallNote"/>
        <w:spacing w:after="40" w:line="245" w:lineRule="auto"/>
        <w:ind w:left="245" w:hanging="245"/>
      </w:pPr>
      <w:r>
        <w:rPr>
          <w:rFonts w:ascii="Calibri" w:hAnsi="Calibri"/>
          <w:b/>
          <w:color w:val="754B47"/>
          <w:sz w:val="15"/>
        </w:rPr>
        <w:t xml:space="preserve">[P3] </w:t>
      </w:r>
      <w:hyperlink r:id="rId18">
        <w:r>
          <w:rPr>
            <w:rFonts w:ascii="Calibri" w:hAnsi="Calibri"/>
            <w:color w:val="7C4F70"/>
            <w:u w:val="single"/>
          </w:rPr>
          <w:t>Creighton Model FertilityCare System. Background.</w:t>
        </w:r>
      </w:hyperlink>
    </w:p>
    <w:p>
      <w:pPr>
        <w:numPr>
          <w:ilvl w:val="0"/>
          <w:numId w:val="10"/>
        </w:numPr>
        <w:spacing w:after="40" w:line="254" w:lineRule="auto"/>
      </w:pPr>
      <w:r>
        <w:rPr>
          <w:rFonts w:ascii="Calibri" w:hAnsi="Calibri"/>
          <w:color w:val="3E3533"/>
          <w:sz w:val="18"/>
        </w:rPr>
        <w:t>A study comparing women, experts, and a different computer algorithm found imperfect agreement with each other and with an LH-based reference. Its algorithm and trained data cannot be transferred to Well Within.</w:t>
      </w:r>
    </w:p>
    <w:p>
      <w:pPr>
        <w:pStyle w:val="SmallNote"/>
        <w:spacing w:after="40" w:line="245" w:lineRule="auto"/>
        <w:ind w:left="245" w:hanging="245"/>
      </w:pPr>
      <w:r>
        <w:rPr>
          <w:rFonts w:ascii="Calibri" w:hAnsi="Calibri"/>
          <w:b/>
          <w:color w:val="754B47"/>
          <w:sz w:val="15"/>
        </w:rPr>
        <w:t xml:space="preserve">[R2] </w:t>
      </w:r>
      <w:hyperlink r:id="rId13">
        <w:r>
          <w:rPr>
            <w:rFonts w:ascii="Calibri" w:hAnsi="Calibri"/>
            <w:color w:val="7C4F70"/>
            <w:u w:val="single"/>
          </w:rPr>
          <w:t>Stanford JB, Schliep KC, Chang C-P, O'Sullivan J-P, Porucznik CA. Comparison of woman-picked, expert-picked, and computer-picked Peak Day of cervical mucus with blinded urine luteinising hormone surge for concurrent identification of ovulation. Paediatr Perinat Epidemiol. 2020;34(2):105-113. doi:10.1111/ppe.12642.</w:t>
        </w:r>
      </w:hyperlink>
    </w:p>
    <w:p>
      <w:pPr>
        <w:numPr>
          <w:ilvl w:val="0"/>
          <w:numId w:val="10"/>
        </w:numPr>
        <w:spacing w:after="40" w:line="254" w:lineRule="auto"/>
      </w:pPr>
      <w:r>
        <w:rPr>
          <w:rFonts w:ascii="Calibri" w:hAnsi="Calibri"/>
          <w:color w:val="3E3533"/>
          <w:sz w:val="18"/>
        </w:rPr>
        <w:t>A separate simplified Peak Day study likewise does not validate a full CrMS app rule or patient-facing claims.</w:t>
      </w:r>
    </w:p>
    <w:p>
      <w:pPr>
        <w:pStyle w:val="SmallNote"/>
        <w:spacing w:after="40" w:line="245" w:lineRule="auto"/>
        <w:ind w:left="245" w:hanging="245"/>
      </w:pPr>
      <w:r>
        <w:rPr>
          <w:rFonts w:ascii="Calibri" w:hAnsi="Calibri"/>
          <w:b/>
          <w:color w:val="754B47"/>
          <w:sz w:val="15"/>
        </w:rPr>
        <w:t xml:space="preserve">[R5] </w:t>
      </w:r>
      <w:hyperlink r:id="rId19">
        <w:r>
          <w:rPr>
            <w:rFonts w:ascii="Calibri" w:hAnsi="Calibri"/>
            <w:color w:val="7C4F70"/>
            <w:u w:val="single"/>
          </w:rPr>
          <w:t>Porucznik CA, Cox KJ, Schliep KC, Stanford JB. Pilot test and validation of the Peak Day method of prospective determination of ovulation against a handheld urine hormone monitor. BMC Women's Health. 2014;14:4. doi:10.1186/1472-6874-14-4.</w:t>
        </w:r>
      </w:hyperlink>
    </w:p>
    <w:p>
      <w:pPr>
        <w:pStyle w:val="Heading2"/>
        <w:keepNext/>
        <w:keepLines/>
      </w:pPr>
      <w:r>
        <w:t>Evidence validating Well Within's specific implementation</w:t>
      </w:r>
    </w:p>
    <w:tbl>
      <w:tblPr>
        <w:tblW w:type="dxa" w:w="9360"/>
        <w:tblLayout w:type="fixed"/>
        <w:tblLook w:firstColumn="1" w:firstRow="1" w:lastColumn="0" w:lastRow="0" w:noHBand="0" w:noVBand="1" w:val="04A0"/>
        <w:tblInd w:w="120" w:type="dxa"/>
        <w:tblBorders>
          <w:top w:val="single" w:sz="2" w:space="0" w:color="F3F1F0"/>
          <w:left w:val="single" w:sz="2" w:space="0" w:color="F3F1F0"/>
          <w:bottom w:val="single" w:sz="2" w:space="0" w:color="F3F1F0"/>
          <w:right w:val="single" w:sz="2" w:space="0" w:color="F3F1F0"/>
          <w:insideH w:val="single" w:sz="2" w:space="0" w:color="F3F1F0"/>
          <w:insideV w:val="single" w:sz="2" w:space="0" w:color="F3F1F0"/>
        </w:tblBorders>
      </w:tblPr>
      <w:tblGrid>
        <w:gridCol w:w="9360"/>
      </w:tblGrid>
      <w:tr>
        <w:trPr>
          <w:cantSplit/>
        </w:trPr>
        <w:tc>
          <w:tcPr>
            <w:tcW w:type="dxa" w:w="9360"/>
            <w:vAlign w:val="center"/>
            <w:tcMar>
              <w:top w:w="100" w:type="dxa"/>
              <w:start w:w="120" w:type="dxa"/>
              <w:bottom w:w="100" w:type="dxa"/>
              <w:end w:w="120" w:type="dxa"/>
            </w:tcMar>
            <w:shd w:fill="F3F1F0"/>
          </w:tcPr>
          <w:p>
            <w:pPr>
              <w:spacing w:after="0" w:line="276" w:lineRule="auto"/>
            </w:pPr>
            <w:r>
              <w:rPr>
                <w:rFonts w:ascii="Calibri" w:hAnsi="Calibri"/>
                <w:b/>
                <w:color w:val="754B47"/>
                <w:sz w:val="21"/>
              </w:rPr>
              <w:t xml:space="preserve">PRODUCT-SPECIFIC EVIDENCE  </w:t>
            </w:r>
            <w:r>
              <w:rPr>
                <w:rFonts w:ascii="Calibri" w:hAnsi="Calibri"/>
                <w:color w:val="3E3533"/>
                <w:sz w:val="21"/>
              </w:rPr>
              <w:t>Insufficient for the implementation. No product-specific evidence validates the requirement that each of the next three consecutive observed days rank lower, the candidate reset, the last-seven-day safeguard, or retrospective edits.</w:t>
            </w:r>
          </w:p>
        </w:tc>
      </w:tr>
    </w:tbl>
    <w:p>
      <w:pPr>
        <w:spacing w:after="40"/>
      </w:pPr>
    </w:p>
    <w:p>
      <w:pPr>
        <w:pStyle w:val="Heading2"/>
        <w:keepNext/>
        <w:keepLines/>
      </w:pPr>
      <w:r>
        <w:t>AI draft disposition for qualified review</w:t>
      </w:r>
    </w:p>
    <w:p>
      <w:pPr>
        <w:spacing w:after="80" w:line="264" w:lineRule="auto"/>
      </w:pPr>
      <w:r>
        <w:rPr>
          <w:rFonts w:ascii="Calibri" w:hAnsi="Calibri"/>
          <w:color w:val="3E3533"/>
          <w:sz w:val="18"/>
        </w:rPr>
        <w:t>Hold the exact algorithm and wording pending authorized rule review and fixture adjudication. Keep explicit language that a chart marker does not confirm ovulation.</w:t>
      </w:r>
    </w:p>
    <w:p>
      <w:pPr>
        <w:spacing w:after="80" w:line="264" w:lineRule="auto"/>
      </w:pPr>
      <w:r>
        <w:rPr>
          <w:rFonts w:ascii="Calibri" w:hAnsi="Calibri"/>
          <w:b/>
          <w:color w:val="3E3533"/>
          <w:sz w:val="18"/>
        </w:rPr>
        <w:t xml:space="preserve">Authorized-source boundary: </w:t>
      </w:r>
      <w:r>
        <w:rPr>
          <w:rFonts w:ascii="Calibri" w:hAnsi="Calibri"/>
          <w:color w:val="3E3533"/>
          <w:sz w:val="18"/>
        </w:rPr>
        <w:t>Do not infer a full P+1/P+2/P+3 rule set from a brief public mention. Require authorized citations for exact comparisons, exceptions, and restarts.</w:t>
      </w:r>
    </w:p>
    <w:p>
      <w:pPr>
        <w:pStyle w:val="Heading2"/>
        <w:keepNext/>
        <w:keepLines/>
      </w:pPr>
      <w:r>
        <w:t>Questions the reviewer must decide</w:t>
      </w:r>
    </w:p>
    <w:p>
      <w:pPr>
        <w:numPr>
          <w:ilvl w:val="0"/>
          <w:numId w:val="10"/>
        </w:numPr>
        <w:spacing w:after="80" w:line="300" w:lineRule="auto"/>
      </w:pPr>
      <w:r>
        <w:rPr>
          <w:rFonts w:ascii="Calibri" w:hAnsi="Calibri"/>
          <w:color w:val="3E3533"/>
          <w:sz w:val="22"/>
        </w:rPr>
        <w:t>Is the current three-consecutive-lower-days rule correct for the supported scope?</w:t>
      </w:r>
    </w:p>
    <w:p>
      <w:pPr>
        <w:numPr>
          <w:ilvl w:val="0"/>
          <w:numId w:val="10"/>
        </w:numPr>
        <w:spacing w:after="80" w:line="300" w:lineRule="auto"/>
      </w:pPr>
      <w:r>
        <w:rPr>
          <w:rFonts w:ascii="Calibri" w:hAnsi="Calibri"/>
          <w:color w:val="3E3533"/>
          <w:sz w:val="22"/>
        </w:rPr>
        <w:t>Does gradual decline require any relationship among P+1, P+2, and P+3?</w:t>
      </w:r>
    </w:p>
    <w:p>
      <w:pPr>
        <w:numPr>
          <w:ilvl w:val="0"/>
          <w:numId w:val="10"/>
        </w:numPr>
        <w:spacing w:after="80" w:line="300" w:lineRule="auto"/>
      </w:pPr>
      <w:r>
        <w:rPr>
          <w:rFonts w:ascii="Calibri" w:hAnsi="Calibri"/>
          <w:color w:val="3E3533"/>
          <w:sz w:val="22"/>
        </w:rPr>
        <w:t>Which terms are permitted, and what limitation must always appear?</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9360"/>
      </w:tblGrid>
      <w:tr>
        <w:trPr>
          <w:cantSplit/>
        </w:trPr>
        <w:tc>
          <w:tcPr>
            <w:tcW w:type="dxa" w:w="9360"/>
            <w:vAlign w:val="center"/>
            <w:tcMar>
              <w:top w:w="100" w:type="dxa"/>
              <w:start w:w="120" w:type="dxa"/>
              <w:bottom w:w="100" w:type="dxa"/>
              <w:end w:w="120" w:type="dxa"/>
            </w:tcMar>
            <w:shd w:fill="EAF1ED"/>
          </w:tcPr>
          <w:p>
            <w:pPr>
              <w:spacing w:after="40"/>
            </w:pPr>
            <w:r>
              <w:rPr>
                <w:rFonts w:ascii="Calibri" w:hAnsi="Calibri"/>
                <w:b/>
                <w:color w:val="754B47"/>
                <w:sz w:val="18"/>
              </w:rPr>
              <w:t>Qualified reviewer disposition — intentionally blank</w:t>
            </w:r>
          </w:p>
          <w:p>
            <w:pPr>
              <w:spacing w:after="40"/>
            </w:pPr>
            <w:r>
              <w:rPr>
                <w:rFonts w:ascii="Calibri" w:hAnsi="Calibri"/>
                <w:color w:val="3E3533"/>
                <w:sz w:val="16"/>
              </w:rPr>
              <w:t>[ ] Accept for defined scope   [ ] Revise   [ ] No automated interpretation   [ ] Hold for authorized evidence</w:t>
            </w:r>
          </w:p>
          <w:p>
            <w:pPr>
              <w:spacing w:after="0"/>
            </w:pPr>
            <w:r>
              <w:rPr>
                <w:rFonts w:ascii="Calibri" w:hAnsi="Calibri"/>
                <w:color w:val="6F6663"/>
                <w:sz w:val="16"/>
              </w:rPr>
              <w:t>Scope, required change, source edition/page, or notes:  ___________________________________________________________________</w:t>
            </w:r>
          </w:p>
        </w:tc>
      </w:tr>
    </w:tbl>
    <w:p>
      <w:r>
        <w:br w:type="page"/>
      </w:r>
    </w:p>
    <w:p>
      <w:pPr>
        <w:pStyle w:val="Heading1"/>
        <w:keepNext/>
        <w:keepLines/>
      </w:pPr>
      <w:r>
        <w:t>D-08  |  Calendar gaps and days marked not observed</w:t>
      </w:r>
    </w:p>
    <w:tbl>
      <w:tblPr>
        <w:tblW w:type="dxa" w:w="9360"/>
        <w:tblLayout w:type="fixed"/>
        <w:tblLook w:firstColumn="1" w:firstRow="1" w:lastColumn="0" w:lastRow="0" w:noHBand="0" w:noVBand="1" w:val="04A0"/>
        <w:tblInd w:w="120" w:type="dxa"/>
        <w:tblBorders>
          <w:top w:val="single" w:sz="2" w:space="0" w:color="F3F1F0"/>
          <w:left w:val="single" w:sz="2" w:space="0" w:color="F3F1F0"/>
          <w:bottom w:val="single" w:sz="2" w:space="0" w:color="F3F1F0"/>
          <w:right w:val="single" w:sz="2" w:space="0" w:color="F3F1F0"/>
          <w:insideH w:val="single" w:sz="2" w:space="0" w:color="F3F1F0"/>
          <w:insideV w:val="single" w:sz="2" w:space="0" w:color="F3F1F0"/>
        </w:tblBorders>
      </w:tblPr>
      <w:tblGrid>
        <w:gridCol w:w="1700"/>
        <w:gridCol w:w="7660"/>
      </w:tblGrid>
      <w:tr>
        <w:trPr>
          <w:cantSplit/>
        </w:trPr>
        <w:tc>
          <w:tcPr>
            <w:tcW w:type="dxa" w:w="1700"/>
            <w:vAlign w:val="center"/>
            <w:tcMar>
              <w:top w:w="100" w:type="dxa"/>
              <w:start w:w="120" w:type="dxa"/>
              <w:bottom w:w="100" w:type="dxa"/>
              <w:end w:w="120" w:type="dxa"/>
            </w:tcMar>
            <w:shd w:fill="F3F1F0"/>
          </w:tcPr>
          <w:p>
            <w:pPr>
              <w:spacing w:after="0" w:line="252" w:lineRule="auto"/>
            </w:pPr>
            <w:r/>
            <w:r>
              <w:rPr>
                <w:rFonts w:ascii="Calibri" w:hAnsi="Calibri"/>
                <w:b/>
                <w:color w:val="754B47"/>
                <w:sz w:val="18"/>
              </w:rPr>
              <w:t>EVIDENCE</w:t>
              <w:br/>
              <w:t>INSUFFICIENT</w:t>
            </w:r>
          </w:p>
        </w:tc>
        <w:tc>
          <w:tcPr>
            <w:tcW w:type="dxa" w:w="7660"/>
            <w:vAlign w:val="center"/>
            <w:tcMar>
              <w:top w:w="100" w:type="dxa"/>
              <w:start w:w="120" w:type="dxa"/>
              <w:bottom w:w="100" w:type="dxa"/>
              <w:end w:w="120" w:type="dxa"/>
            </w:tcMar>
            <w:shd w:fill="F3F1F0"/>
          </w:tcPr>
          <w:p>
            <w:pPr>
              <w:spacing w:after="0" w:line="252" w:lineRule="auto"/>
            </w:pPr>
            <w:r/>
            <w:r>
              <w:rPr>
                <w:rFonts w:ascii="Calibri" w:hAnsi="Calibri"/>
                <w:b w:val="0"/>
                <w:color w:val="3E3533"/>
                <w:sz w:val="18"/>
              </w:rPr>
              <w:t>Public evidence confirms that complete, standardized observation matters, but no source located defines whether an absent date and an explicit not-observed day are equivalent or which gap should block which boundary.</w:t>
            </w:r>
          </w:p>
        </w:tc>
      </w:tr>
    </w:tbl>
    <w:p>
      <w:pPr>
        <w:spacing w:after="20"/>
      </w:pP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750"/>
        <w:gridCol w:w="7610"/>
      </w:tblGrid>
      <w:tr>
        <w:trPr>
          <w:cantSplit/>
        </w:trPr>
        <w:tc>
          <w:tcPr>
            <w:tcW w:type="dxa" w:w="1750"/>
            <w:vAlign w:val="center"/>
            <w:tcMar>
              <w:top w:w="100" w:type="dxa"/>
              <w:start w:w="120" w:type="dxa"/>
              <w:bottom w:w="100" w:type="dxa"/>
              <w:end w:w="120" w:type="dxa"/>
            </w:tcMar>
            <w:shd w:fill="F3F1F0"/>
          </w:tcPr>
          <w:p>
            <w:pPr>
              <w:spacing w:after="0" w:line="252" w:lineRule="auto"/>
            </w:pPr>
            <w:r/>
            <w:r>
              <w:rPr>
                <w:rFonts w:ascii="Calibri" w:hAnsi="Calibri"/>
                <w:b/>
                <w:color w:val="754B47"/>
                <w:sz w:val="16"/>
              </w:rPr>
              <w:t>Audit references</w:t>
            </w:r>
          </w:p>
        </w:tc>
        <w:tc>
          <w:tcPr>
            <w:tcW w:type="dxa" w:w="7610"/>
            <w:vAlign w:val="center"/>
            <w:tcMar>
              <w:top w:w="100" w:type="dxa"/>
              <w:start w:w="120" w:type="dxa"/>
              <w:bottom w:w="100" w:type="dxa"/>
              <w:end w:w="120" w:type="dxa"/>
            </w:tcMar>
          </w:tcPr>
          <w:p>
            <w:pPr>
              <w:spacing w:after="0" w:line="252" w:lineRule="auto"/>
            </w:pPr>
            <w:r/>
            <w:r>
              <w:rPr>
                <w:rFonts w:ascii="Calibri" w:hAnsi="Calibri"/>
                <w:b w:val="0"/>
                <w:color w:val="3E3533"/>
                <w:sz w:val="16"/>
              </w:rPr>
              <w:t>R-25; C-02-C-04</w:t>
            </w:r>
          </w:p>
        </w:tc>
      </w:tr>
      <w:tr>
        <w:trPr>
          <w:cantSplit/>
        </w:trPr>
        <w:tc>
          <w:tcPr>
            <w:tcW w:type="dxa" w:w="1750"/>
            <w:vAlign w:val="center"/>
            <w:tcMar>
              <w:top w:w="100" w:type="dxa"/>
              <w:start w:w="120" w:type="dxa"/>
              <w:bottom w:w="100" w:type="dxa"/>
              <w:end w:w="120" w:type="dxa"/>
            </w:tcMar>
            <w:shd w:fill="F3F1F0"/>
          </w:tcPr>
          <w:p>
            <w:pPr>
              <w:spacing w:after="0" w:line="252" w:lineRule="auto"/>
            </w:pPr>
            <w:r/>
            <w:r>
              <w:rPr>
                <w:rFonts w:ascii="Calibri" w:hAnsi="Calibri"/>
                <w:b/>
                <w:color w:val="754B47"/>
                <w:sz w:val="16"/>
              </w:rPr>
              <w:t>Current behavior</w:t>
            </w:r>
          </w:p>
        </w:tc>
        <w:tc>
          <w:tcPr>
            <w:tcW w:type="dxa" w:w="7610"/>
            <w:vAlign w:val="center"/>
            <w:tcMar>
              <w:top w:w="100" w:type="dxa"/>
              <w:start w:w="120" w:type="dxa"/>
              <w:bottom w:w="100" w:type="dxa"/>
              <w:end w:w="120" w:type="dxa"/>
            </w:tcMar>
          </w:tcPr>
          <w:p>
            <w:pPr>
              <w:spacing w:after="0" w:line="252" w:lineRule="auto"/>
            </w:pPr>
            <w:r/>
            <w:r>
              <w:rPr>
                <w:rFonts w:ascii="Calibri" w:hAnsi="Calibri"/>
                <w:b w:val="0"/>
                <w:color w:val="3E3533"/>
                <w:sz w:val="16"/>
              </w:rPr>
              <w:t>A missing calendar date or explicit not-observed day inside the three-day confirmation sequence blocks the Peak summary. An earlier gap can limit the pattern boundary. Future days beyond the last record are treated as a developing pattern, not a gap. Charting and editing always remain available.</w:t>
            </w:r>
          </w:p>
        </w:tc>
      </w:tr>
    </w:tbl>
    <w:p>
      <w:pPr>
        <w:pStyle w:val="Heading2"/>
        <w:keepNext/>
        <w:keepLines/>
      </w:pPr>
      <w:r>
        <w:t>Public evidence about Creighton / general FABM</w:t>
      </w:r>
    </w:p>
    <w:p>
      <w:pPr>
        <w:numPr>
          <w:ilvl w:val="0"/>
          <w:numId w:val="10"/>
        </w:numPr>
        <w:spacing w:after="40" w:line="254" w:lineRule="auto"/>
      </w:pPr>
      <w:r>
        <w:rPr>
          <w:rFonts w:ascii="Calibri" w:hAnsi="Calibri"/>
          <w:color w:val="3E3533"/>
          <w:sz w:val="18"/>
        </w:rPr>
        <w:t>Official descriptions place daily observations inside a standardized, practitioner-supported method.</w:t>
      </w:r>
    </w:p>
    <w:p>
      <w:pPr>
        <w:pStyle w:val="SmallNote"/>
        <w:spacing w:after="40" w:line="245" w:lineRule="auto"/>
        <w:ind w:left="245" w:hanging="245"/>
      </w:pPr>
      <w:r>
        <w:rPr>
          <w:rFonts w:ascii="Calibri" w:hAnsi="Calibri"/>
          <w:b/>
          <w:color w:val="754B47"/>
          <w:sz w:val="15"/>
        </w:rPr>
        <w:t xml:space="preserve">[P2] </w:t>
      </w:r>
      <w:hyperlink r:id="rId14">
        <w:r>
          <w:rPr>
            <w:rFonts w:ascii="Calibri" w:hAnsi="Calibri"/>
            <w:color w:val="7C4F70"/>
            <w:u w:val="single"/>
          </w:rPr>
          <w:t>Creighton Model FertilityCare System. About the Creighton Model FertilityCare System.</w:t>
        </w:r>
      </w:hyperlink>
    </w:p>
    <w:p>
      <w:pPr>
        <w:pStyle w:val="SmallNote"/>
        <w:spacing w:after="40" w:line="245" w:lineRule="auto"/>
        <w:ind w:left="245" w:hanging="245"/>
      </w:pPr>
      <w:r>
        <w:rPr>
          <w:rFonts w:ascii="Calibri" w:hAnsi="Calibri"/>
          <w:b/>
          <w:color w:val="754B47"/>
          <w:sz w:val="15"/>
        </w:rPr>
        <w:t xml:space="preserve">[P4] </w:t>
      </w:r>
      <w:hyperlink r:id="rId15">
        <w:r>
          <w:rPr>
            <w:rFonts w:ascii="Calibri" w:hAnsi="Calibri"/>
            <w:color w:val="7C4F70"/>
            <w:u w:val="single"/>
          </w:rPr>
          <w:t>FertilityCare Centers of America. The Creighton Model System.</w:t>
        </w:r>
      </w:hyperlink>
    </w:p>
    <w:p>
      <w:pPr>
        <w:numPr>
          <w:ilvl w:val="0"/>
          <w:numId w:val="10"/>
        </w:numPr>
        <w:spacing w:after="40" w:line="254" w:lineRule="auto"/>
      </w:pPr>
      <w:r>
        <w:rPr>
          <w:rFonts w:ascii="Calibri" w:hAnsi="Calibri"/>
          <w:color w:val="3E3533"/>
          <w:sz w:val="18"/>
        </w:rPr>
        <w:t>Research studies used trained charting and excluded incomplete charts in relevant analyses; that supports caution with missingness, not Well Within's exact blocking policy.</w:t>
      </w:r>
    </w:p>
    <w:p>
      <w:pPr>
        <w:pStyle w:val="SmallNote"/>
        <w:spacing w:after="40" w:line="245" w:lineRule="auto"/>
        <w:ind w:left="245" w:hanging="245"/>
      </w:pPr>
      <w:r>
        <w:rPr>
          <w:rFonts w:ascii="Calibri" w:hAnsi="Calibri"/>
          <w:b/>
          <w:color w:val="754B47"/>
          <w:sz w:val="15"/>
        </w:rPr>
        <w:t xml:space="preserve">[R1] </w:t>
      </w:r>
      <w:hyperlink r:id="rId20">
        <w:r>
          <w:rPr>
            <w:rFonts w:ascii="Calibri" w:hAnsi="Calibri"/>
            <w:color w:val="7C4F70"/>
            <w:u w:val="single"/>
          </w:rPr>
          <w:t>Stanford JB, Smith KR, Varner MW. Impact of instruction in the Creighton Model FertilityCare System on time to pregnancy in couples of proven fecundity: results of a randomised trial. Paediatr Perinat Epidemiol. 2014;28(5):391-399. doi:10.1111/ppe.12141.</w:t>
        </w:r>
      </w:hyperlink>
    </w:p>
    <w:p>
      <w:pPr>
        <w:pStyle w:val="SmallNote"/>
        <w:spacing w:after="40" w:line="245" w:lineRule="auto"/>
        <w:ind w:left="245" w:hanging="245"/>
      </w:pPr>
      <w:r>
        <w:rPr>
          <w:rFonts w:ascii="Calibri" w:hAnsi="Calibri"/>
          <w:b/>
          <w:color w:val="754B47"/>
          <w:sz w:val="15"/>
        </w:rPr>
        <w:t xml:space="preserve">[R2] </w:t>
      </w:r>
      <w:hyperlink r:id="rId13">
        <w:r>
          <w:rPr>
            <w:rFonts w:ascii="Calibri" w:hAnsi="Calibri"/>
            <w:color w:val="7C4F70"/>
            <w:u w:val="single"/>
          </w:rPr>
          <w:t>Stanford JB, Schliep KC, Chang C-P, O'Sullivan J-P, Porucznik CA. Comparison of woman-picked, expert-picked, and computer-picked Peak Day of cervical mucus with blinded urine luteinising hormone surge for concurrent identification of ovulation. Paediatr Perinat Epidemiol. 2020;34(2):105-113. doi:10.1111/ppe.12642.</w:t>
        </w:r>
      </w:hyperlink>
    </w:p>
    <w:p>
      <w:pPr>
        <w:pStyle w:val="Heading2"/>
        <w:keepNext/>
        <w:keepLines/>
      </w:pPr>
      <w:r>
        <w:t>Evidence validating Well Within's specific implementation</w:t>
      </w:r>
    </w:p>
    <w:tbl>
      <w:tblPr>
        <w:tblW w:type="dxa" w:w="9360"/>
        <w:tblLayout w:type="fixed"/>
        <w:tblLook w:firstColumn="1" w:firstRow="1" w:lastColumn="0" w:lastRow="0" w:noHBand="0" w:noVBand="1" w:val="04A0"/>
        <w:tblInd w:w="120" w:type="dxa"/>
        <w:tblBorders>
          <w:top w:val="single" w:sz="2" w:space="0" w:color="F3F1F0"/>
          <w:left w:val="single" w:sz="2" w:space="0" w:color="F3F1F0"/>
          <w:bottom w:val="single" w:sz="2" w:space="0" w:color="F3F1F0"/>
          <w:right w:val="single" w:sz="2" w:space="0" w:color="F3F1F0"/>
          <w:insideH w:val="single" w:sz="2" w:space="0" w:color="F3F1F0"/>
          <w:insideV w:val="single" w:sz="2" w:space="0" w:color="F3F1F0"/>
        </w:tblBorders>
      </w:tblPr>
      <w:tblGrid>
        <w:gridCol w:w="9360"/>
      </w:tblGrid>
      <w:tr>
        <w:trPr>
          <w:cantSplit/>
        </w:trPr>
        <w:tc>
          <w:tcPr>
            <w:tcW w:type="dxa" w:w="9360"/>
            <w:vAlign w:val="center"/>
            <w:tcMar>
              <w:top w:w="100" w:type="dxa"/>
              <w:start w:w="120" w:type="dxa"/>
              <w:bottom w:w="100" w:type="dxa"/>
              <w:end w:w="120" w:type="dxa"/>
            </w:tcMar>
            <w:shd w:fill="F3F1F0"/>
          </w:tcPr>
          <w:p>
            <w:pPr>
              <w:spacing w:after="0" w:line="276" w:lineRule="auto"/>
            </w:pPr>
            <w:r>
              <w:rPr>
                <w:rFonts w:ascii="Calibri" w:hAnsi="Calibri"/>
                <w:b/>
                <w:color w:val="754B47"/>
                <w:sz w:val="21"/>
              </w:rPr>
              <w:t xml:space="preserve">PRODUCT-SPECIFIC EVIDENCE  </w:t>
            </w:r>
            <w:r>
              <w:rPr>
                <w:rFonts w:ascii="Calibri" w:hAnsi="Calibri"/>
                <w:color w:val="3E3533"/>
                <w:sz w:val="21"/>
              </w:rPr>
              <w:t>Insufficient. The current blocking behavior is internally verified and conservative, but there is no public clinical validation for its boundary effects, recovery rules, or wording.</w:t>
            </w:r>
          </w:p>
        </w:tc>
      </w:tr>
    </w:tbl>
    <w:p>
      <w:pPr>
        <w:spacing w:after="40"/>
      </w:pPr>
    </w:p>
    <w:p>
      <w:pPr>
        <w:pStyle w:val="Heading2"/>
        <w:keepNext/>
        <w:keepLines/>
      </w:pPr>
      <w:r>
        <w:t>AI draft disposition for qualified review</w:t>
      </w:r>
    </w:p>
    <w:p>
      <w:pPr>
        <w:spacing w:after="80" w:line="264" w:lineRule="auto"/>
      </w:pPr>
      <w:r>
        <w:rPr>
          <w:rFonts w:ascii="Calibri" w:hAnsi="Calibri"/>
          <w:color w:val="3E3533"/>
          <w:sz w:val="18"/>
        </w:rPr>
        <w:t>Retain the no-conclusion posture as an interim safeguard, not as a validated clinical rule. Require C-02 through C-04 adjudication.</w:t>
      </w:r>
    </w:p>
    <w:p>
      <w:pPr>
        <w:spacing w:after="80" w:line="264" w:lineRule="auto"/>
      </w:pPr>
      <w:r>
        <w:rPr>
          <w:rFonts w:ascii="Calibri" w:hAnsi="Calibri"/>
          <w:b/>
          <w:color w:val="3E3533"/>
          <w:sz w:val="18"/>
        </w:rPr>
        <w:t xml:space="preserve">Authorized-source boundary: </w:t>
      </w:r>
      <w:r>
        <w:rPr>
          <w:rFonts w:ascii="Calibri" w:hAnsi="Calibri"/>
          <w:color w:val="3E3533"/>
          <w:sz w:val="18"/>
        </w:rPr>
        <w:t>Do not invent missing-data equivalence or recovery rules from general calls for daily observation.</w:t>
      </w:r>
    </w:p>
    <w:p>
      <w:pPr>
        <w:pStyle w:val="Heading2"/>
        <w:keepNext/>
        <w:keepLines/>
      </w:pPr>
      <w:r>
        <w:t>Questions the reviewer must decide</w:t>
      </w:r>
    </w:p>
    <w:p>
      <w:pPr>
        <w:numPr>
          <w:ilvl w:val="0"/>
          <w:numId w:val="10"/>
        </w:numPr>
        <w:spacing w:after="80" w:line="300" w:lineRule="auto"/>
      </w:pPr>
      <w:r>
        <w:rPr>
          <w:rFonts w:ascii="Calibri" w:hAnsi="Calibri"/>
          <w:color w:val="3E3533"/>
          <w:sz w:val="22"/>
        </w:rPr>
        <w:t>Should an absent date and explicit not-observed row have the same effect?</w:t>
      </w:r>
    </w:p>
    <w:p>
      <w:pPr>
        <w:numPr>
          <w:ilvl w:val="0"/>
          <w:numId w:val="10"/>
        </w:numPr>
        <w:spacing w:after="80" w:line="300" w:lineRule="auto"/>
      </w:pPr>
      <w:r>
        <w:rPr>
          <w:rFonts w:ascii="Calibri" w:hAnsi="Calibri"/>
          <w:color w:val="3E3533"/>
          <w:sz w:val="22"/>
        </w:rPr>
        <w:t>Which gaps limit opening, block Peak, or make the full pattern unsupported?</w:t>
      </w:r>
    </w:p>
    <w:p>
      <w:pPr>
        <w:numPr>
          <w:ilvl w:val="0"/>
          <w:numId w:val="10"/>
        </w:numPr>
        <w:spacing w:after="80" w:line="300" w:lineRule="auto"/>
      </w:pPr>
      <w:r>
        <w:rPr>
          <w:rFonts w:ascii="Calibri" w:hAnsi="Calibri"/>
          <w:color w:val="3E3533"/>
          <w:sz w:val="22"/>
        </w:rPr>
        <w:t>What recovery wording is accurate without blaming the user?</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9360"/>
      </w:tblGrid>
      <w:tr>
        <w:trPr>
          <w:cantSplit/>
        </w:trPr>
        <w:tc>
          <w:tcPr>
            <w:tcW w:type="dxa" w:w="9360"/>
            <w:vAlign w:val="center"/>
            <w:tcMar>
              <w:top w:w="100" w:type="dxa"/>
              <w:start w:w="120" w:type="dxa"/>
              <w:bottom w:w="100" w:type="dxa"/>
              <w:end w:w="120" w:type="dxa"/>
            </w:tcMar>
            <w:shd w:fill="EAF1ED"/>
          </w:tcPr>
          <w:p>
            <w:pPr>
              <w:spacing w:after="40"/>
            </w:pPr>
            <w:r>
              <w:rPr>
                <w:rFonts w:ascii="Calibri" w:hAnsi="Calibri"/>
                <w:b/>
                <w:color w:val="754B47"/>
                <w:sz w:val="18"/>
              </w:rPr>
              <w:t>Qualified reviewer disposition — intentionally blank</w:t>
            </w:r>
          </w:p>
          <w:p>
            <w:pPr>
              <w:spacing w:after="40"/>
            </w:pPr>
            <w:r>
              <w:rPr>
                <w:rFonts w:ascii="Calibri" w:hAnsi="Calibri"/>
                <w:color w:val="3E3533"/>
                <w:sz w:val="16"/>
              </w:rPr>
              <w:t>[ ] Accept for defined scope   [ ] Revise   [ ] No automated interpretation   [ ] Hold for authorized evidence</w:t>
            </w:r>
          </w:p>
          <w:p>
            <w:pPr>
              <w:spacing w:after="0"/>
            </w:pPr>
            <w:r>
              <w:rPr>
                <w:rFonts w:ascii="Calibri" w:hAnsi="Calibri"/>
                <w:color w:val="6F6663"/>
                <w:sz w:val="16"/>
              </w:rPr>
              <w:t>Scope, required change, source edition/page, or notes:  ___________________________________________________________________</w:t>
            </w:r>
          </w:p>
        </w:tc>
      </w:tr>
    </w:tbl>
    <w:p>
      <w:r>
        <w:br w:type="page"/>
      </w:r>
    </w:p>
    <w:p>
      <w:pPr>
        <w:pStyle w:val="Heading1"/>
        <w:keepNext/>
        <w:keepLines/>
      </w:pPr>
      <w:r>
        <w:t>D-09  |  Separated or repeated Peak-type sequences</w:t>
      </w:r>
    </w:p>
    <w:tbl>
      <w:tblPr>
        <w:tblW w:type="dxa" w:w="9360"/>
        <w:tblLayout w:type="fixed"/>
        <w:tblLook w:firstColumn="1" w:firstRow="1" w:lastColumn="0" w:lastRow="0" w:noHBand="0" w:noVBand="1" w:val="04A0"/>
        <w:tblInd w:w="120" w:type="dxa"/>
        <w:tblBorders>
          <w:top w:val="single" w:sz="2" w:space="0" w:color="F6F0DD"/>
          <w:left w:val="single" w:sz="2" w:space="0" w:color="F6F0DD"/>
          <w:bottom w:val="single" w:sz="2" w:space="0" w:color="F6F0DD"/>
          <w:right w:val="single" w:sz="2" w:space="0" w:color="F6F0DD"/>
          <w:insideH w:val="single" w:sz="2" w:space="0" w:color="F6F0DD"/>
          <w:insideV w:val="single" w:sz="2" w:space="0" w:color="F6F0DD"/>
        </w:tblBorders>
      </w:tblPr>
      <w:tblGrid>
        <w:gridCol w:w="1700"/>
        <w:gridCol w:w="7660"/>
      </w:tblGrid>
      <w:tr>
        <w:trPr>
          <w:cantSplit/>
        </w:trPr>
        <w:tc>
          <w:tcPr>
            <w:tcW w:type="dxa" w:w="1700"/>
            <w:vAlign w:val="center"/>
            <w:tcMar>
              <w:top w:w="100" w:type="dxa"/>
              <w:start w:w="120" w:type="dxa"/>
              <w:bottom w:w="100" w:type="dxa"/>
              <w:end w:w="120" w:type="dxa"/>
            </w:tcMar>
            <w:shd w:fill="F6F0DD"/>
          </w:tcPr>
          <w:p>
            <w:pPr>
              <w:spacing w:after="0" w:line="252" w:lineRule="auto"/>
            </w:pPr>
            <w:r/>
            <w:r>
              <w:rPr>
                <w:rFonts w:ascii="Calibri" w:hAnsi="Calibri"/>
                <w:b/>
                <w:color w:val="7B6427"/>
                <w:sz w:val="18"/>
              </w:rPr>
              <w:t>EVIDENCE</w:t>
              <w:br/>
              <w:t>MIXED</w:t>
            </w:r>
          </w:p>
        </w:tc>
        <w:tc>
          <w:tcPr>
            <w:tcW w:type="dxa" w:w="7660"/>
            <w:vAlign w:val="center"/>
            <w:tcMar>
              <w:top w:w="100" w:type="dxa"/>
              <w:start w:w="120" w:type="dxa"/>
              <w:bottom w:w="100" w:type="dxa"/>
              <w:end w:w="120" w:type="dxa"/>
            </w:tcMar>
            <w:shd w:fill="F6F0DD"/>
          </w:tcPr>
          <w:p>
            <w:pPr>
              <w:spacing w:after="0" w:line="252" w:lineRule="auto"/>
            </w:pPr>
            <w:r/>
            <w:r>
              <w:rPr>
                <w:rFonts w:ascii="Calibri" w:hAnsi="Calibri"/>
                <w:b w:val="0"/>
                <w:color w:val="3E3533"/>
                <w:sz w:val="18"/>
              </w:rPr>
              <w:t>Public and peer-reviewed sources show that repeated mucus patches or multiple peaks occur and may require context. They do not establish which sequence Well Within should select or validate its nonselection wording.</w:t>
            </w:r>
          </w:p>
        </w:tc>
      </w:tr>
    </w:tbl>
    <w:p>
      <w:pPr>
        <w:spacing w:after="20"/>
      </w:pP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750"/>
        <w:gridCol w:w="7610"/>
      </w:tblGrid>
      <w:tr>
        <w:trPr>
          <w:cantSplit/>
        </w:trPr>
        <w:tc>
          <w:tcPr>
            <w:tcW w:type="dxa" w:w="1750"/>
            <w:vAlign w:val="center"/>
            <w:tcMar>
              <w:top w:w="100" w:type="dxa"/>
              <w:start w:w="120" w:type="dxa"/>
              <w:bottom w:w="100" w:type="dxa"/>
              <w:end w:w="120" w:type="dxa"/>
            </w:tcMar>
            <w:shd w:fill="F3F1F0"/>
          </w:tcPr>
          <w:p>
            <w:pPr>
              <w:spacing w:after="0" w:line="252" w:lineRule="auto"/>
            </w:pPr>
            <w:r/>
            <w:r>
              <w:rPr>
                <w:rFonts w:ascii="Calibri" w:hAnsi="Calibri"/>
                <w:b/>
                <w:color w:val="754B47"/>
                <w:sz w:val="16"/>
              </w:rPr>
              <w:t>Audit references</w:t>
            </w:r>
          </w:p>
        </w:tc>
        <w:tc>
          <w:tcPr>
            <w:tcW w:type="dxa" w:w="7610"/>
            <w:vAlign w:val="center"/>
            <w:tcMar>
              <w:top w:w="100" w:type="dxa"/>
              <w:start w:w="120" w:type="dxa"/>
              <w:bottom w:w="100" w:type="dxa"/>
              <w:end w:w="120" w:type="dxa"/>
            </w:tcMar>
          </w:tcPr>
          <w:p>
            <w:pPr>
              <w:spacing w:after="0" w:line="252" w:lineRule="auto"/>
            </w:pPr>
            <w:r/>
            <w:r>
              <w:rPr>
                <w:rFonts w:ascii="Calibri" w:hAnsi="Calibri"/>
                <w:b w:val="0"/>
                <w:color w:val="3E3533"/>
                <w:sz w:val="16"/>
              </w:rPr>
              <w:t>R-17; F-05; C-09</w:t>
            </w:r>
          </w:p>
        </w:tc>
      </w:tr>
      <w:tr>
        <w:trPr>
          <w:cantSplit/>
        </w:trPr>
        <w:tc>
          <w:tcPr>
            <w:tcW w:type="dxa" w:w="1750"/>
            <w:vAlign w:val="center"/>
            <w:tcMar>
              <w:top w:w="100" w:type="dxa"/>
              <w:start w:w="120" w:type="dxa"/>
              <w:bottom w:w="100" w:type="dxa"/>
              <w:end w:w="120" w:type="dxa"/>
            </w:tcMar>
            <w:shd w:fill="F3F1F0"/>
          </w:tcPr>
          <w:p>
            <w:pPr>
              <w:spacing w:after="0" w:line="252" w:lineRule="auto"/>
            </w:pPr>
            <w:r/>
            <w:r>
              <w:rPr>
                <w:rFonts w:ascii="Calibri" w:hAnsi="Calibri"/>
                <w:b/>
                <w:color w:val="754B47"/>
                <w:sz w:val="16"/>
              </w:rPr>
              <w:t>Current behavior</w:t>
            </w:r>
          </w:p>
        </w:tc>
        <w:tc>
          <w:tcPr>
            <w:tcW w:type="dxa" w:w="7610"/>
            <w:vAlign w:val="center"/>
            <w:tcMar>
              <w:top w:w="100" w:type="dxa"/>
              <w:start w:w="120" w:type="dxa"/>
              <w:bottom w:w="100" w:type="dxa"/>
              <w:end w:w="120" w:type="dxa"/>
            </w:tcMar>
          </w:tcPr>
          <w:p>
            <w:pPr>
              <w:spacing w:after="0" w:line="252" w:lineRule="auto"/>
            </w:pPr>
            <w:r/>
            <w:r>
              <w:rPr>
                <w:rFonts w:ascii="Calibri" w:hAnsi="Calibri"/>
                <w:b w:val="0"/>
                <w:color w:val="3E3533"/>
                <w:sz w:val="16"/>
              </w:rPr>
              <w:t>When more than one separated sequence independently satisfies the current three-lower-days rule, Well Within shows 'Your chart shows more than one possible Peak pattern' and does not choose one Peak Day. Outside review is optional and never unlocks the app.</w:t>
            </w:r>
          </w:p>
        </w:tc>
      </w:tr>
    </w:tbl>
    <w:p>
      <w:pPr>
        <w:pStyle w:val="Heading2"/>
        <w:keepNext/>
        <w:keepLines/>
      </w:pPr>
      <w:r>
        <w:t>Public evidence about Creighton / general FABM</w:t>
      </w:r>
    </w:p>
    <w:p>
      <w:pPr>
        <w:numPr>
          <w:ilvl w:val="0"/>
          <w:numId w:val="10"/>
        </w:numPr>
        <w:spacing w:after="40" w:line="254" w:lineRule="auto"/>
      </w:pPr>
      <w:r>
        <w:rPr>
          <w:rFonts w:ascii="Calibri" w:hAnsi="Calibri"/>
          <w:color w:val="3E3533"/>
          <w:sz w:val="18"/>
        </w:rPr>
        <w:t>The public sample acknowledges a double-Peak situation, while the official background notes multiple mucus patches in long cycles.</w:t>
      </w:r>
    </w:p>
    <w:p>
      <w:pPr>
        <w:pStyle w:val="SmallNote"/>
        <w:spacing w:after="40" w:line="245" w:lineRule="auto"/>
        <w:ind w:left="245" w:hanging="245"/>
      </w:pPr>
      <w:r>
        <w:rPr>
          <w:rFonts w:ascii="Calibri" w:hAnsi="Calibri"/>
          <w:b/>
          <w:color w:val="754B47"/>
          <w:sz w:val="15"/>
        </w:rPr>
        <w:t xml:space="preserve">[P1] </w:t>
      </w:r>
      <w:hyperlink r:id="rId12">
        <w:r>
          <w:rPr>
            <w:rFonts w:ascii="Calibri" w:hAnsi="Calibri"/>
            <w:color w:val="7C4F70"/>
            <w:u w:val="single"/>
          </w:rPr>
          <w:t>Saint Paul VI Institute. CrMS App Copyright: Samples of Intellectual Property/Copyrighted Material, p. 3 (public PDF).</w:t>
        </w:r>
      </w:hyperlink>
    </w:p>
    <w:p>
      <w:pPr>
        <w:pStyle w:val="SmallNote"/>
        <w:spacing w:after="40" w:line="245" w:lineRule="auto"/>
        <w:ind w:left="245" w:hanging="245"/>
      </w:pPr>
      <w:r>
        <w:rPr>
          <w:rFonts w:ascii="Calibri" w:hAnsi="Calibri"/>
          <w:b/>
          <w:color w:val="754B47"/>
          <w:sz w:val="15"/>
        </w:rPr>
        <w:t xml:space="preserve">[P3] </w:t>
      </w:r>
      <w:hyperlink r:id="rId18">
        <w:r>
          <w:rPr>
            <w:rFonts w:ascii="Calibri" w:hAnsi="Calibri"/>
            <w:color w:val="7C4F70"/>
            <w:u w:val="single"/>
          </w:rPr>
          <w:t>Creighton Model FertilityCare System. Background.</w:t>
        </w:r>
      </w:hyperlink>
    </w:p>
    <w:p>
      <w:pPr>
        <w:numPr>
          <w:ilvl w:val="0"/>
          <w:numId w:val="10"/>
        </w:numPr>
        <w:spacing w:after="40" w:line="254" w:lineRule="auto"/>
      </w:pPr>
      <w:r>
        <w:rPr>
          <w:rFonts w:ascii="Calibri" w:hAnsi="Calibri"/>
          <w:color w:val="3E3533"/>
          <w:sz w:val="18"/>
        </w:rPr>
        <w:t>Cohort research documents multiple mucus peaks and substantial pattern variability; expert and computer Peak selections can also differ.</w:t>
      </w:r>
    </w:p>
    <w:p>
      <w:pPr>
        <w:pStyle w:val="SmallNote"/>
        <w:spacing w:after="40" w:line="245" w:lineRule="auto"/>
        <w:ind w:left="245" w:hanging="245"/>
      </w:pPr>
      <w:r>
        <w:rPr>
          <w:rFonts w:ascii="Calibri" w:hAnsi="Calibri"/>
          <w:b/>
          <w:color w:val="754B47"/>
          <w:sz w:val="15"/>
        </w:rPr>
        <w:t xml:space="preserve">[R3] </w:t>
      </w:r>
      <w:hyperlink r:id="rId16">
        <w:r>
          <w:rPr>
            <w:rFonts w:ascii="Calibri" w:hAnsi="Calibri"/>
            <w:color w:val="7C4F70"/>
            <w:u w:val="single"/>
          </w:rPr>
          <w:t>Najmabadi S, Schliep KC, Simonsen SE, Porucznik CA, Egger MJ, Stanford JB. Cervical mucus patterns and the fertile window in women without known subfertility: a pooled analysis of three cohorts. Hum Reprod. 2021;36(7):1784-1795. doi:10.1093/humrep/deab049.</w:t>
        </w:r>
      </w:hyperlink>
    </w:p>
    <w:p>
      <w:pPr>
        <w:pStyle w:val="SmallNote"/>
        <w:spacing w:after="40" w:line="245" w:lineRule="auto"/>
        <w:ind w:left="245" w:hanging="245"/>
      </w:pPr>
      <w:r>
        <w:rPr>
          <w:rFonts w:ascii="Calibri" w:hAnsi="Calibri"/>
          <w:b/>
          <w:color w:val="754B47"/>
          <w:sz w:val="15"/>
        </w:rPr>
        <w:t xml:space="preserve">[R2] </w:t>
      </w:r>
      <w:hyperlink r:id="rId13">
        <w:r>
          <w:rPr>
            <w:rFonts w:ascii="Calibri" w:hAnsi="Calibri"/>
            <w:color w:val="7C4F70"/>
            <w:u w:val="single"/>
          </w:rPr>
          <w:t>Stanford JB, Schliep KC, Chang C-P, O'Sullivan J-P, Porucznik CA. Comparison of woman-picked, expert-picked, and computer-picked Peak Day of cervical mucus with blinded urine luteinising hormone surge for concurrent identification of ovulation. Paediatr Perinat Epidemiol. 2020;34(2):105-113. doi:10.1111/ppe.12642.</w:t>
        </w:r>
      </w:hyperlink>
    </w:p>
    <w:p>
      <w:pPr>
        <w:pStyle w:val="Heading2"/>
        <w:keepNext/>
        <w:keepLines/>
      </w:pPr>
      <w:r>
        <w:t>Evidence validating Well Within's specific implementation</w:t>
      </w:r>
    </w:p>
    <w:tbl>
      <w:tblPr>
        <w:tblW w:type="dxa" w:w="9360"/>
        <w:tblLayout w:type="fixed"/>
        <w:tblLook w:firstColumn="1" w:firstRow="1" w:lastColumn="0" w:lastRow="0" w:noHBand="0" w:noVBand="1" w:val="04A0"/>
        <w:tblInd w:w="120" w:type="dxa"/>
        <w:tblBorders>
          <w:top w:val="single" w:sz="2" w:space="0" w:color="F3F1F0"/>
          <w:left w:val="single" w:sz="2" w:space="0" w:color="F3F1F0"/>
          <w:bottom w:val="single" w:sz="2" w:space="0" w:color="F3F1F0"/>
          <w:right w:val="single" w:sz="2" w:space="0" w:color="F3F1F0"/>
          <w:insideH w:val="single" w:sz="2" w:space="0" w:color="F3F1F0"/>
          <w:insideV w:val="single" w:sz="2" w:space="0" w:color="F3F1F0"/>
        </w:tblBorders>
      </w:tblPr>
      <w:tblGrid>
        <w:gridCol w:w="9360"/>
      </w:tblGrid>
      <w:tr>
        <w:trPr>
          <w:cantSplit/>
        </w:trPr>
        <w:tc>
          <w:tcPr>
            <w:tcW w:type="dxa" w:w="9360"/>
            <w:vAlign w:val="center"/>
            <w:tcMar>
              <w:top w:w="100" w:type="dxa"/>
              <w:start w:w="120" w:type="dxa"/>
              <w:bottom w:w="100" w:type="dxa"/>
              <w:end w:w="120" w:type="dxa"/>
            </w:tcMar>
            <w:shd w:fill="F3F1F0"/>
          </w:tcPr>
          <w:p>
            <w:pPr>
              <w:spacing w:after="0" w:line="276" w:lineRule="auto"/>
            </w:pPr>
            <w:r>
              <w:rPr>
                <w:rFonts w:ascii="Calibri" w:hAnsi="Calibri"/>
                <w:b/>
                <w:color w:val="754B47"/>
                <w:sz w:val="21"/>
              </w:rPr>
              <w:t xml:space="preserve">PRODUCT-SPECIFIC EVIDENCE  </w:t>
            </w:r>
            <w:r>
              <w:rPr>
                <w:rFonts w:ascii="Calibri" w:hAnsi="Calibri"/>
                <w:color w:val="3E3533"/>
                <w:sz w:val="21"/>
              </w:rPr>
              <w:t>Insufficient for the implementation. Showing a review state and selecting neither sequence is a conservative product choice, not a validated CrMS classification.</w:t>
            </w:r>
          </w:p>
        </w:tc>
      </w:tr>
    </w:tbl>
    <w:p>
      <w:pPr>
        <w:spacing w:after="40"/>
      </w:pPr>
    </w:p>
    <w:p>
      <w:pPr>
        <w:pStyle w:val="Heading2"/>
        <w:keepNext/>
        <w:keepLines/>
      </w:pPr>
      <w:r>
        <w:t>AI draft disposition for qualified review</w:t>
      </w:r>
    </w:p>
    <w:p>
      <w:pPr>
        <w:spacing w:after="80" w:line="264" w:lineRule="auto"/>
      </w:pPr>
      <w:r>
        <w:rPr>
          <w:rFonts w:ascii="Calibri" w:hAnsi="Calibri"/>
          <w:color w:val="3E3533"/>
          <w:sz w:val="18"/>
        </w:rPr>
        <w:t>Keep nonselection as an interim safety posture. A qualified reviewer must decide whether any sequence can be selected and under what complete prerequisites.</w:t>
      </w:r>
    </w:p>
    <w:p>
      <w:pPr>
        <w:spacing w:after="80" w:line="264" w:lineRule="auto"/>
      </w:pPr>
      <w:r>
        <w:rPr>
          <w:rFonts w:ascii="Calibri" w:hAnsi="Calibri"/>
          <w:b/>
          <w:color w:val="3E3533"/>
          <w:sz w:val="18"/>
        </w:rPr>
        <w:t xml:space="preserve">Authorized-source boundary: </w:t>
      </w:r>
      <w:r>
        <w:rPr>
          <w:rFonts w:ascii="Calibri" w:hAnsi="Calibri"/>
          <w:color w:val="3E3533"/>
          <w:sz w:val="18"/>
        </w:rPr>
        <w:t>Double-Peak and long-cycle adjudication may rely on proprietary rules and individualized instruction. Do not infer those rules.</w:t>
      </w:r>
    </w:p>
    <w:p>
      <w:pPr>
        <w:pStyle w:val="Heading2"/>
        <w:keepNext/>
        <w:keepLines/>
      </w:pPr>
      <w:r>
        <w:t>Questions the reviewer must decide</w:t>
      </w:r>
    </w:p>
    <w:p>
      <w:pPr>
        <w:numPr>
          <w:ilvl w:val="0"/>
          <w:numId w:val="10"/>
        </w:numPr>
        <w:spacing w:after="80" w:line="300" w:lineRule="auto"/>
      </w:pPr>
      <w:r>
        <w:rPr>
          <w:rFonts w:ascii="Calibri" w:hAnsi="Calibri"/>
          <w:color w:val="3E3533"/>
          <w:sz w:val="22"/>
        </w:rPr>
        <w:t>Is nonselection plus optional review the correct default for two qualifying sequences?</w:t>
      </w:r>
    </w:p>
    <w:p>
      <w:pPr>
        <w:numPr>
          <w:ilvl w:val="0"/>
          <w:numId w:val="10"/>
        </w:numPr>
        <w:spacing w:after="80" w:line="300" w:lineRule="auto"/>
      </w:pPr>
      <w:r>
        <w:rPr>
          <w:rFonts w:ascii="Calibri" w:hAnsi="Calibri"/>
          <w:color w:val="3E3533"/>
          <w:sz w:val="22"/>
        </w:rPr>
        <w:t>May the app ever select the later sequence, and under what exact prerequisites?</w:t>
      </w:r>
    </w:p>
    <w:p>
      <w:pPr>
        <w:numPr>
          <w:ilvl w:val="0"/>
          <w:numId w:val="10"/>
        </w:numPr>
        <w:spacing w:after="80" w:line="300" w:lineRule="auto"/>
      </w:pPr>
      <w:r>
        <w:rPr>
          <w:rFonts w:ascii="Calibri" w:hAnsi="Calibri"/>
          <w:color w:val="3E3533"/>
          <w:sz w:val="22"/>
        </w:rPr>
        <w:t>What wording explains nonselection without diagnosis or implied certainty?</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9360"/>
      </w:tblGrid>
      <w:tr>
        <w:trPr>
          <w:cantSplit/>
        </w:trPr>
        <w:tc>
          <w:tcPr>
            <w:tcW w:type="dxa" w:w="9360"/>
            <w:vAlign w:val="center"/>
            <w:tcMar>
              <w:top w:w="100" w:type="dxa"/>
              <w:start w:w="120" w:type="dxa"/>
              <w:bottom w:w="100" w:type="dxa"/>
              <w:end w:w="120" w:type="dxa"/>
            </w:tcMar>
            <w:shd w:fill="EAF1ED"/>
          </w:tcPr>
          <w:p>
            <w:pPr>
              <w:spacing w:after="40"/>
            </w:pPr>
            <w:r>
              <w:rPr>
                <w:rFonts w:ascii="Calibri" w:hAnsi="Calibri"/>
                <w:b/>
                <w:color w:val="754B47"/>
                <w:sz w:val="18"/>
              </w:rPr>
              <w:t>Qualified reviewer disposition — intentionally blank</w:t>
            </w:r>
          </w:p>
          <w:p>
            <w:pPr>
              <w:spacing w:after="40"/>
            </w:pPr>
            <w:r>
              <w:rPr>
                <w:rFonts w:ascii="Calibri" w:hAnsi="Calibri"/>
                <w:color w:val="3E3533"/>
                <w:sz w:val="16"/>
              </w:rPr>
              <w:t>[ ] Accept for defined scope   [ ] Revise   [ ] No automated interpretation   [ ] Hold for authorized evidence</w:t>
            </w:r>
          </w:p>
          <w:p>
            <w:pPr>
              <w:spacing w:after="0"/>
            </w:pPr>
            <w:r>
              <w:rPr>
                <w:rFonts w:ascii="Calibri" w:hAnsi="Calibri"/>
                <w:color w:val="6F6663"/>
                <w:sz w:val="16"/>
              </w:rPr>
              <w:t>Scope, required change, source edition/page, or notes:  ___________________________________________________________________</w:t>
            </w:r>
          </w:p>
        </w:tc>
      </w:tr>
    </w:tbl>
    <w:p>
      <w:r>
        <w:br w:type="page"/>
      </w:r>
    </w:p>
    <w:p>
      <w:pPr>
        <w:pStyle w:val="Heading1"/>
        <w:keepNext/>
        <w:keepLines/>
      </w:pPr>
      <w:r>
        <w:t>D-10  |  Continuous mucus, non-Peak-only patterns, and special contexts</w:t>
      </w:r>
    </w:p>
    <w:tbl>
      <w:tblPr>
        <w:tblW w:type="dxa" w:w="9360"/>
        <w:tblLayout w:type="fixed"/>
        <w:tblLook w:firstColumn="1" w:firstRow="1" w:lastColumn="0" w:lastRow="0" w:noHBand="0" w:noVBand="1" w:val="04A0"/>
        <w:tblInd w:w="120" w:type="dxa"/>
        <w:tblBorders>
          <w:top w:val="single" w:sz="2" w:space="0" w:color="F6F0DD"/>
          <w:left w:val="single" w:sz="2" w:space="0" w:color="F6F0DD"/>
          <w:bottom w:val="single" w:sz="2" w:space="0" w:color="F6F0DD"/>
          <w:right w:val="single" w:sz="2" w:space="0" w:color="F6F0DD"/>
          <w:insideH w:val="single" w:sz="2" w:space="0" w:color="F6F0DD"/>
          <w:insideV w:val="single" w:sz="2" w:space="0" w:color="F6F0DD"/>
        </w:tblBorders>
      </w:tblPr>
      <w:tblGrid>
        <w:gridCol w:w="1700"/>
        <w:gridCol w:w="7660"/>
      </w:tblGrid>
      <w:tr>
        <w:trPr>
          <w:cantSplit/>
        </w:trPr>
        <w:tc>
          <w:tcPr>
            <w:tcW w:type="dxa" w:w="1700"/>
            <w:vAlign w:val="center"/>
            <w:tcMar>
              <w:top w:w="100" w:type="dxa"/>
              <w:start w:w="120" w:type="dxa"/>
              <w:bottom w:w="100" w:type="dxa"/>
              <w:end w:w="120" w:type="dxa"/>
            </w:tcMar>
            <w:shd w:fill="F6F0DD"/>
          </w:tcPr>
          <w:p>
            <w:pPr>
              <w:spacing w:after="0" w:line="252" w:lineRule="auto"/>
            </w:pPr>
            <w:r/>
            <w:r>
              <w:rPr>
                <w:rFonts w:ascii="Calibri" w:hAnsi="Calibri"/>
                <w:b/>
                <w:color w:val="7B6427"/>
                <w:sz w:val="18"/>
              </w:rPr>
              <w:t>EVIDENCE</w:t>
              <w:br/>
              <w:t>MIXED</w:t>
            </w:r>
          </w:p>
        </w:tc>
        <w:tc>
          <w:tcPr>
            <w:tcW w:type="dxa" w:w="7660"/>
            <w:vAlign w:val="center"/>
            <w:tcMar>
              <w:top w:w="100" w:type="dxa"/>
              <w:start w:w="120" w:type="dxa"/>
              <w:bottom w:w="100" w:type="dxa"/>
              <w:end w:w="120" w:type="dxa"/>
            </w:tcMar>
            <w:shd w:fill="F6F0DD"/>
          </w:tcPr>
          <w:p>
            <w:pPr>
              <w:spacing w:after="0" w:line="252" w:lineRule="auto"/>
            </w:pPr>
            <w:r/>
            <w:r>
              <w:rPr>
                <w:rFonts w:ascii="Calibri" w:hAnsi="Calibri"/>
                <w:b w:val="0"/>
                <w:color w:val="3E3533"/>
                <w:sz w:val="18"/>
              </w:rPr>
              <w:t>Public sources support that BIP, continuous discharge, non-Peak-only patterns, and physiologic contexts can require different handling. They do not validate a single automated interpretation path for Well Within.</w:t>
            </w:r>
          </w:p>
        </w:tc>
      </w:tr>
    </w:tbl>
    <w:p>
      <w:pPr>
        <w:spacing w:after="20"/>
      </w:pP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750"/>
        <w:gridCol w:w="7610"/>
      </w:tblGrid>
      <w:tr>
        <w:trPr>
          <w:cantSplit/>
        </w:trPr>
        <w:tc>
          <w:tcPr>
            <w:tcW w:type="dxa" w:w="1750"/>
            <w:vAlign w:val="center"/>
            <w:tcMar>
              <w:top w:w="100" w:type="dxa"/>
              <w:start w:w="120" w:type="dxa"/>
              <w:bottom w:w="100" w:type="dxa"/>
              <w:end w:w="120" w:type="dxa"/>
            </w:tcMar>
            <w:shd w:fill="F3F1F0"/>
          </w:tcPr>
          <w:p>
            <w:pPr>
              <w:spacing w:after="0" w:line="252" w:lineRule="auto"/>
            </w:pPr>
            <w:r/>
            <w:r>
              <w:rPr>
                <w:rFonts w:ascii="Calibri" w:hAnsi="Calibri"/>
                <w:b/>
                <w:color w:val="754B47"/>
                <w:sz w:val="16"/>
              </w:rPr>
              <w:t>Audit references</w:t>
            </w:r>
          </w:p>
        </w:tc>
        <w:tc>
          <w:tcPr>
            <w:tcW w:type="dxa" w:w="7610"/>
            <w:vAlign w:val="center"/>
            <w:tcMar>
              <w:top w:w="100" w:type="dxa"/>
              <w:start w:w="120" w:type="dxa"/>
              <w:bottom w:w="100" w:type="dxa"/>
              <w:end w:w="120" w:type="dxa"/>
            </w:tcMar>
          </w:tcPr>
          <w:p>
            <w:pPr>
              <w:spacing w:after="0" w:line="252" w:lineRule="auto"/>
            </w:pPr>
            <w:r/>
            <w:r>
              <w:rPr>
                <w:rFonts w:ascii="Calibri" w:hAnsi="Calibri"/>
                <w:b w:val="0"/>
                <w:color w:val="3E3533"/>
                <w:sz w:val="16"/>
              </w:rPr>
              <w:t>R-19-R-20; C-06-C-08; special-context set</w:t>
            </w:r>
          </w:p>
        </w:tc>
      </w:tr>
      <w:tr>
        <w:trPr>
          <w:cantSplit/>
        </w:trPr>
        <w:tc>
          <w:tcPr>
            <w:tcW w:type="dxa" w:w="1750"/>
            <w:vAlign w:val="center"/>
            <w:tcMar>
              <w:top w:w="100" w:type="dxa"/>
              <w:start w:w="120" w:type="dxa"/>
              <w:bottom w:w="100" w:type="dxa"/>
              <w:end w:w="120" w:type="dxa"/>
            </w:tcMar>
            <w:shd w:fill="F3F1F0"/>
          </w:tcPr>
          <w:p>
            <w:pPr>
              <w:spacing w:after="0" w:line="252" w:lineRule="auto"/>
            </w:pPr>
            <w:r/>
            <w:r>
              <w:rPr>
                <w:rFonts w:ascii="Calibri" w:hAnsi="Calibri"/>
                <w:b/>
                <w:color w:val="754B47"/>
                <w:sz w:val="16"/>
              </w:rPr>
              <w:t>Current behavior</w:t>
            </w:r>
          </w:p>
        </w:tc>
        <w:tc>
          <w:tcPr>
            <w:tcW w:type="dxa" w:w="7610"/>
            <w:vAlign w:val="center"/>
            <w:tcMar>
              <w:top w:w="100" w:type="dxa"/>
              <w:start w:w="120" w:type="dxa"/>
              <w:bottom w:w="100" w:type="dxa"/>
              <w:end w:w="120" w:type="dxa"/>
            </w:tcMar>
          </w:tcPr>
          <w:p>
            <w:pPr>
              <w:spacing w:after="0" w:line="252" w:lineRule="auto"/>
            </w:pPr>
            <w:r/>
            <w:r>
              <w:rPr>
                <w:rFonts w:ascii="Calibri" w:hAnsi="Calibri"/>
                <w:b w:val="0"/>
                <w:color w:val="3E3533"/>
                <w:sz w:val="16"/>
              </w:rPr>
              <w:t>Continuous Peak-type signs remain a developing pattern. Continuous lower-quality mucus and non-Peak-only runs do not receive a confirmed Peak summary. No BIP, postpartum, perimenopause, medication, infection, or diagnostic mechanics have been invented.</w:t>
            </w:r>
          </w:p>
        </w:tc>
      </w:tr>
    </w:tbl>
    <w:p>
      <w:pPr>
        <w:pStyle w:val="Heading2"/>
        <w:keepNext/>
        <w:keepLines/>
      </w:pPr>
      <w:r>
        <w:t>Public evidence about Creighton / general FABM</w:t>
      </w:r>
    </w:p>
    <w:p>
      <w:pPr>
        <w:numPr>
          <w:ilvl w:val="0"/>
          <w:numId w:val="10"/>
        </w:numPr>
        <w:spacing w:after="40" w:line="254" w:lineRule="auto"/>
      </w:pPr>
      <w:r>
        <w:rPr>
          <w:rFonts w:ascii="Calibri" w:hAnsi="Calibri"/>
          <w:color w:val="3E3533"/>
          <w:sz w:val="18"/>
        </w:rPr>
        <w:t>The official background describes an established Basic Infertile Pattern and change from that pattern with proper instruction.</w:t>
      </w:r>
    </w:p>
    <w:p>
      <w:pPr>
        <w:pStyle w:val="SmallNote"/>
        <w:spacing w:after="40" w:line="245" w:lineRule="auto"/>
        <w:ind w:left="245" w:hanging="245"/>
      </w:pPr>
      <w:r>
        <w:rPr>
          <w:rFonts w:ascii="Calibri" w:hAnsi="Calibri"/>
          <w:b/>
          <w:color w:val="754B47"/>
          <w:sz w:val="15"/>
        </w:rPr>
        <w:t xml:space="preserve">[P3] </w:t>
      </w:r>
      <w:hyperlink r:id="rId18">
        <w:r>
          <w:rPr>
            <w:rFonts w:ascii="Calibri" w:hAnsi="Calibri"/>
            <w:color w:val="7C4F70"/>
            <w:u w:val="single"/>
          </w:rPr>
          <w:t>Creighton Model FertilityCare System. Background.</w:t>
        </w:r>
      </w:hyperlink>
    </w:p>
    <w:p>
      <w:pPr>
        <w:numPr>
          <w:ilvl w:val="0"/>
          <w:numId w:val="10"/>
        </w:numPr>
        <w:spacing w:after="40" w:line="254" w:lineRule="auto"/>
      </w:pPr>
      <w:r>
        <w:rPr>
          <w:rFonts w:ascii="Calibri" w:hAnsi="Calibri"/>
          <w:color w:val="3E3533"/>
          <w:sz w:val="18"/>
        </w:rPr>
        <w:t>Research shows some women have only non-Peak-type mucus and that continuous fluid may be uninformative for a simplified Peak algorithm.</w:t>
      </w:r>
    </w:p>
    <w:p>
      <w:pPr>
        <w:pStyle w:val="SmallNote"/>
        <w:spacing w:after="40" w:line="245" w:lineRule="auto"/>
        <w:ind w:left="245" w:hanging="245"/>
      </w:pPr>
      <w:r>
        <w:rPr>
          <w:rFonts w:ascii="Calibri" w:hAnsi="Calibri"/>
          <w:b/>
          <w:color w:val="754B47"/>
          <w:sz w:val="15"/>
        </w:rPr>
        <w:t xml:space="preserve">[R3] </w:t>
      </w:r>
      <w:hyperlink r:id="rId16">
        <w:r>
          <w:rPr>
            <w:rFonts w:ascii="Calibri" w:hAnsi="Calibri"/>
            <w:color w:val="7C4F70"/>
            <w:u w:val="single"/>
          </w:rPr>
          <w:t>Najmabadi S, Schliep KC, Simonsen SE, Porucznik CA, Egger MJ, Stanford JB. Cervical mucus patterns and the fertile window in women without known subfertility: a pooled analysis of three cohorts. Hum Reprod. 2021;36(7):1784-1795. doi:10.1093/humrep/deab049.</w:t>
        </w:r>
      </w:hyperlink>
    </w:p>
    <w:p>
      <w:pPr>
        <w:pStyle w:val="SmallNote"/>
        <w:spacing w:after="40" w:line="245" w:lineRule="auto"/>
        <w:ind w:left="245" w:hanging="245"/>
      </w:pPr>
      <w:r>
        <w:rPr>
          <w:rFonts w:ascii="Calibri" w:hAnsi="Calibri"/>
          <w:b/>
          <w:color w:val="754B47"/>
          <w:sz w:val="15"/>
        </w:rPr>
        <w:t xml:space="preserve">[R5] </w:t>
      </w:r>
      <w:hyperlink r:id="rId19">
        <w:r>
          <w:rPr>
            <w:rFonts w:ascii="Calibri" w:hAnsi="Calibri"/>
            <w:color w:val="7C4F70"/>
            <w:u w:val="single"/>
          </w:rPr>
          <w:t>Porucznik CA, Cox KJ, Schliep KC, Stanford JB. Pilot test and validation of the Peak Day method of prospective determination of ovulation against a handheld urine hormone monitor. BMC Women's Health. 2014;14:4. doi:10.1186/1472-6874-14-4.</w:t>
        </w:r>
      </w:hyperlink>
    </w:p>
    <w:p>
      <w:pPr>
        <w:numPr>
          <w:ilvl w:val="0"/>
          <w:numId w:val="10"/>
        </w:numPr>
        <w:spacing w:after="40" w:line="254" w:lineRule="auto"/>
      </w:pPr>
      <w:r>
        <w:rPr>
          <w:rFonts w:ascii="Calibri" w:hAnsi="Calibri"/>
          <w:color w:val="3E3533"/>
          <w:sz w:val="18"/>
        </w:rPr>
        <w:t>CDC guidance identifies postpartum/breastfeeding, perimenopause, irregular bleeding, discharge, and some drug-related circumstances as requiring delay, caution, or special counseling for fertility-awareness methods.</w:t>
      </w:r>
    </w:p>
    <w:p>
      <w:pPr>
        <w:pStyle w:val="SmallNote"/>
        <w:spacing w:after="40" w:line="245" w:lineRule="auto"/>
        <w:ind w:left="245" w:hanging="245"/>
      </w:pPr>
      <w:r>
        <w:rPr>
          <w:rFonts w:ascii="Calibri" w:hAnsi="Calibri"/>
          <w:b/>
          <w:color w:val="754B47"/>
          <w:sz w:val="15"/>
        </w:rPr>
        <w:t xml:space="preserve">[G1] </w:t>
      </w:r>
      <w:hyperlink r:id="rId21">
        <w:r>
          <w:rPr>
            <w:rFonts w:ascii="Calibri" w:hAnsi="Calibri"/>
            <w:color w:val="7C4F70"/>
            <w:u w:val="single"/>
          </w:rPr>
          <w:t>Centers for Disease Control and Prevention. U.S. Medical Eligibility Criteria: Fertility Awareness-Based Methods.</w:t>
        </w:r>
      </w:hyperlink>
    </w:p>
    <w:p>
      <w:pPr>
        <w:pStyle w:val="Heading2"/>
        <w:keepNext/>
        <w:keepLines/>
      </w:pPr>
      <w:r>
        <w:t>Evidence validating Well Within's specific implementation</w:t>
      </w:r>
    </w:p>
    <w:tbl>
      <w:tblPr>
        <w:tblW w:type="dxa" w:w="9360"/>
        <w:tblLayout w:type="fixed"/>
        <w:tblLook w:firstColumn="1" w:firstRow="1" w:lastColumn="0" w:lastRow="0" w:noHBand="0" w:noVBand="1" w:val="04A0"/>
        <w:tblInd w:w="120" w:type="dxa"/>
        <w:tblBorders>
          <w:top w:val="single" w:sz="2" w:space="0" w:color="F3F1F0"/>
          <w:left w:val="single" w:sz="2" w:space="0" w:color="F3F1F0"/>
          <w:bottom w:val="single" w:sz="2" w:space="0" w:color="F3F1F0"/>
          <w:right w:val="single" w:sz="2" w:space="0" w:color="F3F1F0"/>
          <w:insideH w:val="single" w:sz="2" w:space="0" w:color="F3F1F0"/>
          <w:insideV w:val="single" w:sz="2" w:space="0" w:color="F3F1F0"/>
        </w:tblBorders>
      </w:tblPr>
      <w:tblGrid>
        <w:gridCol w:w="9360"/>
      </w:tblGrid>
      <w:tr>
        <w:trPr>
          <w:cantSplit/>
        </w:trPr>
        <w:tc>
          <w:tcPr>
            <w:tcW w:type="dxa" w:w="9360"/>
            <w:vAlign w:val="center"/>
            <w:tcMar>
              <w:top w:w="100" w:type="dxa"/>
              <w:start w:w="120" w:type="dxa"/>
              <w:bottom w:w="100" w:type="dxa"/>
              <w:end w:w="120" w:type="dxa"/>
            </w:tcMar>
            <w:shd w:fill="F3F1F0"/>
          </w:tcPr>
          <w:p>
            <w:pPr>
              <w:spacing w:after="0" w:line="276" w:lineRule="auto"/>
            </w:pPr>
            <w:r>
              <w:rPr>
                <w:rFonts w:ascii="Calibri" w:hAnsi="Calibri"/>
                <w:b/>
                <w:color w:val="754B47"/>
                <w:sz w:val="21"/>
              </w:rPr>
              <w:t xml:space="preserve">PRODUCT-SPECIFIC EVIDENCE  </w:t>
            </w:r>
            <w:r>
              <w:rPr>
                <w:rFonts w:ascii="Calibri" w:hAnsi="Calibri"/>
                <w:color w:val="3E3533"/>
                <w:sz w:val="21"/>
              </w:rPr>
              <w:t>Insufficient for implementation-specific interpretation. Well Within currently withholds a confirmed summary and has not invented BIP or special-context mechanics; no public validation establishes the exact state, message, population, or prerequisites.</w:t>
            </w:r>
          </w:p>
        </w:tc>
      </w:tr>
    </w:tbl>
    <w:p>
      <w:pPr>
        <w:spacing w:after="40"/>
      </w:pPr>
    </w:p>
    <w:p>
      <w:pPr>
        <w:pStyle w:val="Heading2"/>
        <w:keepNext/>
        <w:keepLines/>
      </w:pPr>
      <w:r>
        <w:t>AI draft disposition for qualified review</w:t>
      </w:r>
    </w:p>
    <w:p>
      <w:pPr>
        <w:spacing w:after="80" w:line="264" w:lineRule="auto"/>
      </w:pPr>
      <w:r>
        <w:rPr>
          <w:rFonts w:ascii="Calibri" w:hAnsi="Calibri"/>
          <w:color w:val="3E3533"/>
          <w:sz w:val="18"/>
        </w:rPr>
        <w:t>Maintain no-automation or defined caution states until a reviewer defines supported population, minimum history, BIP prerequisites, and referral triggers.</w:t>
      </w:r>
    </w:p>
    <w:p>
      <w:pPr>
        <w:spacing w:after="80" w:line="264" w:lineRule="auto"/>
      </w:pPr>
      <w:r>
        <w:rPr>
          <w:rFonts w:ascii="Calibri" w:hAnsi="Calibri"/>
          <w:b/>
          <w:color w:val="3E3533"/>
          <w:sz w:val="18"/>
        </w:rPr>
        <w:t xml:space="preserve">Authorized-source boundary: </w:t>
      </w:r>
      <w:r>
        <w:rPr>
          <w:rFonts w:ascii="Calibri" w:hAnsi="Calibri"/>
          <w:color w:val="3E3533"/>
          <w:sz w:val="18"/>
        </w:rPr>
        <w:t>Do not encode BIP, postpartum, perimenopause, medication, infection, or subfertility rules without authorized sources and appropriate clinical review.</w:t>
      </w:r>
    </w:p>
    <w:p>
      <w:pPr>
        <w:pStyle w:val="Heading2"/>
        <w:keepNext/>
        <w:keepLines/>
      </w:pPr>
      <w:r>
        <w:t>Questions the reviewer must decide</w:t>
      </w:r>
    </w:p>
    <w:p>
      <w:pPr>
        <w:numPr>
          <w:ilvl w:val="0"/>
          <w:numId w:val="10"/>
        </w:numPr>
        <w:spacing w:after="80" w:line="300" w:lineRule="auto"/>
      </w:pPr>
      <w:r>
        <w:rPr>
          <w:rFonts w:ascii="Calibri" w:hAnsi="Calibri"/>
          <w:color w:val="3E3533"/>
          <w:sz w:val="22"/>
        </w:rPr>
        <w:t>For each special context, choose full, restricted, caution-only, or no interpretation.</w:t>
      </w:r>
    </w:p>
    <w:p>
      <w:pPr>
        <w:numPr>
          <w:ilvl w:val="0"/>
          <w:numId w:val="10"/>
        </w:numPr>
        <w:spacing w:after="80" w:line="300" w:lineRule="auto"/>
      </w:pPr>
      <w:r>
        <w:rPr>
          <w:rFonts w:ascii="Calibri" w:hAnsi="Calibri"/>
          <w:color w:val="3E3533"/>
          <w:sz w:val="22"/>
        </w:rPr>
        <w:t>What established history or practitioner-defined BIP is required?</w:t>
      </w:r>
    </w:p>
    <w:p>
      <w:pPr>
        <w:numPr>
          <w:ilvl w:val="0"/>
          <w:numId w:val="10"/>
        </w:numPr>
        <w:spacing w:after="80" w:line="300" w:lineRule="auto"/>
      </w:pPr>
      <w:r>
        <w:rPr>
          <w:rFonts w:ascii="Calibri" w:hAnsi="Calibri"/>
          <w:color w:val="3E3533"/>
          <w:sz w:val="22"/>
        </w:rPr>
        <w:t>What neutral message and referral path should appear when interpretation is withheld?</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9360"/>
      </w:tblGrid>
      <w:tr>
        <w:trPr>
          <w:cantSplit/>
        </w:trPr>
        <w:tc>
          <w:tcPr>
            <w:tcW w:type="dxa" w:w="9360"/>
            <w:vAlign w:val="center"/>
            <w:tcMar>
              <w:top w:w="100" w:type="dxa"/>
              <w:start w:w="120" w:type="dxa"/>
              <w:bottom w:w="100" w:type="dxa"/>
              <w:end w:w="120" w:type="dxa"/>
            </w:tcMar>
            <w:shd w:fill="EAF1ED"/>
          </w:tcPr>
          <w:p>
            <w:pPr>
              <w:spacing w:after="40"/>
            </w:pPr>
            <w:r>
              <w:rPr>
                <w:rFonts w:ascii="Calibri" w:hAnsi="Calibri"/>
                <w:b/>
                <w:color w:val="754B47"/>
                <w:sz w:val="18"/>
              </w:rPr>
              <w:t>Qualified reviewer disposition — intentionally blank</w:t>
            </w:r>
          </w:p>
          <w:p>
            <w:pPr>
              <w:spacing w:after="40"/>
            </w:pPr>
            <w:r>
              <w:rPr>
                <w:rFonts w:ascii="Calibri" w:hAnsi="Calibri"/>
                <w:color w:val="3E3533"/>
                <w:sz w:val="16"/>
              </w:rPr>
              <w:t>[ ] Accept for defined scope   [ ] Revise   [ ] No automated interpretation   [ ] Hold for authorized evidence</w:t>
            </w:r>
          </w:p>
          <w:p>
            <w:pPr>
              <w:spacing w:after="0"/>
            </w:pPr>
            <w:r>
              <w:rPr>
                <w:rFonts w:ascii="Calibri" w:hAnsi="Calibri"/>
                <w:color w:val="6F6663"/>
                <w:sz w:val="16"/>
              </w:rPr>
              <w:t>Scope, required change, source edition/page, or notes:  ___________________________________________________________________</w:t>
            </w:r>
          </w:p>
        </w:tc>
      </w:tr>
    </w:tbl>
    <w:p>
      <w:r>
        <w:br w:type="page"/>
      </w:r>
    </w:p>
    <w:p>
      <w:pPr>
        <w:pStyle w:val="Heading1"/>
        <w:keepNext/>
        <w:keepLines/>
      </w:pPr>
      <w:r>
        <w:t>D-11  |  Permitted ordinary-user terminology</w:t>
      </w:r>
    </w:p>
    <w:tbl>
      <w:tblPr>
        <w:tblW w:type="dxa" w:w="9360"/>
        <w:tblLayout w:type="fixed"/>
        <w:tblLook w:firstColumn="1" w:firstRow="1" w:lastColumn="0" w:lastRow="0" w:noHBand="0" w:noVBand="1" w:val="04A0"/>
        <w:tblInd w:w="120" w:type="dxa"/>
        <w:tblBorders>
          <w:top w:val="single" w:sz="2" w:space="0" w:color="F6F0DD"/>
          <w:left w:val="single" w:sz="2" w:space="0" w:color="F6F0DD"/>
          <w:bottom w:val="single" w:sz="2" w:space="0" w:color="F6F0DD"/>
          <w:right w:val="single" w:sz="2" w:space="0" w:color="F6F0DD"/>
          <w:insideH w:val="single" w:sz="2" w:space="0" w:color="F6F0DD"/>
          <w:insideV w:val="single" w:sz="2" w:space="0" w:color="F6F0DD"/>
        </w:tblBorders>
      </w:tblPr>
      <w:tblGrid>
        <w:gridCol w:w="1700"/>
        <w:gridCol w:w="7660"/>
      </w:tblGrid>
      <w:tr>
        <w:trPr>
          <w:cantSplit/>
        </w:trPr>
        <w:tc>
          <w:tcPr>
            <w:tcW w:type="dxa" w:w="1700"/>
            <w:vAlign w:val="center"/>
            <w:tcMar>
              <w:top w:w="100" w:type="dxa"/>
              <w:start w:w="120" w:type="dxa"/>
              <w:bottom w:w="100" w:type="dxa"/>
              <w:end w:w="120" w:type="dxa"/>
            </w:tcMar>
            <w:shd w:fill="F6F0DD"/>
          </w:tcPr>
          <w:p>
            <w:pPr>
              <w:spacing w:after="0" w:line="252" w:lineRule="auto"/>
            </w:pPr>
            <w:r/>
            <w:r>
              <w:rPr>
                <w:rFonts w:ascii="Calibri" w:hAnsi="Calibri"/>
                <w:b/>
                <w:color w:val="7B6427"/>
                <w:sz w:val="18"/>
              </w:rPr>
              <w:t>EVIDENCE</w:t>
              <w:br/>
              <w:t>MIXED</w:t>
            </w:r>
          </w:p>
        </w:tc>
        <w:tc>
          <w:tcPr>
            <w:tcW w:type="dxa" w:w="7660"/>
            <w:vAlign w:val="center"/>
            <w:tcMar>
              <w:top w:w="100" w:type="dxa"/>
              <w:start w:w="120" w:type="dxa"/>
              <w:bottom w:w="100" w:type="dxa"/>
              <w:end w:w="120" w:type="dxa"/>
            </w:tcMar>
            <w:shd w:fill="F6F0DD"/>
          </w:tcPr>
          <w:p>
            <w:pPr>
              <w:spacing w:after="0" w:line="252" w:lineRule="auto"/>
            </w:pPr>
            <w:r/>
            <w:r>
              <w:rPr>
                <w:rFonts w:ascii="Calibri" w:hAnsi="Calibri"/>
                <w:b w:val="0"/>
                <w:color w:val="3E3533"/>
                <w:sz w:val="18"/>
              </w:rPr>
              <w:t>Chart-based Peak and mucus-to-P+3 terminology are supported at a method level, but imperfect agreement, additional method rules, and context dependence argue against ovulation certainty or a complete fertile-window claim. Well Within's exact phrases have not been product-validated or usability-tested.</w:t>
            </w:r>
          </w:p>
        </w:tc>
      </w:tr>
    </w:tbl>
    <w:p>
      <w:pPr>
        <w:spacing w:after="20"/>
      </w:pP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750"/>
        <w:gridCol w:w="7610"/>
      </w:tblGrid>
      <w:tr>
        <w:trPr>
          <w:cantSplit/>
        </w:trPr>
        <w:tc>
          <w:tcPr>
            <w:tcW w:type="dxa" w:w="1750"/>
            <w:vAlign w:val="center"/>
            <w:tcMar>
              <w:top w:w="100" w:type="dxa"/>
              <w:start w:w="120" w:type="dxa"/>
              <w:bottom w:w="100" w:type="dxa"/>
              <w:end w:w="120" w:type="dxa"/>
            </w:tcMar>
            <w:shd w:fill="F3F1F0"/>
          </w:tcPr>
          <w:p>
            <w:pPr>
              <w:spacing w:after="0" w:line="252" w:lineRule="auto"/>
            </w:pPr>
            <w:r/>
            <w:r>
              <w:rPr>
                <w:rFonts w:ascii="Calibri" w:hAnsi="Calibri"/>
                <w:b/>
                <w:color w:val="754B47"/>
                <w:sz w:val="16"/>
              </w:rPr>
              <w:t>Audit references</w:t>
            </w:r>
          </w:p>
        </w:tc>
        <w:tc>
          <w:tcPr>
            <w:tcW w:type="dxa" w:w="7610"/>
            <w:vAlign w:val="center"/>
            <w:tcMar>
              <w:top w:w="100" w:type="dxa"/>
              <w:start w:w="120" w:type="dxa"/>
              <w:bottom w:w="100" w:type="dxa"/>
              <w:end w:w="120" w:type="dxa"/>
            </w:tcMar>
          </w:tcPr>
          <w:p>
            <w:pPr>
              <w:spacing w:after="0" w:line="252" w:lineRule="auto"/>
            </w:pPr>
            <w:r/>
            <w:r>
              <w:rPr>
                <w:rFonts w:ascii="Calibri" w:hAnsi="Calibri"/>
                <w:b w:val="0"/>
                <w:color w:val="3E3533"/>
                <w:sz w:val="16"/>
              </w:rPr>
              <w:t>C-01-C-19; R-18; R-31-R-32</w:t>
            </w:r>
          </w:p>
        </w:tc>
      </w:tr>
      <w:tr>
        <w:trPr>
          <w:cantSplit/>
        </w:trPr>
        <w:tc>
          <w:tcPr>
            <w:tcW w:type="dxa" w:w="1750"/>
            <w:vAlign w:val="center"/>
            <w:tcMar>
              <w:top w:w="100" w:type="dxa"/>
              <w:start w:w="120" w:type="dxa"/>
              <w:bottom w:w="100" w:type="dxa"/>
              <w:end w:w="120" w:type="dxa"/>
            </w:tcMar>
            <w:shd w:fill="F3F1F0"/>
          </w:tcPr>
          <w:p>
            <w:pPr>
              <w:spacing w:after="0" w:line="252" w:lineRule="auto"/>
            </w:pPr>
            <w:r/>
            <w:r>
              <w:rPr>
                <w:rFonts w:ascii="Calibri" w:hAnsi="Calibri"/>
                <w:b/>
                <w:color w:val="754B47"/>
                <w:sz w:val="16"/>
              </w:rPr>
              <w:t>Current behavior</w:t>
            </w:r>
          </w:p>
        </w:tc>
        <w:tc>
          <w:tcPr>
            <w:tcW w:type="dxa" w:w="7610"/>
            <w:vAlign w:val="center"/>
            <w:tcMar>
              <w:top w:w="100" w:type="dxa"/>
              <w:start w:w="120" w:type="dxa"/>
              <w:bottom w:w="100" w:type="dxa"/>
              <w:end w:w="120" w:type="dxa"/>
            </w:tcMar>
          </w:tcPr>
          <w:p>
            <w:pPr>
              <w:spacing w:after="0" w:line="252" w:lineRule="auto"/>
            </w:pPr>
            <w:r/>
            <w:r>
              <w:rPr>
                <w:rFonts w:ascii="Calibri" w:hAnsi="Calibri"/>
                <w:b w:val="0"/>
                <w:color w:val="3E3533"/>
                <w:sz w:val="16"/>
              </w:rPr>
              <w:t>The interim UI uses observational language: possible Peak Day, chart marks a Peak Day after three lower days, post-Peak pattern, missing-data limitation, or multiple possible Peak patterns. Confidence tiers, 'most fertile day confirmed,' and broad current fertile-window conclusions were removed or suppressed.</w:t>
            </w:r>
          </w:p>
        </w:tc>
      </w:tr>
    </w:tbl>
    <w:p>
      <w:pPr>
        <w:pStyle w:val="Heading2"/>
        <w:keepNext/>
        <w:keepLines/>
      </w:pPr>
      <w:r>
        <w:t>Public evidence about Creighton / general FABM</w:t>
      </w:r>
    </w:p>
    <w:p>
      <w:pPr>
        <w:numPr>
          <w:ilvl w:val="0"/>
          <w:numId w:val="10"/>
        </w:numPr>
        <w:spacing w:after="40" w:line="254" w:lineRule="auto"/>
      </w:pPr>
      <w:r>
        <w:rPr>
          <w:rFonts w:ascii="Calibri" w:hAnsi="Calibri"/>
          <w:color w:val="3E3533"/>
          <w:sz w:val="18"/>
        </w:rPr>
        <w:t>Public method sources use Peak Day and P+3 terminology within taught charting.</w:t>
      </w:r>
    </w:p>
    <w:p>
      <w:pPr>
        <w:pStyle w:val="SmallNote"/>
        <w:spacing w:after="40" w:line="245" w:lineRule="auto"/>
        <w:ind w:left="245" w:hanging="245"/>
      </w:pPr>
      <w:r>
        <w:rPr>
          <w:rFonts w:ascii="Calibri" w:hAnsi="Calibri"/>
          <w:b/>
          <w:color w:val="754B47"/>
          <w:sz w:val="15"/>
        </w:rPr>
        <w:t xml:space="preserve">[P1] </w:t>
      </w:r>
      <w:hyperlink r:id="rId12">
        <w:r>
          <w:rPr>
            <w:rFonts w:ascii="Calibri" w:hAnsi="Calibri"/>
            <w:color w:val="7C4F70"/>
            <w:u w:val="single"/>
          </w:rPr>
          <w:t>Saint Paul VI Institute. CrMS App Copyright: Samples of Intellectual Property/Copyrighted Material, p. 3 (public PDF).</w:t>
        </w:r>
      </w:hyperlink>
    </w:p>
    <w:p>
      <w:pPr>
        <w:pStyle w:val="SmallNote"/>
        <w:spacing w:after="40" w:line="245" w:lineRule="auto"/>
        <w:ind w:left="245" w:hanging="245"/>
      </w:pPr>
      <w:r>
        <w:rPr>
          <w:rFonts w:ascii="Calibri" w:hAnsi="Calibri"/>
          <w:b/>
          <w:color w:val="754B47"/>
          <w:sz w:val="15"/>
        </w:rPr>
        <w:t xml:space="preserve">[P3] </w:t>
      </w:r>
      <w:hyperlink r:id="rId18">
        <w:r>
          <w:rPr>
            <w:rFonts w:ascii="Calibri" w:hAnsi="Calibri"/>
            <w:color w:val="7C4F70"/>
            <w:u w:val="single"/>
          </w:rPr>
          <w:t>Creighton Model FertilityCare System. Background.</w:t>
        </w:r>
      </w:hyperlink>
    </w:p>
    <w:p>
      <w:pPr>
        <w:numPr>
          <w:ilvl w:val="0"/>
          <w:numId w:val="10"/>
        </w:numPr>
        <w:spacing w:after="40" w:line="254" w:lineRule="auto"/>
      </w:pPr>
      <w:r>
        <w:rPr>
          <w:rFonts w:ascii="Calibri" w:hAnsi="Calibri"/>
          <w:color w:val="3E3533"/>
          <w:sz w:val="18"/>
        </w:rPr>
        <w:t>The comparison study shows that a chart-selected Peak Day is not identical to expert, computer, or hormone-based identification in every cycle.</w:t>
      </w:r>
    </w:p>
    <w:p>
      <w:pPr>
        <w:pStyle w:val="SmallNote"/>
        <w:spacing w:after="40" w:line="245" w:lineRule="auto"/>
        <w:ind w:left="245" w:hanging="245"/>
      </w:pPr>
      <w:r>
        <w:rPr>
          <w:rFonts w:ascii="Calibri" w:hAnsi="Calibri"/>
          <w:b/>
          <w:color w:val="754B47"/>
          <w:sz w:val="15"/>
        </w:rPr>
        <w:t xml:space="preserve">[R2] </w:t>
      </w:r>
      <w:hyperlink r:id="rId13">
        <w:r>
          <w:rPr>
            <w:rFonts w:ascii="Calibri" w:hAnsi="Calibri"/>
            <w:color w:val="7C4F70"/>
            <w:u w:val="single"/>
          </w:rPr>
          <w:t>Stanford JB, Schliep KC, Chang C-P, O'Sullivan J-P, Porucznik CA. Comparison of woman-picked, expert-picked, and computer-picked Peak Day of cervical mucus with blinded urine luteinising hormone surge for concurrent identification of ovulation. Paediatr Perinat Epidemiol. 2020;34(2):105-113. doi:10.1111/ppe.12642.</w:t>
        </w:r>
      </w:hyperlink>
    </w:p>
    <w:p>
      <w:pPr>
        <w:pStyle w:val="Heading2"/>
        <w:keepNext/>
        <w:keepLines/>
      </w:pPr>
      <w:r>
        <w:t>Evidence validating Well Within's specific implementation</w:t>
      </w:r>
    </w:p>
    <w:tbl>
      <w:tblPr>
        <w:tblW w:type="dxa" w:w="9360"/>
        <w:tblLayout w:type="fixed"/>
        <w:tblLook w:firstColumn="1" w:firstRow="1" w:lastColumn="0" w:lastRow="0" w:noHBand="0" w:noVBand="1" w:val="04A0"/>
        <w:tblInd w:w="120" w:type="dxa"/>
        <w:tblBorders>
          <w:top w:val="single" w:sz="2" w:space="0" w:color="F3F1F0"/>
          <w:left w:val="single" w:sz="2" w:space="0" w:color="F3F1F0"/>
          <w:bottom w:val="single" w:sz="2" w:space="0" w:color="F3F1F0"/>
          <w:right w:val="single" w:sz="2" w:space="0" w:color="F3F1F0"/>
          <w:insideH w:val="single" w:sz="2" w:space="0" w:color="F3F1F0"/>
          <w:insideV w:val="single" w:sz="2" w:space="0" w:color="F3F1F0"/>
        </w:tblBorders>
      </w:tblPr>
      <w:tblGrid>
        <w:gridCol w:w="9360"/>
      </w:tblGrid>
      <w:tr>
        <w:trPr>
          <w:cantSplit/>
        </w:trPr>
        <w:tc>
          <w:tcPr>
            <w:tcW w:type="dxa" w:w="9360"/>
            <w:vAlign w:val="center"/>
            <w:tcMar>
              <w:top w:w="100" w:type="dxa"/>
              <w:start w:w="120" w:type="dxa"/>
              <w:bottom w:w="100" w:type="dxa"/>
              <w:end w:w="120" w:type="dxa"/>
            </w:tcMar>
            <w:shd w:fill="F3F1F0"/>
          </w:tcPr>
          <w:p>
            <w:pPr>
              <w:spacing w:after="0" w:line="276" w:lineRule="auto"/>
            </w:pPr>
            <w:r>
              <w:rPr>
                <w:rFonts w:ascii="Calibri" w:hAnsi="Calibri"/>
                <w:b/>
                <w:color w:val="754B47"/>
                <w:sz w:val="21"/>
              </w:rPr>
              <w:t xml:space="preserve">PRODUCT-SPECIFIC EVIDENCE  </w:t>
            </w:r>
            <w:r>
              <w:rPr>
                <w:rFonts w:ascii="Calibri" w:hAnsi="Calibri"/>
                <w:color w:val="3E3533"/>
                <w:sz w:val="21"/>
              </w:rPr>
              <w:t>Insufficient for the exact implementation. No public evidence validates 'possible Peak Day,' 'post-Peak pattern,' 'Possible fertile pattern,' or the proposed limitations as understood by ordinary Well Within users.</w:t>
            </w:r>
          </w:p>
        </w:tc>
      </w:tr>
    </w:tbl>
    <w:p>
      <w:pPr>
        <w:spacing w:after="40"/>
      </w:pPr>
    </w:p>
    <w:p>
      <w:pPr>
        <w:pStyle w:val="Heading2"/>
        <w:keepNext/>
        <w:keepLines/>
      </w:pPr>
      <w:r>
        <w:t>AI draft disposition for qualified review</w:t>
      </w:r>
    </w:p>
    <w:p>
      <w:pPr>
        <w:spacing w:after="80" w:line="264" w:lineRule="auto"/>
      </w:pPr>
      <w:r>
        <w:rPr>
          <w:rFonts w:ascii="Calibri" w:hAnsi="Calibri"/>
          <w:color w:val="3E3533"/>
          <w:sz w:val="18"/>
        </w:rPr>
        <w:t>Continue holding Fertile Start/End, Total fertile days, past/closed-window, confirmed ovulation, confidence, predictive, diagnostic, and avoidance-guidance language. Phase 1C may test the exact qualified phrase 'Possible fertile pattern — based on your logged observations' only for the defined eligible scope and with the adjacent limitation.</w:t>
      </w:r>
    </w:p>
    <w:p>
      <w:pPr>
        <w:spacing w:after="80" w:line="264" w:lineRule="auto"/>
      </w:pPr>
      <w:r>
        <w:rPr>
          <w:rFonts w:ascii="Calibri" w:hAnsi="Calibri"/>
          <w:b/>
          <w:color w:val="3E3533"/>
          <w:sz w:val="18"/>
        </w:rPr>
        <w:t xml:space="preserve">Authorized-source boundary: </w:t>
      </w:r>
      <w:r>
        <w:rPr>
          <w:rFonts w:ascii="Calibri" w:hAnsi="Calibri"/>
          <w:color w:val="3E3533"/>
          <w:sz w:val="18"/>
        </w:rPr>
        <w:t>Permitted method terminology, trademarks, copyrighted expression, regulatory classification, and advertising claims are separate questions. Clinical acceptance alone cannot resolve them.</w:t>
      </w:r>
    </w:p>
    <w:p>
      <w:pPr>
        <w:pStyle w:val="Heading2"/>
        <w:keepNext/>
        <w:keepLines/>
      </w:pPr>
      <w:r>
        <w:t>Questions the reviewer must decide</w:t>
      </w:r>
    </w:p>
    <w:p>
      <w:pPr>
        <w:numPr>
          <w:ilvl w:val="0"/>
          <w:numId w:val="10"/>
        </w:numPr>
        <w:spacing w:after="80" w:line="300" w:lineRule="auto"/>
      </w:pPr>
      <w:r>
        <w:rPr>
          <w:rFonts w:ascii="Calibri" w:hAnsi="Calibri"/>
          <w:color w:val="3E3533"/>
          <w:sz w:val="22"/>
        </w:rPr>
        <w:t>Approve, revise, or prohibit each exact ordinary-user phrase, including the Phase 1C possible-pattern copy.</w:t>
      </w:r>
    </w:p>
    <w:p>
      <w:pPr>
        <w:numPr>
          <w:ilvl w:val="0"/>
          <w:numId w:val="10"/>
        </w:numPr>
        <w:spacing w:after="80" w:line="300" w:lineRule="auto"/>
      </w:pPr>
      <w:r>
        <w:rPr>
          <w:rFonts w:ascii="Calibri" w:hAnsi="Calibri"/>
          <w:color w:val="3E3533"/>
          <w:sz w:val="22"/>
        </w:rPr>
        <w:t>What chart-only limitation must appear next to retrospective Peak statements?</w:t>
      </w:r>
    </w:p>
    <w:p>
      <w:pPr>
        <w:numPr>
          <w:ilvl w:val="0"/>
          <w:numId w:val="10"/>
        </w:numPr>
        <w:spacing w:after="80" w:line="300" w:lineRule="auto"/>
      </w:pPr>
      <w:r>
        <w:rPr>
          <w:rFonts w:ascii="Calibri" w:hAnsi="Calibri"/>
          <w:color w:val="3E3533"/>
          <w:sz w:val="22"/>
        </w:rPr>
        <w:t>Which phrases could imply ovulation, diagnosis, prediction, or avoiding-pregnancy guidance?</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9360"/>
      </w:tblGrid>
      <w:tr>
        <w:trPr>
          <w:cantSplit/>
        </w:trPr>
        <w:tc>
          <w:tcPr>
            <w:tcW w:type="dxa" w:w="9360"/>
            <w:vAlign w:val="center"/>
            <w:tcMar>
              <w:top w:w="100" w:type="dxa"/>
              <w:start w:w="120" w:type="dxa"/>
              <w:bottom w:w="100" w:type="dxa"/>
              <w:end w:w="120" w:type="dxa"/>
            </w:tcMar>
            <w:shd w:fill="EAF1ED"/>
          </w:tcPr>
          <w:p>
            <w:pPr>
              <w:spacing w:after="40"/>
            </w:pPr>
            <w:r>
              <w:rPr>
                <w:rFonts w:ascii="Calibri" w:hAnsi="Calibri"/>
                <w:b/>
                <w:color w:val="754B47"/>
                <w:sz w:val="18"/>
              </w:rPr>
              <w:t>Qualified reviewer disposition — intentionally blank</w:t>
            </w:r>
          </w:p>
          <w:p>
            <w:pPr>
              <w:spacing w:after="40"/>
            </w:pPr>
            <w:r>
              <w:rPr>
                <w:rFonts w:ascii="Calibri" w:hAnsi="Calibri"/>
                <w:color w:val="3E3533"/>
                <w:sz w:val="16"/>
              </w:rPr>
              <w:t>[ ] Accept for defined scope   [ ] Revise   [ ] No automated interpretation   [ ] Hold for authorized evidence</w:t>
            </w:r>
          </w:p>
          <w:p>
            <w:pPr>
              <w:spacing w:after="0"/>
            </w:pPr>
            <w:r>
              <w:rPr>
                <w:rFonts w:ascii="Calibri" w:hAnsi="Calibri"/>
                <w:color w:val="6F6663"/>
                <w:sz w:val="16"/>
              </w:rPr>
              <w:t>Scope, required change, source edition/page, or notes:  ___________________________________________________________________</w:t>
            </w:r>
          </w:p>
        </w:tc>
      </w:tr>
    </w:tbl>
    <w:p>
      <w:r>
        <w:br w:type="page"/>
      </w:r>
    </w:p>
    <w:p>
      <w:pPr>
        <w:pStyle w:val="Heading1"/>
        <w:keepNext/>
        <w:keepLines/>
      </w:pPr>
      <w:r>
        <w:t>D-12  |  History comparisons and inclusion eligibility</w:t>
      </w:r>
    </w:p>
    <w:tbl>
      <w:tblPr>
        <w:tblW w:type="dxa" w:w="9360"/>
        <w:tblLayout w:type="fixed"/>
        <w:tblLook w:firstColumn="1" w:firstRow="1" w:lastColumn="0" w:lastRow="0" w:noHBand="0" w:noVBand="1" w:val="04A0"/>
        <w:tblInd w:w="120" w:type="dxa"/>
        <w:tblBorders>
          <w:top w:val="single" w:sz="2" w:space="0" w:color="F3F1F0"/>
          <w:left w:val="single" w:sz="2" w:space="0" w:color="F3F1F0"/>
          <w:bottom w:val="single" w:sz="2" w:space="0" w:color="F3F1F0"/>
          <w:right w:val="single" w:sz="2" w:space="0" w:color="F3F1F0"/>
          <w:insideH w:val="single" w:sz="2" w:space="0" w:color="F3F1F0"/>
          <w:insideV w:val="single" w:sz="2" w:space="0" w:color="F3F1F0"/>
        </w:tblBorders>
      </w:tblPr>
      <w:tblGrid>
        <w:gridCol w:w="1700"/>
        <w:gridCol w:w="7660"/>
      </w:tblGrid>
      <w:tr>
        <w:trPr>
          <w:cantSplit/>
        </w:trPr>
        <w:tc>
          <w:tcPr>
            <w:tcW w:type="dxa" w:w="1700"/>
            <w:vAlign w:val="center"/>
            <w:tcMar>
              <w:top w:w="100" w:type="dxa"/>
              <w:start w:w="120" w:type="dxa"/>
              <w:bottom w:w="100" w:type="dxa"/>
              <w:end w:w="120" w:type="dxa"/>
            </w:tcMar>
            <w:shd w:fill="F3F1F0"/>
          </w:tcPr>
          <w:p>
            <w:pPr>
              <w:spacing w:after="0" w:line="252" w:lineRule="auto"/>
            </w:pPr>
            <w:r/>
            <w:r>
              <w:rPr>
                <w:rFonts w:ascii="Calibri" w:hAnsi="Calibri"/>
                <w:b/>
                <w:color w:val="754B47"/>
                <w:sz w:val="18"/>
              </w:rPr>
              <w:t>EVIDENCE</w:t>
              <w:br/>
              <w:t>INSUFFICIENT</w:t>
            </w:r>
          </w:p>
        </w:tc>
        <w:tc>
          <w:tcPr>
            <w:tcW w:type="dxa" w:w="7660"/>
            <w:vAlign w:val="center"/>
            <w:tcMar>
              <w:top w:w="100" w:type="dxa"/>
              <w:start w:w="120" w:type="dxa"/>
              <w:bottom w:w="100" w:type="dxa"/>
              <w:end w:w="120" w:type="dxa"/>
            </w:tcMar>
            <w:shd w:fill="F3F1F0"/>
          </w:tcPr>
          <w:p>
            <w:pPr>
              <w:spacing w:after="0" w:line="252" w:lineRule="auto"/>
            </w:pPr>
            <w:r/>
            <w:r>
              <w:rPr>
                <w:rFonts w:ascii="Calibri" w:hAnsi="Calibri"/>
                <w:b w:val="0"/>
                <w:color w:val="3E3533"/>
                <w:sz w:val="18"/>
              </w:rPr>
              <w:t>Studies document substantial cycle and mucus variability, but no authoritative public evidence supports Well Within's current comparison bands, labels, minimum sample size, or eligible-cycle rules.</w:t>
            </w:r>
          </w:p>
        </w:tc>
      </w:tr>
    </w:tbl>
    <w:p>
      <w:pPr>
        <w:spacing w:after="20"/>
      </w:pP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750"/>
        <w:gridCol w:w="7610"/>
      </w:tblGrid>
      <w:tr>
        <w:trPr>
          <w:cantSplit/>
        </w:trPr>
        <w:tc>
          <w:tcPr>
            <w:tcW w:type="dxa" w:w="1750"/>
            <w:vAlign w:val="center"/>
            <w:tcMar>
              <w:top w:w="100" w:type="dxa"/>
              <w:start w:w="120" w:type="dxa"/>
              <w:bottom w:w="100" w:type="dxa"/>
              <w:end w:w="120" w:type="dxa"/>
            </w:tcMar>
            <w:shd w:fill="F3F1F0"/>
          </w:tcPr>
          <w:p>
            <w:pPr>
              <w:spacing w:after="0" w:line="252" w:lineRule="auto"/>
            </w:pPr>
            <w:r/>
            <w:r>
              <w:rPr>
                <w:rFonts w:ascii="Calibri" w:hAnsi="Calibri"/>
                <w:b/>
                <w:color w:val="754B47"/>
                <w:sz w:val="16"/>
              </w:rPr>
              <w:t>Audit references</w:t>
            </w:r>
          </w:p>
        </w:tc>
        <w:tc>
          <w:tcPr>
            <w:tcW w:type="dxa" w:w="7610"/>
            <w:vAlign w:val="center"/>
            <w:tcMar>
              <w:top w:w="100" w:type="dxa"/>
              <w:start w:w="120" w:type="dxa"/>
              <w:bottom w:w="100" w:type="dxa"/>
              <w:end w:w="120" w:type="dxa"/>
            </w:tcMar>
          </w:tcPr>
          <w:p>
            <w:pPr>
              <w:spacing w:after="0" w:line="252" w:lineRule="auto"/>
            </w:pPr>
            <w:r/>
            <w:r>
              <w:rPr>
                <w:rFonts w:ascii="Calibri" w:hAnsi="Calibri"/>
                <w:b w:val="0"/>
                <w:color w:val="3E3533"/>
                <w:sz w:val="16"/>
              </w:rPr>
              <w:t>R-29-R-30; C-21-C-22</w:t>
            </w:r>
          </w:p>
        </w:tc>
      </w:tr>
      <w:tr>
        <w:trPr>
          <w:cantSplit/>
        </w:trPr>
        <w:tc>
          <w:tcPr>
            <w:tcW w:type="dxa" w:w="1750"/>
            <w:vAlign w:val="center"/>
            <w:tcMar>
              <w:top w:w="100" w:type="dxa"/>
              <w:start w:w="120" w:type="dxa"/>
              <w:bottom w:w="100" w:type="dxa"/>
              <w:end w:w="120" w:type="dxa"/>
            </w:tcMar>
            <w:shd w:fill="F3F1F0"/>
          </w:tcPr>
          <w:p>
            <w:pPr>
              <w:spacing w:after="0" w:line="252" w:lineRule="auto"/>
            </w:pPr>
            <w:r/>
            <w:r>
              <w:rPr>
                <w:rFonts w:ascii="Calibri" w:hAnsi="Calibri"/>
                <w:b/>
                <w:color w:val="754B47"/>
                <w:sz w:val="16"/>
              </w:rPr>
              <w:t>Current behavior</w:t>
            </w:r>
          </w:p>
        </w:tc>
        <w:tc>
          <w:tcPr>
            <w:tcW w:type="dxa" w:w="7610"/>
            <w:vAlign w:val="center"/>
            <w:tcMar>
              <w:top w:w="100" w:type="dxa"/>
              <w:start w:w="120" w:type="dxa"/>
              <w:bottom w:w="100" w:type="dxa"/>
              <w:end w:w="120" w:type="dxa"/>
            </w:tcMar>
          </w:tcPr>
          <w:p>
            <w:pPr>
              <w:spacing w:after="0" w:line="252" w:lineRule="auto"/>
            </w:pPr>
            <w:r/>
            <w:r>
              <w:rPr>
                <w:rFonts w:ascii="Calibri" w:hAnsi="Calibri"/>
                <w:b w:val="0"/>
                <w:color w:val="3E3533"/>
                <w:sz w:val="16"/>
              </w:rPr>
              <w:t>Only cycles with the summary-available support state contribute to derived aggregates, comparison context, and Peak overlays. Active-cycle anticipatory timing is suppressed. Calendar-correct dates are used. Existing comparison bands remain product thresholds without clinical meaning.</w:t>
            </w:r>
          </w:p>
        </w:tc>
      </w:tr>
    </w:tbl>
    <w:p>
      <w:pPr>
        <w:pStyle w:val="Heading2"/>
        <w:keepNext/>
        <w:keepLines/>
      </w:pPr>
      <w:r>
        <w:t>Public evidence about Creighton / general FABM</w:t>
      </w:r>
    </w:p>
    <w:p>
      <w:pPr>
        <w:numPr>
          <w:ilvl w:val="0"/>
          <w:numId w:val="10"/>
        </w:numPr>
        <w:spacing w:after="40" w:line="254" w:lineRule="auto"/>
      </w:pPr>
      <w:r>
        <w:rPr>
          <w:rFonts w:ascii="Calibri" w:hAnsi="Calibri"/>
          <w:color w:val="3E3533"/>
          <w:sz w:val="18"/>
        </w:rPr>
        <w:t>Pooled studies document within-woman variability in mucus patterns, cycle length, and phase lengths.</w:t>
      </w:r>
    </w:p>
    <w:p>
      <w:pPr>
        <w:pStyle w:val="SmallNote"/>
        <w:spacing w:after="40" w:line="245" w:lineRule="auto"/>
        <w:ind w:left="245" w:hanging="245"/>
      </w:pPr>
      <w:r>
        <w:rPr>
          <w:rFonts w:ascii="Calibri" w:hAnsi="Calibri"/>
          <w:b/>
          <w:color w:val="754B47"/>
          <w:sz w:val="15"/>
        </w:rPr>
        <w:t xml:space="preserve">[R3] </w:t>
      </w:r>
      <w:hyperlink r:id="rId16">
        <w:r>
          <w:rPr>
            <w:rFonts w:ascii="Calibri" w:hAnsi="Calibri"/>
            <w:color w:val="7C4F70"/>
            <w:u w:val="single"/>
          </w:rPr>
          <w:t>Najmabadi S, Schliep KC, Simonsen SE, Porucznik CA, Egger MJ, Stanford JB. Cervical mucus patterns and the fertile window in women without known subfertility: a pooled analysis of three cohorts. Hum Reprod. 2021;36(7):1784-1795. doi:10.1093/humrep/deab049.</w:t>
        </w:r>
      </w:hyperlink>
    </w:p>
    <w:p>
      <w:pPr>
        <w:pStyle w:val="SmallNote"/>
        <w:spacing w:after="40" w:line="245" w:lineRule="auto"/>
        <w:ind w:left="245" w:hanging="245"/>
      </w:pPr>
      <w:r>
        <w:rPr>
          <w:rFonts w:ascii="Calibri" w:hAnsi="Calibri"/>
          <w:b/>
          <w:color w:val="754B47"/>
          <w:sz w:val="15"/>
        </w:rPr>
        <w:t xml:space="preserve">[R4] </w:t>
      </w:r>
      <w:hyperlink r:id="rId17">
        <w:r>
          <w:rPr>
            <w:rFonts w:ascii="Calibri" w:hAnsi="Calibri"/>
            <w:color w:val="7C4F70"/>
            <w:u w:val="single"/>
          </w:rPr>
          <w:t>Najmabadi S, Schliep KC, Simonsen SE, Porucznik CA, Egger MJ, Stanford JB. Menstrual bleeding, cycle length, and follicular and luteal phase lengths in women without known subfertility: a pooled analysis of three cohorts. Paediatr Perinat Epidemiol. 2020;34(3):318-327. doi:10.1111/ppe.12644.</w:t>
        </w:r>
      </w:hyperlink>
    </w:p>
    <w:p>
      <w:pPr>
        <w:numPr>
          <w:ilvl w:val="0"/>
          <w:numId w:val="10"/>
        </w:numPr>
        <w:spacing w:after="40" w:line="254" w:lineRule="auto"/>
      </w:pPr>
      <w:r>
        <w:rPr>
          <w:rFonts w:ascii="Calibri" w:hAnsi="Calibri"/>
          <w:color w:val="3E3533"/>
          <w:sz w:val="18"/>
        </w:rPr>
        <w:t>Those research distributions do not validate product labels such as usual, consistent, or significant variation, nor the current numeric thresholds.</w:t>
      </w:r>
    </w:p>
    <w:p>
      <w:pPr>
        <w:pStyle w:val="SmallNote"/>
        <w:spacing w:after="40" w:line="245" w:lineRule="auto"/>
        <w:ind w:left="245" w:hanging="245"/>
      </w:pPr>
      <w:r>
        <w:rPr>
          <w:rFonts w:ascii="Calibri" w:hAnsi="Calibri"/>
          <w:b/>
          <w:color w:val="754B47"/>
          <w:sz w:val="15"/>
        </w:rPr>
        <w:t xml:space="preserve">[R3] </w:t>
      </w:r>
      <w:hyperlink r:id="rId16">
        <w:r>
          <w:rPr>
            <w:rFonts w:ascii="Calibri" w:hAnsi="Calibri"/>
            <w:color w:val="7C4F70"/>
            <w:u w:val="single"/>
          </w:rPr>
          <w:t>Najmabadi S, Schliep KC, Simonsen SE, Porucznik CA, Egger MJ, Stanford JB. Cervical mucus patterns and the fertile window in women without known subfertility: a pooled analysis of three cohorts. Hum Reprod. 2021;36(7):1784-1795. doi:10.1093/humrep/deab049.</w:t>
        </w:r>
      </w:hyperlink>
    </w:p>
    <w:p>
      <w:pPr>
        <w:pStyle w:val="SmallNote"/>
        <w:spacing w:after="40" w:line="245" w:lineRule="auto"/>
        <w:ind w:left="245" w:hanging="245"/>
      </w:pPr>
      <w:r>
        <w:rPr>
          <w:rFonts w:ascii="Calibri" w:hAnsi="Calibri"/>
          <w:b/>
          <w:color w:val="754B47"/>
          <w:sz w:val="15"/>
        </w:rPr>
        <w:t xml:space="preserve">[R4] </w:t>
      </w:r>
      <w:hyperlink r:id="rId17">
        <w:r>
          <w:rPr>
            <w:rFonts w:ascii="Calibri" w:hAnsi="Calibri"/>
            <w:color w:val="7C4F70"/>
            <w:u w:val="single"/>
          </w:rPr>
          <w:t>Najmabadi S, Schliep KC, Simonsen SE, Porucznik CA, Egger MJ, Stanford JB. Menstrual bleeding, cycle length, and follicular and luteal phase lengths in women without known subfertility: a pooled analysis of three cohorts. Paediatr Perinat Epidemiol. 2020;34(3):318-327. doi:10.1111/ppe.12644.</w:t>
        </w:r>
      </w:hyperlink>
    </w:p>
    <w:p>
      <w:pPr>
        <w:pStyle w:val="Heading2"/>
        <w:keepNext/>
        <w:keepLines/>
      </w:pPr>
      <w:r>
        <w:t>Evidence validating Well Within's specific implementation</w:t>
      </w:r>
    </w:p>
    <w:tbl>
      <w:tblPr>
        <w:tblW w:type="dxa" w:w="9360"/>
        <w:tblLayout w:type="fixed"/>
        <w:tblLook w:firstColumn="1" w:firstRow="1" w:lastColumn="0" w:lastRow="0" w:noHBand="0" w:noVBand="1" w:val="04A0"/>
        <w:tblInd w:w="120" w:type="dxa"/>
        <w:tblBorders>
          <w:top w:val="single" w:sz="2" w:space="0" w:color="F3F1F0"/>
          <w:left w:val="single" w:sz="2" w:space="0" w:color="F3F1F0"/>
          <w:bottom w:val="single" w:sz="2" w:space="0" w:color="F3F1F0"/>
          <w:right w:val="single" w:sz="2" w:space="0" w:color="F3F1F0"/>
          <w:insideH w:val="single" w:sz="2" w:space="0" w:color="F3F1F0"/>
          <w:insideV w:val="single" w:sz="2" w:space="0" w:color="F3F1F0"/>
        </w:tblBorders>
      </w:tblPr>
      <w:tblGrid>
        <w:gridCol w:w="9360"/>
      </w:tblGrid>
      <w:tr>
        <w:trPr>
          <w:cantSplit/>
        </w:trPr>
        <w:tc>
          <w:tcPr>
            <w:tcW w:type="dxa" w:w="9360"/>
            <w:vAlign w:val="center"/>
            <w:tcMar>
              <w:top w:w="100" w:type="dxa"/>
              <w:start w:w="120" w:type="dxa"/>
              <w:bottom w:w="100" w:type="dxa"/>
              <w:end w:w="120" w:type="dxa"/>
            </w:tcMar>
            <w:shd w:fill="F3F1F0"/>
          </w:tcPr>
          <w:p>
            <w:pPr>
              <w:spacing w:after="0" w:line="276" w:lineRule="auto"/>
            </w:pPr>
            <w:r>
              <w:rPr>
                <w:rFonts w:ascii="Calibri" w:hAnsi="Calibri"/>
                <w:b/>
                <w:color w:val="754B47"/>
                <w:sz w:val="21"/>
              </w:rPr>
              <w:t xml:space="preserve">PRODUCT-SPECIFIC EVIDENCE  </w:t>
            </w:r>
            <w:r>
              <w:rPr>
                <w:rFonts w:ascii="Calibri" w:hAnsi="Calibri"/>
                <w:color w:val="3E3533"/>
                <w:sz w:val="21"/>
              </w:rPr>
              <w:t>Insufficient. The current plus/minus bands and inclusion rules are product thresholds. Internal date corrections and support-state filtering improve consistency but do not establish clinical meaning.</w:t>
            </w:r>
          </w:p>
        </w:tc>
      </w:tr>
    </w:tbl>
    <w:p>
      <w:pPr>
        <w:spacing w:after="40"/>
      </w:pPr>
    </w:p>
    <w:p>
      <w:pPr>
        <w:pStyle w:val="Heading2"/>
        <w:keepNext/>
        <w:keepLines/>
      </w:pPr>
      <w:r>
        <w:t>AI draft disposition for qualified review</w:t>
      </w:r>
    </w:p>
    <w:p>
      <w:pPr>
        <w:spacing w:after="80" w:line="264" w:lineRule="auto"/>
      </w:pPr>
      <w:r>
        <w:rPr>
          <w:rFonts w:ascii="Calibri" w:hAnsi="Calibri"/>
          <w:color w:val="3E3533"/>
          <w:sz w:val="18"/>
        </w:rPr>
        <w:t>Keep active-cycle predictions suppressed. Phase 1C may show raw Cycle Day ranges with N across eligible completed cycles, without usual/expected labels, normative bands, or projection onto the active/future cycle.</w:t>
      </w:r>
    </w:p>
    <w:p>
      <w:pPr>
        <w:spacing w:after="80" w:line="264" w:lineRule="auto"/>
      </w:pPr>
      <w:r>
        <w:rPr>
          <w:rFonts w:ascii="Calibri" w:hAnsi="Calibri"/>
          <w:b/>
          <w:color w:val="3E3533"/>
          <w:sz w:val="18"/>
        </w:rPr>
        <w:t xml:space="preserve">Authorized-source boundary: </w:t>
      </w:r>
      <w:r>
        <w:rPr>
          <w:rFonts w:ascii="Calibri" w:hAnsi="Calibri"/>
          <w:color w:val="3E3533"/>
          <w:sz w:val="18"/>
        </w:rPr>
        <w:t>Do not convert cohort variability into a patient-specific clinical threshold without a defined validation question and product-specific evidence.</w:t>
      </w:r>
    </w:p>
    <w:p>
      <w:pPr>
        <w:pStyle w:val="Heading2"/>
        <w:keepNext/>
        <w:keepLines/>
      </w:pPr>
      <w:r>
        <w:t>Questions the reviewer must decide</w:t>
      </w:r>
    </w:p>
    <w:p>
      <w:pPr>
        <w:numPr>
          <w:ilvl w:val="0"/>
          <w:numId w:val="10"/>
        </w:numPr>
        <w:spacing w:after="80" w:line="300" w:lineRule="auto"/>
      </w:pPr>
      <w:r>
        <w:rPr>
          <w:rFonts w:ascii="Calibri" w:hAnsi="Calibri"/>
          <w:color w:val="3E3533"/>
          <w:sz w:val="22"/>
        </w:rPr>
        <w:t>Which comparisons are purely descriptive and suitable for ordinary users?</w:t>
      </w:r>
    </w:p>
    <w:p>
      <w:pPr>
        <w:numPr>
          <w:ilvl w:val="0"/>
          <w:numId w:val="10"/>
        </w:numPr>
        <w:spacing w:after="80" w:line="300" w:lineRule="auto"/>
      </w:pPr>
      <w:r>
        <w:rPr>
          <w:rFonts w:ascii="Calibri" w:hAnsi="Calibri"/>
          <w:color w:val="3E3533"/>
          <w:sz w:val="22"/>
        </w:rPr>
        <w:t>What minimum eligible sample size and exclusions are required?</w:t>
      </w:r>
    </w:p>
    <w:p>
      <w:pPr>
        <w:numPr>
          <w:ilvl w:val="0"/>
          <w:numId w:val="10"/>
        </w:numPr>
        <w:spacing w:after="80" w:line="300" w:lineRule="auto"/>
      </w:pPr>
      <w:r>
        <w:rPr>
          <w:rFonts w:ascii="Calibri" w:hAnsi="Calibri"/>
          <w:color w:val="3E3533"/>
          <w:sz w:val="22"/>
        </w:rPr>
        <w:t>Should bands be removed, shown numerically without labels, or validated against defined evidence?</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9360"/>
      </w:tblGrid>
      <w:tr>
        <w:trPr>
          <w:cantSplit/>
        </w:trPr>
        <w:tc>
          <w:tcPr>
            <w:tcW w:type="dxa" w:w="9360"/>
            <w:vAlign w:val="center"/>
            <w:tcMar>
              <w:top w:w="100" w:type="dxa"/>
              <w:start w:w="120" w:type="dxa"/>
              <w:bottom w:w="100" w:type="dxa"/>
              <w:end w:w="120" w:type="dxa"/>
            </w:tcMar>
            <w:shd w:fill="EAF1ED"/>
          </w:tcPr>
          <w:p>
            <w:pPr>
              <w:spacing w:after="40"/>
            </w:pPr>
            <w:r>
              <w:rPr>
                <w:rFonts w:ascii="Calibri" w:hAnsi="Calibri"/>
                <w:b/>
                <w:color w:val="754B47"/>
                <w:sz w:val="18"/>
              </w:rPr>
              <w:t>Qualified reviewer disposition — intentionally blank</w:t>
            </w:r>
          </w:p>
          <w:p>
            <w:pPr>
              <w:spacing w:after="40"/>
            </w:pPr>
            <w:r>
              <w:rPr>
                <w:rFonts w:ascii="Calibri" w:hAnsi="Calibri"/>
                <w:color w:val="3E3533"/>
                <w:sz w:val="16"/>
              </w:rPr>
              <w:t>[ ] Accept for defined scope   [ ] Revise   [ ] No automated interpretation   [ ] Hold for authorized evidence</w:t>
            </w:r>
          </w:p>
          <w:p>
            <w:pPr>
              <w:spacing w:after="0"/>
            </w:pPr>
            <w:r>
              <w:rPr>
                <w:rFonts w:ascii="Calibri" w:hAnsi="Calibri"/>
                <w:color w:val="6F6663"/>
                <w:sz w:val="16"/>
              </w:rPr>
              <w:t>Scope, required change, source edition/page, or notes:  ___________________________________________________________________</w:t>
            </w:r>
          </w:p>
        </w:tc>
      </w:tr>
    </w:tbl>
    <w:p>
      <w:r>
        <w:br w:type="page"/>
      </w:r>
    </w:p>
    <w:p>
      <w:pPr>
        <w:pStyle w:val="Heading1"/>
        <w:keepNext/>
        <w:keepLines/>
      </w:pPr>
      <w:r>
        <w:t>D-13  |  Possible fertile pattern presentation</w:t>
      </w:r>
    </w:p>
    <w:tbl>
      <w:tblPr>
        <w:tblW w:type="dxa" w:w="9360"/>
        <w:tblLayout w:type="fixed"/>
        <w:tblLook w:firstColumn="1" w:firstRow="1" w:lastColumn="0" w:lastRow="0" w:noHBand="0" w:noVBand="1" w:val="04A0"/>
        <w:tblInd w:w="120" w:type="dxa"/>
        <w:tblBorders>
          <w:top w:val="single" w:sz="2" w:space="0" w:color="F6F0DD"/>
          <w:left w:val="single" w:sz="2" w:space="0" w:color="F6F0DD"/>
          <w:bottom w:val="single" w:sz="2" w:space="0" w:color="F6F0DD"/>
          <w:right w:val="single" w:sz="2" w:space="0" w:color="F6F0DD"/>
          <w:insideH w:val="single" w:sz="2" w:space="0" w:color="F6F0DD"/>
          <w:insideV w:val="single" w:sz="2" w:space="0" w:color="F6F0DD"/>
        </w:tblBorders>
      </w:tblPr>
      <w:tblGrid>
        <w:gridCol w:w="1700"/>
        <w:gridCol w:w="7660"/>
      </w:tblGrid>
      <w:tr>
        <w:trPr>
          <w:cantSplit/>
        </w:trPr>
        <w:tc>
          <w:tcPr>
            <w:tcW w:type="dxa" w:w="1700"/>
            <w:vAlign w:val="center"/>
            <w:tcMar>
              <w:top w:w="100" w:type="dxa"/>
              <w:start w:w="120" w:type="dxa"/>
              <w:bottom w:w="100" w:type="dxa"/>
              <w:end w:w="120" w:type="dxa"/>
            </w:tcMar>
            <w:shd w:fill="F6F0DD"/>
          </w:tcPr>
          <w:p>
            <w:pPr>
              <w:spacing w:after="0" w:line="252" w:lineRule="auto"/>
            </w:pPr>
            <w:r/>
            <w:r>
              <w:rPr>
                <w:rFonts w:ascii="Calibri" w:hAnsi="Calibri"/>
                <w:b/>
                <w:color w:val="7B6427"/>
                <w:sz w:val="18"/>
              </w:rPr>
              <w:t>EVIDENCE</w:t>
              <w:br/>
              <w:t>MIXED</w:t>
            </w:r>
          </w:p>
        </w:tc>
        <w:tc>
          <w:tcPr>
            <w:tcW w:type="dxa" w:w="7660"/>
            <w:vAlign w:val="center"/>
            <w:tcMar>
              <w:top w:w="100" w:type="dxa"/>
              <w:start w:w="120" w:type="dxa"/>
              <w:bottom w:w="100" w:type="dxa"/>
              <w:end w:w="120" w:type="dxa"/>
            </w:tcMar>
            <w:shd w:fill="F6F0DD"/>
          </w:tcPr>
          <w:p>
            <w:pPr>
              <w:spacing w:after="0" w:line="252" w:lineRule="auto"/>
            </w:pPr>
            <w:r/>
            <w:r>
              <w:rPr>
                <w:rFonts w:ascii="Calibri" w:hAnsi="Calibri"/>
                <w:b w:val="0"/>
                <w:color w:val="3E3533"/>
                <w:sz w:val="18"/>
              </w:rPr>
              <w:t>Public evidence supports a beginning-of-mucus-through-P+3 concept within taught CrMS, but that is not the complete method fertility classification and does not validate Well Within's exact date band, eligibility, or wording.</w:t>
            </w:r>
          </w:p>
        </w:tc>
      </w:tr>
    </w:tbl>
    <w:p>
      <w:pPr>
        <w:spacing w:after="20"/>
      </w:pP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750"/>
        <w:gridCol w:w="7610"/>
      </w:tblGrid>
      <w:tr>
        <w:trPr>
          <w:cantSplit/>
        </w:trPr>
        <w:tc>
          <w:tcPr>
            <w:tcW w:type="dxa" w:w="1750"/>
            <w:vAlign w:val="center"/>
            <w:tcMar>
              <w:top w:w="100" w:type="dxa"/>
              <w:start w:w="120" w:type="dxa"/>
              <w:bottom w:w="100" w:type="dxa"/>
              <w:end w:w="120" w:type="dxa"/>
            </w:tcMar>
            <w:shd w:fill="F3F1F0"/>
          </w:tcPr>
          <w:p>
            <w:pPr>
              <w:spacing w:after="0" w:line="252" w:lineRule="auto"/>
            </w:pPr>
            <w:r/>
            <w:r>
              <w:rPr>
                <w:rFonts w:ascii="Calibri" w:hAnsi="Calibri"/>
                <w:b/>
                <w:color w:val="754B47"/>
                <w:sz w:val="16"/>
              </w:rPr>
              <w:t>Audit references</w:t>
            </w:r>
          </w:p>
        </w:tc>
        <w:tc>
          <w:tcPr>
            <w:tcW w:type="dxa" w:w="7610"/>
            <w:vAlign w:val="center"/>
            <w:tcMar>
              <w:top w:w="100" w:type="dxa"/>
              <w:start w:w="120" w:type="dxa"/>
              <w:bottom w:w="100" w:type="dxa"/>
              <w:end w:w="120" w:type="dxa"/>
            </w:tcMar>
          </w:tcPr>
          <w:p>
            <w:pPr>
              <w:spacing w:after="0" w:line="252" w:lineRule="auto"/>
            </w:pPr>
            <w:r/>
            <w:r>
              <w:rPr>
                <w:rFonts w:ascii="Calibri" w:hAnsi="Calibri"/>
                <w:b w:val="0"/>
                <w:color w:val="3E3533"/>
                <w:sz w:val="16"/>
              </w:rPr>
              <w:t>R-33-R-35; C-25-C-27; PFP-01-PFP-06</w:t>
            </w:r>
          </w:p>
        </w:tc>
      </w:tr>
      <w:tr>
        <w:trPr>
          <w:cantSplit/>
        </w:trPr>
        <w:tc>
          <w:tcPr>
            <w:tcW w:type="dxa" w:w="1750"/>
            <w:vAlign w:val="center"/>
            <w:tcMar>
              <w:top w:w="100" w:type="dxa"/>
              <w:start w:w="120" w:type="dxa"/>
              <w:bottom w:w="100" w:type="dxa"/>
              <w:end w:w="120" w:type="dxa"/>
            </w:tcMar>
            <w:shd w:fill="F3F1F0"/>
          </w:tcPr>
          <w:p>
            <w:pPr>
              <w:spacing w:after="0" w:line="252" w:lineRule="auto"/>
            </w:pPr>
            <w:r/>
            <w:r>
              <w:rPr>
                <w:rFonts w:ascii="Calibri" w:hAnsi="Calibri"/>
                <w:b/>
                <w:color w:val="754B47"/>
                <w:sz w:val="16"/>
              </w:rPr>
              <w:t>Current behavior</w:t>
            </w:r>
          </w:p>
        </w:tc>
        <w:tc>
          <w:tcPr>
            <w:tcW w:type="dxa" w:w="7610"/>
            <w:vAlign w:val="center"/>
            <w:tcMar>
              <w:top w:w="100" w:type="dxa"/>
              <w:start w:w="120" w:type="dxa"/>
              <w:bottom w:w="100" w:type="dxa"/>
              <w:end w:w="120" w:type="dxa"/>
            </w:tcMar>
          </w:tcPr>
          <w:p>
            <w:pPr>
              <w:spacing w:after="0" w:line="252" w:lineRule="auto"/>
            </w:pPr>
            <w:r/>
            <w:r>
              <w:rPr>
                <w:rFonts w:ascii="Calibri" w:hAnsi="Calibri"/>
                <w:b w:val="0"/>
                <w:color w:val="3E3533"/>
                <w:sz w:val="16"/>
              </w:rPr>
              <w:t>The app already computes an opening index and P+3 end index and renders a Fertile Window timeline. Phase 1C proposes reusing that foundation with the qualified label 'Possible fertile pattern,' no exact dates while forming, exact dates only for an eligible summary-available chart, and suppression for blocked/review/unsupported charts. This direction is documented but not implemented.</w:t>
            </w:r>
          </w:p>
        </w:tc>
      </w:tr>
    </w:tbl>
    <w:p>
      <w:pPr>
        <w:pStyle w:val="Heading2"/>
        <w:keepNext/>
        <w:keepLines/>
      </w:pPr>
      <w:r>
        <w:t>Public evidence about Creighton / general FABM</w:t>
      </w:r>
    </w:p>
    <w:p>
      <w:pPr>
        <w:numPr>
          <w:ilvl w:val="0"/>
          <w:numId w:val="10"/>
        </w:numPr>
        <w:spacing w:after="40" w:line="254" w:lineRule="auto"/>
      </w:pPr>
      <w:r>
        <w:rPr>
          <w:rFonts w:ascii="Calibri" w:hAnsi="Calibri"/>
          <w:color w:val="3E3533"/>
          <w:sz w:val="18"/>
        </w:rPr>
        <w:t>The public Saint Paul VI sample includes beginning of mucus through three full days past Peak among days of fertility, but also includes bleeding, isolated/non-Peak mucus, unusual bleeding, other counts, and a trained-instruction warning. Official background also describes long-cycle mucus patches, BIP, and change-from-pattern complexity.</w:t>
      </w:r>
    </w:p>
    <w:p>
      <w:pPr>
        <w:pStyle w:val="SmallNote"/>
        <w:spacing w:after="40" w:line="245" w:lineRule="auto"/>
        <w:ind w:left="245" w:hanging="245"/>
      </w:pPr>
      <w:r>
        <w:rPr>
          <w:rFonts w:ascii="Calibri" w:hAnsi="Calibri"/>
          <w:b/>
          <w:color w:val="754B47"/>
          <w:sz w:val="15"/>
        </w:rPr>
        <w:t xml:space="preserve">[P1] </w:t>
      </w:r>
      <w:hyperlink r:id="rId12">
        <w:r>
          <w:rPr>
            <w:rFonts w:ascii="Calibri" w:hAnsi="Calibri"/>
            <w:color w:val="7C4F70"/>
            <w:u w:val="single"/>
          </w:rPr>
          <w:t>Saint Paul VI Institute. CrMS App Copyright: Samples of Intellectual Property/Copyrighted Material, p. 3 (public PDF).</w:t>
        </w:r>
      </w:hyperlink>
    </w:p>
    <w:p>
      <w:pPr>
        <w:pStyle w:val="SmallNote"/>
        <w:spacing w:after="40" w:line="245" w:lineRule="auto"/>
        <w:ind w:left="245" w:hanging="245"/>
      </w:pPr>
      <w:r>
        <w:rPr>
          <w:rFonts w:ascii="Calibri" w:hAnsi="Calibri"/>
          <w:b/>
          <w:color w:val="754B47"/>
          <w:sz w:val="15"/>
        </w:rPr>
        <w:t xml:space="preserve">[P3] </w:t>
      </w:r>
      <w:hyperlink r:id="rId18">
        <w:r>
          <w:rPr>
            <w:rFonts w:ascii="Calibri" w:hAnsi="Calibri"/>
            <w:color w:val="7C4F70"/>
            <w:u w:val="single"/>
          </w:rPr>
          <w:t>Creighton Model FertilityCare System. Background.</w:t>
        </w:r>
      </w:hyperlink>
    </w:p>
    <w:p>
      <w:pPr>
        <w:pStyle w:val="Heading2"/>
        <w:keepNext/>
        <w:keepLines/>
      </w:pPr>
      <w:r>
        <w:t>Evidence validating Well Within's specific implementation</w:t>
      </w:r>
    </w:p>
    <w:tbl>
      <w:tblPr>
        <w:tblW w:type="dxa" w:w="9360"/>
        <w:tblLayout w:type="fixed"/>
        <w:tblLook w:firstColumn="1" w:firstRow="1" w:lastColumn="0" w:lastRow="0" w:noHBand="0" w:noVBand="1" w:val="04A0"/>
        <w:tblInd w:w="120" w:type="dxa"/>
        <w:tblBorders>
          <w:top w:val="single" w:sz="2" w:space="0" w:color="F3F1F0"/>
          <w:left w:val="single" w:sz="2" w:space="0" w:color="F3F1F0"/>
          <w:bottom w:val="single" w:sz="2" w:space="0" w:color="F3F1F0"/>
          <w:right w:val="single" w:sz="2" w:space="0" w:color="F3F1F0"/>
          <w:insideH w:val="single" w:sz="2" w:space="0" w:color="F3F1F0"/>
          <w:insideV w:val="single" w:sz="2" w:space="0" w:color="F3F1F0"/>
        </w:tblBorders>
      </w:tblPr>
      <w:tblGrid>
        <w:gridCol w:w="9360"/>
      </w:tblGrid>
      <w:tr>
        <w:trPr>
          <w:cantSplit/>
        </w:trPr>
        <w:tc>
          <w:tcPr>
            <w:tcW w:type="dxa" w:w="9360"/>
            <w:vAlign w:val="center"/>
            <w:tcMar>
              <w:top w:w="100" w:type="dxa"/>
              <w:start w:w="120" w:type="dxa"/>
              <w:bottom w:w="100" w:type="dxa"/>
              <w:end w:w="120" w:type="dxa"/>
            </w:tcMar>
            <w:shd w:fill="F3F1F0"/>
          </w:tcPr>
          <w:p>
            <w:pPr>
              <w:spacing w:after="0" w:line="276" w:lineRule="auto"/>
            </w:pPr>
            <w:r>
              <w:rPr>
                <w:rFonts w:ascii="Calibri" w:hAnsi="Calibri"/>
                <w:b/>
                <w:color w:val="754B47"/>
                <w:sz w:val="21"/>
              </w:rPr>
              <w:t xml:space="preserve">PRODUCT-SPECIFIC EVIDENCE  </w:t>
            </w:r>
            <w:r>
              <w:rPr>
                <w:rFonts w:ascii="Calibri" w:hAnsi="Calibri"/>
                <w:color w:val="3E3533"/>
                <w:sz w:val="21"/>
              </w:rPr>
              <w:t>Insufficient for the exact implementation. Well Within has not validated its opening set, Peak/P+3 behavior, immediate response to later signs, special-context eligibility, wording comprehension, or decision safety.</w:t>
            </w:r>
          </w:p>
        </w:tc>
      </w:tr>
    </w:tbl>
    <w:p>
      <w:pPr>
        <w:spacing w:after="40"/>
      </w:pPr>
    </w:p>
    <w:p>
      <w:pPr>
        <w:pStyle w:val="Heading2"/>
        <w:keepNext/>
        <w:keepLines/>
      </w:pPr>
      <w:r>
        <w:t>AI draft disposition for qualified review</w:t>
      </w:r>
    </w:p>
    <w:p>
      <w:pPr>
        <w:spacing w:after="80" w:line="264" w:lineRule="auto"/>
      </w:pPr>
      <w:r>
        <w:rPr>
          <w:rFonts w:ascii="Calibri" w:hAnsi="Calibri"/>
          <w:color w:val="3E3533"/>
          <w:sz w:val="18"/>
        </w:rPr>
        <w:t>For the working first release, show only an unbounded 'may be developing' statement while forming. Show exact opening-through-P+3 dates only for an eligible summary-available chart, suppress them for blocked/review/unsupported charts, and keep historical ranges retrospective with N. Treat this as a product rule-conformance target, not clinical validation.</w:t>
      </w:r>
    </w:p>
    <w:p>
      <w:pPr>
        <w:spacing w:after="80" w:line="264" w:lineRule="auto"/>
      </w:pPr>
      <w:r>
        <w:rPr>
          <w:rFonts w:ascii="Calibri" w:hAnsi="Calibri"/>
          <w:b/>
          <w:color w:val="3E3533"/>
          <w:sz w:val="18"/>
        </w:rPr>
        <w:t xml:space="preserve">Authorized-source boundary: </w:t>
      </w:r>
      <w:r>
        <w:rPr>
          <w:rFonts w:ascii="Calibri" w:hAnsi="Calibri"/>
          <w:color w:val="3E3533"/>
          <w:sz w:val="18"/>
        </w:rPr>
        <w:t>Do not infer the public sample's additional bleeding, single-day, non-Peak, uncertainty, BIP, or special-context mechanics. Public access does not provide a license to reproduce protected expression or a complete software specification.</w:t>
      </w:r>
    </w:p>
    <w:p>
      <w:pPr>
        <w:pStyle w:val="Heading2"/>
        <w:keepNext/>
        <w:keepLines/>
      </w:pPr>
      <w:r>
        <w:t>Questions the reviewer must decide</w:t>
      </w:r>
    </w:p>
    <w:p>
      <w:pPr>
        <w:numPr>
          <w:ilvl w:val="0"/>
          <w:numId w:val="10"/>
        </w:numPr>
        <w:spacing w:after="80" w:line="300" w:lineRule="auto"/>
      </w:pPr>
      <w:r>
        <w:rPr>
          <w:rFonts w:ascii="Calibri" w:hAnsi="Calibri"/>
          <w:color w:val="3E3533"/>
          <w:sz w:val="22"/>
        </w:rPr>
        <w:t>Is the exact eligible summary copy acceptable: 'Based on the observations you entered, this chart shows a possible fertile pattern from [start] through P+3 [end]'?</w:t>
      </w:r>
    </w:p>
    <w:p>
      <w:pPr>
        <w:numPr>
          <w:ilvl w:val="0"/>
          <w:numId w:val="10"/>
        </w:numPr>
        <w:spacing w:after="80" w:line="300" w:lineRule="auto"/>
      </w:pPr>
      <w:r>
        <w:rPr>
          <w:rFonts w:ascii="Calibri" w:hAnsi="Calibri"/>
          <w:color w:val="3E3533"/>
          <w:sz w:val="22"/>
        </w:rPr>
        <w:t>Confirm that forming charts show no exact dates/band and that later signs immediately reopen, withhold, or route an earlier bounded result to review.</w:t>
      </w:r>
    </w:p>
    <w:p>
      <w:pPr>
        <w:numPr>
          <w:ilvl w:val="0"/>
          <w:numId w:val="10"/>
        </w:numPr>
        <w:spacing w:after="80" w:line="300" w:lineRule="auto"/>
      </w:pPr>
      <w:r>
        <w:rPr>
          <w:rFonts w:ascii="Calibri" w:hAnsi="Calibri"/>
          <w:color w:val="3E3533"/>
          <w:sz w:val="22"/>
        </w:rPr>
        <w:t>Confirm PFP-01 through PFP-06, including context suppression, retrospective history ranges, and the adjacent limitation.</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9360"/>
      </w:tblGrid>
      <w:tr>
        <w:trPr>
          <w:cantSplit/>
        </w:trPr>
        <w:tc>
          <w:tcPr>
            <w:tcW w:type="dxa" w:w="9360"/>
            <w:vAlign w:val="center"/>
            <w:tcMar>
              <w:top w:w="100" w:type="dxa"/>
              <w:start w:w="120" w:type="dxa"/>
              <w:bottom w:w="100" w:type="dxa"/>
              <w:end w:w="120" w:type="dxa"/>
            </w:tcMar>
            <w:shd w:fill="EAF1ED"/>
          </w:tcPr>
          <w:p>
            <w:pPr>
              <w:spacing w:after="40"/>
            </w:pPr>
            <w:r>
              <w:rPr>
                <w:rFonts w:ascii="Calibri" w:hAnsi="Calibri"/>
                <w:b/>
                <w:color w:val="754B47"/>
                <w:sz w:val="18"/>
              </w:rPr>
              <w:t>Qualified reviewer disposition — intentionally blank</w:t>
            </w:r>
          </w:p>
          <w:p>
            <w:pPr>
              <w:spacing w:after="40"/>
            </w:pPr>
            <w:r>
              <w:rPr>
                <w:rFonts w:ascii="Calibri" w:hAnsi="Calibri"/>
                <w:color w:val="3E3533"/>
                <w:sz w:val="16"/>
              </w:rPr>
              <w:t>[ ] Accept for defined scope   [ ] Revise   [ ] No automated interpretation   [ ] Hold for authorized evidence</w:t>
            </w:r>
          </w:p>
          <w:p>
            <w:pPr>
              <w:spacing w:after="0"/>
            </w:pPr>
            <w:r>
              <w:rPr>
                <w:rFonts w:ascii="Calibri" w:hAnsi="Calibri"/>
                <w:color w:val="6F6663"/>
                <w:sz w:val="16"/>
              </w:rPr>
              <w:t>Scope, required change, source edition/page, or notes:  ___________________________________________________________________</w:t>
            </w:r>
          </w:p>
        </w:tc>
      </w:tr>
    </w:tbl>
    <w:p>
      <w:r>
        <w:br w:type="page"/>
      </w:r>
    </w:p>
    <w:p>
      <w:pPr>
        <w:pStyle w:val="Heading1"/>
        <w:keepNext/>
        <w:keepLines/>
      </w:pPr>
      <w:r>
        <w:t>Eight decisions to formalize in the qualified-review record</w:t>
      </w:r>
    </w:p>
    <w:p>
      <w:pPr>
        <w:spacing w:after="80" w:line="264" w:lineRule="auto"/>
      </w:pPr>
      <w:r>
        <w:rPr>
          <w:rFonts w:ascii="Calibri" w:hAnsi="Calibri"/>
          <w:color w:val="3E3533"/>
          <w:sz w:val="18"/>
        </w:rPr>
        <w:t>These are the smallest cross-cutting decisions needed to turn the 13 records into an implementable clinical specification. A response should state the supported scope and cite an authorized source edition/page where method-specific rules are used.</w:t>
      </w:r>
    </w:p>
    <w:p>
      <w:pPr>
        <w:numPr>
          <w:ilvl w:val="0"/>
          <w:numId w:val="11"/>
        </w:numPr>
        <w:spacing w:after="80" w:line="300" w:lineRule="auto"/>
      </w:pPr>
      <w:r>
        <w:rPr>
          <w:rFonts w:ascii="Calibri" w:hAnsi="Calibri"/>
          <w:color w:val="3E3533"/>
          <w:sz w:val="22"/>
        </w:rPr>
        <w:t>Define the supported population and pattern scope, including exclusions, no-interpretation states, and referral triggers.</w:t>
      </w:r>
    </w:p>
    <w:p>
      <w:pPr>
        <w:numPr>
          <w:ilvl w:val="0"/>
          <w:numId w:val="11"/>
        </w:numPr>
        <w:spacing w:after="80" w:line="300" w:lineRule="auto"/>
      </w:pPr>
      <w:r>
        <w:rPr>
          <w:rFonts w:ascii="Calibri" w:hAnsi="Calibri"/>
          <w:color w:val="3E3533"/>
          <w:sz w:val="22"/>
        </w:rPr>
        <w:t>Using a named authorized manual edition and page citations, approve the complete observation-to-notation-to-classification mapping and strongest-sign reduction, including I-01 through I-10.</w:t>
      </w:r>
    </w:p>
    <w:p>
      <w:pPr>
        <w:numPr>
          <w:ilvl w:val="0"/>
          <w:numId w:val="11"/>
        </w:numPr>
        <w:spacing w:after="80" w:line="300" w:lineRule="auto"/>
      </w:pPr>
      <w:r>
        <w:rPr>
          <w:rFonts w:ascii="Calibri" w:hAnsi="Calibri"/>
          <w:color w:val="3E3533"/>
          <w:sz w:val="22"/>
        </w:rPr>
        <w:t>Define minimum valid input and accept/warn/reject/record-without-interpretation behavior for contradictions, missing frequency, and date problems.</w:t>
      </w:r>
    </w:p>
    <w:p>
      <w:pPr>
        <w:numPr>
          <w:ilvl w:val="0"/>
          <w:numId w:val="11"/>
        </w:numPr>
        <w:spacing w:after="80" w:line="300" w:lineRule="auto"/>
      </w:pPr>
      <w:r>
        <w:rPr>
          <w:rFonts w:ascii="Calibri" w:hAnsi="Calibri"/>
          <w:color w:val="3E3533"/>
          <w:sz w:val="22"/>
        </w:rPr>
        <w:t>Decide Cycle Day 1 and bleeding-plus-mucus treatment for C-10 through C-14: leading light flow, light/very-light flow with mucus, spotting/brown, gaps in flow, and no heavy/moderate boundary.</w:t>
      </w:r>
    </w:p>
    <w:p>
      <w:pPr>
        <w:numPr>
          <w:ilvl w:val="0"/>
          <w:numId w:val="11"/>
        </w:numPr>
        <w:spacing w:after="80" w:line="300" w:lineRule="auto"/>
      </w:pPr>
      <w:r>
        <w:rPr>
          <w:rFonts w:ascii="Calibri" w:hAnsi="Calibri"/>
          <w:color w:val="3E3533"/>
          <w:sz w:val="22"/>
        </w:rPr>
        <w:t>Specify the exact Peak-type, candidate, Peak Day, P+1 through P+3, reset, gradual-decline, gap, not-observed, and past-edit rules for the first supported release; confirm that P+3 is not presented as ovulation confirmation.</w:t>
      </w:r>
    </w:p>
    <w:p>
      <w:pPr>
        <w:numPr>
          <w:ilvl w:val="0"/>
          <w:numId w:val="11"/>
        </w:numPr>
        <w:spacing w:after="80" w:line="300" w:lineRule="auto"/>
      </w:pPr>
      <w:r>
        <w:rPr>
          <w:rFonts w:ascii="Calibri" w:hAnsi="Calibri"/>
          <w:color w:val="3E3533"/>
          <w:sz w:val="22"/>
        </w:rPr>
        <w:t>Specify treatment of repeated sequences, continuous mucus, non-Peak-only patterns, BIP, and special contexts, including every no-automation or referral state.</w:t>
      </w:r>
    </w:p>
    <w:p>
      <w:pPr>
        <w:numPr>
          <w:ilvl w:val="0"/>
          <w:numId w:val="11"/>
        </w:numPr>
        <w:spacing w:after="80" w:line="300" w:lineRule="auto"/>
      </w:pPr>
      <w:r>
        <w:rPr>
          <w:rFonts w:ascii="Calibri" w:hAnsi="Calibri"/>
          <w:color w:val="3E3533"/>
          <w:sz w:val="22"/>
        </w:rPr>
        <w:t>Approve or prohibit exact ordinary-user terminology and adjacent limitations for in-app and exported views, including the Phase 1C Possible fertile pattern copy and PFP-01 through PFP-06; separately route regulatory, legal, trademark, copyright, and licensing questions.</w:t>
      </w:r>
    </w:p>
    <w:p>
      <w:pPr>
        <w:numPr>
          <w:ilvl w:val="0"/>
          <w:numId w:val="11"/>
        </w:numPr>
        <w:spacing w:after="80" w:line="300" w:lineRule="auto"/>
      </w:pPr>
      <w:r>
        <w:rPr>
          <w:rFonts w:ascii="Calibri" w:hAnsi="Calibri"/>
          <w:color w:val="3E3533"/>
          <w:sz w:val="22"/>
        </w:rPr>
        <w:t>Define history eligibility, minimum sample size, exclusions, and whether numeric comparisons or labels are permitted; then independently adjudicate an authorized, de-identified conformance set.</w:t>
      </w:r>
    </w:p>
    <w:p>
      <w:pPr>
        <w:pStyle w:val="Heading2"/>
        <w:keepNext/>
        <w:keepLines/>
      </w:pPr>
      <w:r>
        <w:t>What this review can and cannot close</w:t>
      </w:r>
    </w:p>
    <w:tbl>
      <w:tblPr>
        <w:tblW w:type="dxa" w:w="9360"/>
        <w:tblLayout w:type="fixed"/>
        <w:tblLook w:firstColumn="1" w:firstRow="1" w:lastColumn="0" w:lastRow="0" w:noHBand="0" w:noVBand="1" w:val="04A0"/>
        <w:tblInd w:w="120" w:type="dxa"/>
        <w:tblBorders>
          <w:top w:val="single" w:sz="2" w:space="0" w:color="EAF1ED"/>
          <w:left w:val="single" w:sz="2" w:space="0" w:color="EAF1ED"/>
          <w:bottom w:val="single" w:sz="2" w:space="0" w:color="EAF1ED"/>
          <w:right w:val="single" w:sz="2" w:space="0" w:color="EAF1ED"/>
          <w:insideH w:val="single" w:sz="2" w:space="0" w:color="EAF1ED"/>
          <w:insideV w:val="single" w:sz="2" w:space="0" w:color="EAF1ED"/>
        </w:tblBorders>
      </w:tblPr>
      <w:tblGrid>
        <w:gridCol w:w="9360"/>
      </w:tblGrid>
      <w:tr>
        <w:trPr>
          <w:cantSplit/>
        </w:trPr>
        <w:tc>
          <w:tcPr>
            <w:tcW w:type="dxa" w:w="9360"/>
            <w:vAlign w:val="center"/>
            <w:tcMar>
              <w:top w:w="100" w:type="dxa"/>
              <w:start w:w="120" w:type="dxa"/>
              <w:bottom w:w="100" w:type="dxa"/>
              <w:end w:w="120" w:type="dxa"/>
            </w:tcMar>
            <w:shd w:fill="EAF1ED"/>
          </w:tcPr>
          <w:p>
            <w:pPr>
              <w:spacing w:after="0" w:line="276" w:lineRule="auto"/>
            </w:pPr>
            <w:r>
              <w:rPr>
                <w:rFonts w:ascii="Calibri" w:hAnsi="Calibri"/>
                <w:b/>
                <w:color w:val="754B47"/>
                <w:sz w:val="21"/>
              </w:rPr>
              <w:t xml:space="preserve">Clinical reviewer can close  </w:t>
            </w:r>
            <w:r>
              <w:rPr>
                <w:rFonts w:ascii="Calibri" w:hAnsi="Calibri"/>
                <w:color w:val="3E3533"/>
                <w:sz w:val="21"/>
              </w:rPr>
              <w:t>Supported population, observation mappings, rule behavior, missing-data treatment, fixture outcomes, clinical limitations, and suitable chart-based terminology.</w:t>
            </w:r>
          </w:p>
        </w:tc>
      </w:tr>
    </w:tbl>
    <w:p>
      <w:pPr>
        <w:spacing w:after="40"/>
      </w:pPr>
    </w:p>
    <w:tbl>
      <w:tblPr>
        <w:tblW w:type="dxa" w:w="9360"/>
        <w:tblLayout w:type="fixed"/>
        <w:tblLook w:firstColumn="1" w:firstRow="1" w:lastColumn="0" w:lastRow="0" w:noHBand="0" w:noVBand="1" w:val="04A0"/>
        <w:tblInd w:w="120" w:type="dxa"/>
        <w:tblBorders>
          <w:top w:val="single" w:sz="2" w:space="0" w:color="F6F0DD"/>
          <w:left w:val="single" w:sz="2" w:space="0" w:color="F6F0DD"/>
          <w:bottom w:val="single" w:sz="2" w:space="0" w:color="F6F0DD"/>
          <w:right w:val="single" w:sz="2" w:space="0" w:color="F6F0DD"/>
          <w:insideH w:val="single" w:sz="2" w:space="0" w:color="F6F0DD"/>
          <w:insideV w:val="single" w:sz="2" w:space="0" w:color="F6F0DD"/>
        </w:tblBorders>
      </w:tblPr>
      <w:tblGrid>
        <w:gridCol w:w="9360"/>
      </w:tblGrid>
      <w:tr>
        <w:trPr>
          <w:cantSplit/>
        </w:trPr>
        <w:tc>
          <w:tcPr>
            <w:tcW w:type="dxa" w:w="9360"/>
            <w:vAlign w:val="center"/>
            <w:tcMar>
              <w:top w:w="100" w:type="dxa"/>
              <w:start w:w="120" w:type="dxa"/>
              <w:bottom w:w="100" w:type="dxa"/>
              <w:end w:w="120" w:type="dxa"/>
            </w:tcMar>
            <w:shd w:fill="F6F0DD"/>
          </w:tcPr>
          <w:p>
            <w:pPr>
              <w:spacing w:after="0" w:line="276" w:lineRule="auto"/>
            </w:pPr>
            <w:r>
              <w:rPr>
                <w:rFonts w:ascii="Calibri" w:hAnsi="Calibri"/>
                <w:b/>
                <w:color w:val="754B47"/>
                <w:sz w:val="21"/>
              </w:rPr>
              <w:t xml:space="preserve">Separate specialist review remains  </w:t>
            </w:r>
            <w:r>
              <w:rPr>
                <w:rFonts w:ascii="Calibri" w:hAnsi="Calibri"/>
                <w:color w:val="3E3533"/>
                <w:sz w:val="21"/>
              </w:rPr>
              <w:t>License, copyright, trademark, affiliation, FDA/device status, advertising claims, privacy, and platform policy. A clinical answer must not be reused as approval in those areas.</w:t>
            </w:r>
          </w:p>
        </w:tc>
      </w:tr>
    </w:tbl>
    <w:p>
      <w:pPr>
        <w:spacing w:after="40"/>
      </w:pPr>
    </w:p>
    <w:p>
      <w:pPr>
        <w:spacing w:after="80" w:line="264" w:lineRule="auto"/>
      </w:pPr>
      <w:r>
        <w:rPr>
          <w:rFonts w:ascii="Calibri" w:hAnsi="Calibri"/>
          <w:color w:val="3E3533"/>
          <w:sz w:val="18"/>
        </w:rPr>
        <w:t>Recommended evidence artifact: an authorized, de-identified chart conformance set independently marked by the reviewer, with discrepancies adjudicated against a versioned decision record. Do not describe a small conformance set as clinical validation without a qualified study protocol.</w:t>
      </w:r>
    </w:p>
    <w:p>
      <w:r>
        <w:br w:type="page"/>
      </w:r>
    </w:p>
    <w:p>
      <w:pPr>
        <w:pStyle w:val="Heading1"/>
        <w:keepNext/>
        <w:keepLines/>
      </w:pPr>
      <w:r>
        <w:t>Public evidence register</w:t>
      </w:r>
    </w:p>
    <w:p>
      <w:pPr>
        <w:spacing w:after="80" w:line="264" w:lineRule="auto"/>
      </w:pPr>
      <w:r>
        <w:rPr>
          <w:rFonts w:ascii="Calibri" w:hAnsi="Calibri"/>
          <w:color w:val="3E3533"/>
          <w:sz w:val="18"/>
        </w:rPr>
        <w:t>All sources below were publicly accessible on the evidence cutoff date. Links are editable and clickable. Method-level evidence does not validate Well Within, and boundary sources do not constitute approval.</w:t>
      </w:r>
    </w:p>
    <w:p>
      <w:pPr>
        <w:spacing w:after="20" w:line="250" w:lineRule="auto"/>
      </w:pPr>
      <w:r>
        <w:rPr>
          <w:rFonts w:ascii="Calibri" w:hAnsi="Calibri"/>
          <w:b/>
          <w:color w:val="754B47"/>
          <w:sz w:val="16"/>
        </w:rPr>
        <w:t xml:space="preserve">[P1] </w:t>
      </w:r>
      <w:hyperlink r:id="rId12">
        <w:r>
          <w:rPr>
            <w:rFonts w:ascii="Calibri" w:hAnsi="Calibri"/>
            <w:color w:val="7C4F70"/>
            <w:u w:val="single"/>
          </w:rPr>
          <w:t>Saint Paul VI Institute. CrMS App Copyright: Samples of Intellectual Property/Copyrighted Material, p. 3 (public PDF).</w:t>
        </w:r>
      </w:hyperlink>
    </w:p>
    <w:p>
      <w:pPr>
        <w:pStyle w:val="SmallNote"/>
        <w:spacing w:after="80"/>
        <w:ind w:left="317"/>
      </w:pPr>
      <w:r>
        <w:rPr>
          <w:rFonts w:ascii="Calibri" w:hAnsi="Calibri"/>
          <w:color w:val="6F6663"/>
          <w:sz w:val="15"/>
        </w:rPr>
        <w:t>Selected public charting concepts and sample codes. Public access is not a license or a complete software specification.</w:t>
      </w:r>
    </w:p>
    <w:p>
      <w:pPr>
        <w:spacing w:after="20" w:line="250" w:lineRule="auto"/>
      </w:pPr>
      <w:r>
        <w:rPr>
          <w:rFonts w:ascii="Calibri" w:hAnsi="Calibri"/>
          <w:b/>
          <w:color w:val="754B47"/>
          <w:sz w:val="16"/>
        </w:rPr>
        <w:t xml:space="preserve">[P2] </w:t>
      </w:r>
      <w:hyperlink r:id="rId14">
        <w:r>
          <w:rPr>
            <w:rFonts w:ascii="Calibri" w:hAnsi="Calibri"/>
            <w:color w:val="7C4F70"/>
            <w:u w:val="single"/>
          </w:rPr>
          <w:t>Creighton Model FertilityCare System. About the Creighton Model FertilityCare System.</w:t>
        </w:r>
      </w:hyperlink>
    </w:p>
    <w:p>
      <w:pPr>
        <w:pStyle w:val="SmallNote"/>
        <w:spacing w:after="80"/>
        <w:ind w:left="317"/>
      </w:pPr>
      <w:r>
        <w:rPr>
          <w:rFonts w:ascii="Calibri" w:hAnsi="Calibri"/>
          <w:color w:val="6F6663"/>
          <w:sz w:val="15"/>
        </w:rPr>
        <w:t>Describes a standardized system taught with individualized follow-up by trained practitioners.</w:t>
      </w:r>
    </w:p>
    <w:p>
      <w:pPr>
        <w:spacing w:after="20" w:line="250" w:lineRule="auto"/>
      </w:pPr>
      <w:r>
        <w:rPr>
          <w:rFonts w:ascii="Calibri" w:hAnsi="Calibri"/>
          <w:b/>
          <w:color w:val="754B47"/>
          <w:sz w:val="16"/>
        </w:rPr>
        <w:t xml:space="preserve">[P3] </w:t>
      </w:r>
      <w:hyperlink r:id="rId18">
        <w:r>
          <w:rPr>
            <w:rFonts w:ascii="Calibri" w:hAnsi="Calibri"/>
            <w:color w:val="7C4F70"/>
            <w:u w:val="single"/>
          </w:rPr>
          <w:t>Creighton Model FertilityCare System. Background.</w:t>
        </w:r>
      </w:hyperlink>
    </w:p>
    <w:p>
      <w:pPr>
        <w:pStyle w:val="SmallNote"/>
        <w:spacing w:after="80"/>
        <w:ind w:left="317"/>
      </w:pPr>
      <w:r>
        <w:rPr>
          <w:rFonts w:ascii="Calibri" w:hAnsi="Calibri"/>
          <w:color w:val="6F6663"/>
          <w:sz w:val="15"/>
        </w:rPr>
        <w:t>Public overview of menstrual onset, mucus progression, Peak, long-cycle mucus patches, BIP, and change from an established pattern.</w:t>
      </w:r>
    </w:p>
    <w:p>
      <w:pPr>
        <w:spacing w:after="20" w:line="250" w:lineRule="auto"/>
      </w:pPr>
      <w:r>
        <w:rPr>
          <w:rFonts w:ascii="Calibri" w:hAnsi="Calibri"/>
          <w:b/>
          <w:color w:val="754B47"/>
          <w:sz w:val="16"/>
        </w:rPr>
        <w:t xml:space="preserve">[P4] </w:t>
      </w:r>
      <w:hyperlink r:id="rId15">
        <w:r>
          <w:rPr>
            <w:rFonts w:ascii="Calibri" w:hAnsi="Calibri"/>
            <w:color w:val="7C4F70"/>
            <w:u w:val="single"/>
          </w:rPr>
          <w:t>FertilityCare Centers of America. The Creighton Model System.</w:t>
        </w:r>
      </w:hyperlink>
    </w:p>
    <w:p>
      <w:pPr>
        <w:pStyle w:val="SmallNote"/>
        <w:spacing w:after="80"/>
        <w:ind w:left="317"/>
      </w:pPr>
      <w:r>
        <w:rPr>
          <w:rFonts w:ascii="Calibri" w:hAnsi="Calibri"/>
          <w:color w:val="6F6663"/>
          <w:sz w:val="15"/>
        </w:rPr>
        <w:t>Describes standardized observation and charting with practitioner instruction and follow-up.</w:t>
      </w:r>
    </w:p>
    <w:p>
      <w:pPr>
        <w:spacing w:after="20" w:line="250" w:lineRule="auto"/>
      </w:pPr>
      <w:r>
        <w:rPr>
          <w:rFonts w:ascii="Calibri" w:hAnsi="Calibri"/>
          <w:b/>
          <w:color w:val="754B47"/>
          <w:sz w:val="16"/>
        </w:rPr>
        <w:t xml:space="preserve">[R1] </w:t>
      </w:r>
      <w:hyperlink r:id="rId20">
        <w:r>
          <w:rPr>
            <w:rFonts w:ascii="Calibri" w:hAnsi="Calibri"/>
            <w:color w:val="7C4F70"/>
            <w:u w:val="single"/>
          </w:rPr>
          <w:t>Stanford JB, Smith KR, Varner MW. Impact of instruction in the Creighton Model FertilityCare System on time to pregnancy in couples of proven fecundity: results of a randomised trial. Paediatr Perinat Epidemiol. 2014;28(5):391-399. doi:10.1111/ppe.12141.</w:t>
        </w:r>
      </w:hyperlink>
    </w:p>
    <w:p>
      <w:pPr>
        <w:pStyle w:val="SmallNote"/>
        <w:spacing w:after="80"/>
        <w:ind w:left="317"/>
      </w:pPr>
      <w:r>
        <w:rPr>
          <w:rFonts w:ascii="Calibri" w:hAnsi="Calibri"/>
          <w:color w:val="6F6663"/>
          <w:sz w:val="15"/>
        </w:rPr>
        <w:t>Research conducted with trained instruction and follow-up; it does not validate Well Within.</w:t>
      </w:r>
    </w:p>
    <w:p>
      <w:pPr>
        <w:spacing w:after="20" w:line="250" w:lineRule="auto"/>
      </w:pPr>
      <w:r>
        <w:rPr>
          <w:rFonts w:ascii="Calibri" w:hAnsi="Calibri"/>
          <w:b/>
          <w:color w:val="754B47"/>
          <w:sz w:val="16"/>
        </w:rPr>
        <w:t xml:space="preserve">[R2] </w:t>
      </w:r>
      <w:hyperlink r:id="rId13">
        <w:r>
          <w:rPr>
            <w:rFonts w:ascii="Calibri" w:hAnsi="Calibri"/>
            <w:color w:val="7C4F70"/>
            <w:u w:val="single"/>
          </w:rPr>
          <w:t>Stanford JB, Schliep KC, Chang C-P, O'Sullivan J-P, Porucznik CA. Comparison of woman-picked, expert-picked, and computer-picked Peak Day of cervical mucus with blinded urine luteinising hormone surge for concurrent identification of ovulation. Paediatr Perinat Epidemiol. 2020;34(2):105-113. doi:10.1111/ppe.12642.</w:t>
        </w:r>
      </w:hyperlink>
    </w:p>
    <w:p>
      <w:pPr>
        <w:pStyle w:val="SmallNote"/>
        <w:spacing w:after="80"/>
        <w:ind w:left="317"/>
      </w:pPr>
      <w:r>
        <w:rPr>
          <w:rFonts w:ascii="Calibri" w:hAnsi="Calibri"/>
          <w:color w:val="6F6663"/>
          <w:sz w:val="15"/>
        </w:rPr>
        <w:t>Shows imperfect agreement among women, experts, and a different research algorithm; incomplete charts were excluded.</w:t>
      </w:r>
    </w:p>
    <w:p>
      <w:pPr>
        <w:spacing w:after="20" w:line="250" w:lineRule="auto"/>
      </w:pPr>
      <w:r>
        <w:rPr>
          <w:rFonts w:ascii="Calibri" w:hAnsi="Calibri"/>
          <w:b/>
          <w:color w:val="754B47"/>
          <w:sz w:val="16"/>
        </w:rPr>
        <w:t xml:space="preserve">[R3] </w:t>
      </w:r>
      <w:hyperlink r:id="rId16">
        <w:r>
          <w:rPr>
            <w:rFonts w:ascii="Calibri" w:hAnsi="Calibri"/>
            <w:color w:val="7C4F70"/>
            <w:u w:val="single"/>
          </w:rPr>
          <w:t>Najmabadi S, Schliep KC, Simonsen SE, Porucznik CA, Egger MJ, Stanford JB. Cervical mucus patterns and the fertile window in women without known subfertility: a pooled analysis of three cohorts. Hum Reprod. 2021;36(7):1784-1795. doi:10.1093/humrep/deab049.</w:t>
        </w:r>
      </w:hyperlink>
    </w:p>
    <w:p>
      <w:pPr>
        <w:pStyle w:val="SmallNote"/>
        <w:spacing w:after="80"/>
        <w:ind w:left="317"/>
      </w:pPr>
      <w:r>
        <w:rPr>
          <w:rFonts w:ascii="Calibri" w:hAnsi="Calibri"/>
          <w:color w:val="6F6663"/>
          <w:sz w:val="15"/>
        </w:rPr>
        <w:t>Trained CrMS charting data showing peak-type signs, multiple mucus peaks, non-Peak-only patterns, and substantial within-woman variability.</w:t>
      </w:r>
    </w:p>
    <w:p>
      <w:pPr>
        <w:spacing w:after="20" w:line="250" w:lineRule="auto"/>
      </w:pPr>
      <w:r>
        <w:rPr>
          <w:rFonts w:ascii="Calibri" w:hAnsi="Calibri"/>
          <w:b/>
          <w:color w:val="754B47"/>
          <w:sz w:val="16"/>
        </w:rPr>
        <w:t xml:space="preserve">[R4] </w:t>
      </w:r>
      <w:hyperlink r:id="rId17">
        <w:r>
          <w:rPr>
            <w:rFonts w:ascii="Calibri" w:hAnsi="Calibri"/>
            <w:color w:val="7C4F70"/>
            <w:u w:val="single"/>
          </w:rPr>
          <w:t>Najmabadi S, Schliep KC, Simonsen SE, Porucznik CA, Egger MJ, Stanford JB. Menstrual bleeding, cycle length, and follicular and luteal phase lengths in women without known subfertility: a pooled analysis of three cohorts. Paediatr Perinat Epidemiol. 2020;34(3):318-327. doi:10.1111/ppe.12644.</w:t>
        </w:r>
      </w:hyperlink>
    </w:p>
    <w:p>
      <w:pPr>
        <w:pStyle w:val="SmallNote"/>
        <w:spacing w:after="80"/>
        <w:ind w:left="317"/>
      </w:pPr>
      <w:r>
        <w:rPr>
          <w:rFonts w:ascii="Calibri" w:hAnsi="Calibri"/>
          <w:color w:val="6F6663"/>
          <w:sz w:val="15"/>
        </w:rPr>
        <w:t>Uses woman-identified menstrual onset and documents meaningful within-woman cycle variability.</w:t>
      </w:r>
    </w:p>
    <w:p>
      <w:pPr>
        <w:spacing w:after="20" w:line="250" w:lineRule="auto"/>
      </w:pPr>
      <w:r>
        <w:rPr>
          <w:rFonts w:ascii="Calibri" w:hAnsi="Calibri"/>
          <w:b/>
          <w:color w:val="754B47"/>
          <w:sz w:val="16"/>
        </w:rPr>
        <w:t xml:space="preserve">[R5] </w:t>
      </w:r>
      <w:hyperlink r:id="rId19">
        <w:r>
          <w:rPr>
            <w:rFonts w:ascii="Calibri" w:hAnsi="Calibri"/>
            <w:color w:val="7C4F70"/>
            <w:u w:val="single"/>
          </w:rPr>
          <w:t>Porucznik CA, Cox KJ, Schliep KC, Stanford JB. Pilot test and validation of the Peak Day method of prospective determination of ovulation against a handheld urine hormone monitor. BMC Women's Health. 2014;14:4. doi:10.1186/1472-6874-14-4.</w:t>
        </w:r>
      </w:hyperlink>
    </w:p>
    <w:p>
      <w:pPr>
        <w:pStyle w:val="SmallNote"/>
        <w:spacing w:after="80"/>
        <w:ind w:left="317"/>
      </w:pPr>
      <w:r>
        <w:rPr>
          <w:rFonts w:ascii="Calibri" w:hAnsi="Calibri"/>
          <w:color w:val="6F6663"/>
          <w:sz w:val="15"/>
        </w:rPr>
        <w:t>Tests a simplified research Peak Day method, not the Well Within rules engine or a full CrMS software implementation.</w:t>
      </w:r>
    </w:p>
    <w:p>
      <w:pPr>
        <w:spacing w:after="20" w:line="250" w:lineRule="auto"/>
      </w:pPr>
      <w:r>
        <w:rPr>
          <w:rFonts w:ascii="Calibri" w:hAnsi="Calibri"/>
          <w:b/>
          <w:color w:val="754B47"/>
          <w:sz w:val="16"/>
        </w:rPr>
        <w:t xml:space="preserve">[G1] </w:t>
      </w:r>
      <w:hyperlink r:id="rId21">
        <w:r>
          <w:rPr>
            <w:rFonts w:ascii="Calibri" w:hAnsi="Calibri"/>
            <w:color w:val="7C4F70"/>
            <w:u w:val="single"/>
          </w:rPr>
          <w:t>Centers for Disease Control and Prevention. U.S. Medical Eligibility Criteria: Fertility Awareness-Based Methods.</w:t>
        </w:r>
      </w:hyperlink>
    </w:p>
    <w:p>
      <w:pPr>
        <w:pStyle w:val="SmallNote"/>
        <w:spacing w:after="80"/>
        <w:ind w:left="317"/>
      </w:pPr>
      <w:r>
        <w:rPr>
          <w:rFonts w:ascii="Calibri" w:hAnsi="Calibri"/>
          <w:color w:val="6F6663"/>
          <w:sz w:val="15"/>
        </w:rPr>
        <w:t>Identifies circumstances in which fertility-awareness use may require delay, caution, or special counseling.</w:t>
      </w:r>
    </w:p>
    <w:p>
      <w:pPr>
        <w:spacing w:after="20" w:line="250" w:lineRule="auto"/>
      </w:pPr>
      <w:r>
        <w:rPr>
          <w:rFonts w:ascii="Calibri" w:hAnsi="Calibri"/>
          <w:b/>
          <w:color w:val="754B47"/>
          <w:sz w:val="16"/>
        </w:rPr>
        <w:t xml:space="preserve">[B1] </w:t>
      </w:r>
      <w:hyperlink r:id="rId22">
        <w:r>
          <w:rPr>
            <w:rFonts w:ascii="Calibri" w:hAnsi="Calibri"/>
            <w:color w:val="7C4F70"/>
            <w:u w:val="single"/>
          </w:rPr>
          <w:t>U.S. Food and Drug Administration. General Wellness: Policy for Low Risk Devices, Guidance for Industry and Food and Drug Administration Staff. January 2026.</w:t>
        </w:r>
      </w:hyperlink>
    </w:p>
    <w:p>
      <w:pPr>
        <w:pStyle w:val="SmallNote"/>
        <w:spacing w:after="80"/>
        <w:ind w:left="317"/>
      </w:pPr>
      <w:r>
        <w:rPr>
          <w:rFonts w:ascii="Calibri" w:hAnsi="Calibri"/>
          <w:color w:val="6F6663"/>
          <w:sz w:val="15"/>
        </w:rPr>
        <w:t>Regulatory boundary source only; it does not approve this product or establish clinical correctness.</w:t>
      </w:r>
    </w:p>
    <w:p>
      <w:pPr>
        <w:spacing w:after="20" w:line="250" w:lineRule="auto"/>
      </w:pPr>
      <w:r>
        <w:rPr>
          <w:rFonts w:ascii="Calibri" w:hAnsi="Calibri"/>
          <w:b/>
          <w:color w:val="754B47"/>
          <w:sz w:val="16"/>
        </w:rPr>
        <w:t xml:space="preserve">[B2] </w:t>
      </w:r>
      <w:hyperlink r:id="rId23">
        <w:r>
          <w:rPr>
            <w:rFonts w:ascii="Calibri" w:hAnsi="Calibri"/>
            <w:color w:val="7C4F70"/>
            <w:u w:val="single"/>
          </w:rPr>
          <w:t>U.S. Food and Drug Administration. Policy for Device Software Functions and Mobile Medical Applications.</w:t>
        </w:r>
      </w:hyperlink>
    </w:p>
    <w:p>
      <w:pPr>
        <w:pStyle w:val="SmallNote"/>
        <w:spacing w:after="80"/>
        <w:ind w:left="317"/>
      </w:pPr>
      <w:r>
        <w:rPr>
          <w:rFonts w:ascii="Calibri" w:hAnsi="Calibri"/>
          <w:color w:val="6F6663"/>
          <w:sz w:val="15"/>
        </w:rPr>
        <w:t>Regulatory boundary source only; intended use and claims matter.</w:t>
      </w:r>
    </w:p>
    <w:p>
      <w:pPr>
        <w:spacing w:after="20" w:line="250" w:lineRule="auto"/>
      </w:pPr>
      <w:r>
        <w:rPr>
          <w:rFonts w:ascii="Calibri" w:hAnsi="Calibri"/>
          <w:b/>
          <w:color w:val="754B47"/>
          <w:sz w:val="16"/>
        </w:rPr>
        <w:t xml:space="preserve">[B3] </w:t>
      </w:r>
      <w:hyperlink r:id="rId24">
        <w:r>
          <w:rPr>
            <w:rFonts w:ascii="Calibri" w:hAnsi="Calibri"/>
            <w:color w:val="7C4F70"/>
            <w:u w:val="single"/>
          </w:rPr>
          <w:t>Federal Trade Commission. Health Products Compliance Guidance.</w:t>
        </w:r>
      </w:hyperlink>
    </w:p>
    <w:p>
      <w:pPr>
        <w:pStyle w:val="SmallNote"/>
        <w:spacing w:after="80"/>
        <w:ind w:left="317"/>
      </w:pPr>
      <w:r>
        <w:rPr>
          <w:rFonts w:ascii="Calibri" w:hAnsi="Calibri"/>
          <w:color w:val="6F6663"/>
          <w:sz w:val="15"/>
        </w:rPr>
        <w:t>Advertising boundary source only; product claims require appropriately matched substantiation.</w:t>
      </w:r>
    </w:p>
    <w:p>
      <w:pPr>
        <w:spacing w:after="20" w:line="250" w:lineRule="auto"/>
      </w:pPr>
      <w:r>
        <w:rPr>
          <w:rFonts w:ascii="Calibri" w:hAnsi="Calibri"/>
          <w:b/>
          <w:color w:val="754B47"/>
          <w:sz w:val="16"/>
        </w:rPr>
        <w:t xml:space="preserve">[B4] </w:t>
      </w:r>
      <w:hyperlink r:id="rId25">
        <w:r>
          <w:rPr>
            <w:rFonts w:ascii="Calibri" w:hAnsi="Calibri"/>
            <w:color w:val="7C4F70"/>
            <w:u w:val="single"/>
          </w:rPr>
          <w:t>U.S. Copyright Office. Works Not Protected by Copyright, Circular 33.</w:t>
        </w:r>
      </w:hyperlink>
    </w:p>
    <w:p>
      <w:pPr>
        <w:pStyle w:val="SmallNote"/>
        <w:spacing w:after="80"/>
        <w:ind w:left="317"/>
      </w:pPr>
      <w:r>
        <w:rPr>
          <w:rFonts w:ascii="Calibri" w:hAnsi="Calibri"/>
          <w:color w:val="6F6663"/>
          <w:sz w:val="15"/>
        </w:rPr>
        <w:t>Copyright boundary source only: methods and systems are distinct from protected expression. Counsel must assess the actual materials, license terms, and implementation.</w:t>
      </w:r>
    </w:p>
    <w:p>
      <w:pPr>
        <w:pStyle w:val="Heading2"/>
        <w:keepNext/>
        <w:keepLines/>
      </w:pPr>
      <w:r>
        <w:t>Internal implementation context</w:t>
      </w:r>
    </w:p>
    <w:p>
      <w:pPr>
        <w:spacing w:after="80" w:line="264" w:lineRule="auto"/>
      </w:pPr>
      <w:r>
        <w:rPr>
          <w:rFonts w:ascii="Calibri" w:hAnsi="Calibri"/>
          <w:color w:val="3E3533"/>
          <w:sz w:val="18"/>
        </w:rPr>
        <w:t>The Action 5 audit documents were used only to describe current behavior, known contradictions, fixture coverage, UI suppression, and test consistency. They are repository records, not external clinical evidence.</w:t>
      </w:r>
    </w:p>
    <w:p>
      <w:pPr>
        <w:pStyle w:val="SmallNote"/>
        <w:spacing w:after="20" w:line="245" w:lineRule="auto"/>
      </w:pPr>
      <w:r>
        <w:rPr>
          <w:rFonts w:ascii="Calibri" w:hAnsi="Calibri"/>
          <w:color w:val="3E3533"/>
          <w:sz w:val="15"/>
        </w:rPr>
        <w:t>Reviewed: REPORT, CORRECTNESS_FINDINGS, RULE_PROVENANCE_MATRIX, SOURCE_REGISTER, CLAIM_REVIEW_MATRIX, CLINICAL_REVIEW_FIXTURES, UX_SURFACING_SPEC, PHASE_1A_IMPLEMENTATION, and PHASE_1B_IMPLEMENTATION.</w:t>
      </w:r>
    </w:p>
    <w:p>
      <w:r>
        <w:br w:type="page"/>
      </w:r>
    </w:p>
    <w:p>
      <w:pPr>
        <w:pStyle w:val="Heading1"/>
        <w:keepNext/>
        <w:keepLines/>
      </w:pPr>
      <w:r>
        <w:t>Draft status and handoff</w:t>
      </w:r>
    </w:p>
    <w:tbl>
      <w:tblPr>
        <w:tblW w:type="dxa" w:w="9360"/>
        <w:tblLayout w:type="fixed"/>
        <w:tblLook w:firstColumn="1" w:firstRow="1" w:lastColumn="0" w:lastRow="0" w:noHBand="0" w:noVBand="1" w:val="04A0"/>
        <w:tblInd w:w="120" w:type="dxa"/>
        <w:tblBorders>
          <w:top w:val="single" w:sz="2" w:space="0" w:color="F6F0DD"/>
          <w:left w:val="single" w:sz="2" w:space="0" w:color="F6F0DD"/>
          <w:bottom w:val="single" w:sz="2" w:space="0" w:color="F6F0DD"/>
          <w:right w:val="single" w:sz="2" w:space="0" w:color="F6F0DD"/>
          <w:insideH w:val="single" w:sz="2" w:space="0" w:color="F6F0DD"/>
          <w:insideV w:val="single" w:sz="2" w:space="0" w:color="F6F0DD"/>
        </w:tblBorders>
      </w:tblPr>
      <w:tblGrid>
        <w:gridCol w:w="9360"/>
      </w:tblGrid>
      <w:tr>
        <w:trPr>
          <w:cantSplit/>
        </w:trPr>
        <w:tc>
          <w:tcPr>
            <w:tcW w:type="dxa" w:w="9360"/>
            <w:vAlign w:val="center"/>
            <w:tcMar>
              <w:top w:w="100" w:type="dxa"/>
              <w:start w:w="120" w:type="dxa"/>
              <w:bottom w:w="100" w:type="dxa"/>
              <w:end w:w="120" w:type="dxa"/>
            </w:tcMar>
            <w:shd w:fill="F6F0DD"/>
          </w:tcPr>
          <w:p>
            <w:pPr>
              <w:spacing w:after="0" w:line="276" w:lineRule="auto"/>
            </w:pPr>
            <w:r>
              <w:rPr>
                <w:rFonts w:ascii="Calibri" w:hAnsi="Calibri"/>
                <w:b/>
                <w:color w:val="754B47"/>
                <w:sz w:val="21"/>
              </w:rPr>
              <w:t xml:space="preserve">Current status  </w:t>
            </w:r>
            <w:r>
              <w:rPr>
                <w:rFonts w:ascii="Calibri" w:hAnsi="Calibri"/>
                <w:color w:val="3E3533"/>
                <w:sz w:val="21"/>
              </w:rPr>
              <w:t>AI research prefill and the product-owner-supplied practitioner working direction are recorded. A formal qualified-review record is still required for the exact rules, fixtures, scope, and wording. No reviewer credentials, attestation, or signature has been completed here.</w:t>
            </w:r>
          </w:p>
        </w:tc>
      </w:tr>
    </w:tbl>
    <w:p>
      <w:pPr>
        <w:spacing w:after="40"/>
      </w:pPr>
    </w:p>
    <w:p>
      <w:pPr>
        <w:pStyle w:val="Heading2"/>
        <w:keepNext/>
        <w:keepLines/>
      </w:pPr>
      <w:r>
        <w:t>Completion checklist</w:t>
      </w:r>
    </w:p>
    <w:p>
      <w:pPr>
        <w:spacing w:after="80" w:line="264" w:lineRule="auto"/>
      </w:pPr>
      <w:r>
        <w:rPr>
          <w:rFonts w:ascii="Calibri" w:hAnsi="Calibri"/>
          <w:color w:val="3E3533"/>
          <w:sz w:val="18"/>
        </w:rPr>
        <w:t>[ ] Supported population and exclusions defined</w:t>
      </w:r>
    </w:p>
    <w:p>
      <w:pPr>
        <w:spacing w:after="80" w:line="264" w:lineRule="auto"/>
      </w:pPr>
      <w:r>
        <w:rPr>
          <w:rFonts w:ascii="Calibri" w:hAnsi="Calibri"/>
          <w:color w:val="3E3533"/>
          <w:sz w:val="18"/>
        </w:rPr>
        <w:t>[ ] Authorized source edition/pages supplied for method-specific rules</w:t>
      </w:r>
    </w:p>
    <w:p>
      <w:pPr>
        <w:spacing w:after="80" w:line="264" w:lineRule="auto"/>
      </w:pPr>
      <w:r>
        <w:rPr>
          <w:rFonts w:ascii="Calibri" w:hAnsi="Calibri"/>
          <w:color w:val="3E3533"/>
          <w:sz w:val="18"/>
        </w:rPr>
        <w:t>[ ] All 13 decision records adjudicated</w:t>
      </w:r>
    </w:p>
    <w:p>
      <w:pPr>
        <w:spacing w:after="80" w:line="264" w:lineRule="auto"/>
      </w:pPr>
      <w:r>
        <w:rPr>
          <w:rFonts w:ascii="Calibri" w:hAnsi="Calibri"/>
          <w:color w:val="3E3533"/>
          <w:sz w:val="18"/>
        </w:rPr>
        <w:t>[ ] Fixtures relevant to the first release independently marked</w:t>
      </w:r>
    </w:p>
    <w:p>
      <w:pPr>
        <w:spacing w:after="80" w:line="264" w:lineRule="auto"/>
      </w:pPr>
      <w:r>
        <w:rPr>
          <w:rFonts w:ascii="Calibri" w:hAnsi="Calibri"/>
          <w:color w:val="3E3533"/>
          <w:sz w:val="18"/>
        </w:rPr>
        <w:t>[ ] User-facing terminology approved with limitations</w:t>
      </w:r>
    </w:p>
    <w:p>
      <w:pPr>
        <w:spacing w:after="80" w:line="264" w:lineRule="auto"/>
      </w:pPr>
      <w:r>
        <w:rPr>
          <w:rFonts w:ascii="Calibri" w:hAnsi="Calibri"/>
          <w:color w:val="3E3533"/>
          <w:sz w:val="18"/>
        </w:rPr>
        <w:t>[ ] History comparison policy defined or removed</w:t>
      </w:r>
    </w:p>
    <w:p>
      <w:pPr>
        <w:spacing w:after="80" w:line="264" w:lineRule="auto"/>
      </w:pPr>
      <w:r>
        <w:rPr>
          <w:rFonts w:ascii="Calibri" w:hAnsi="Calibri"/>
          <w:color w:val="3E3533"/>
          <w:sz w:val="18"/>
        </w:rPr>
        <w:t>[ ] PFP-01 through PFP-06 and exact Possible fertile pattern copy adjudicated</w:t>
      </w:r>
    </w:p>
    <w:p>
      <w:pPr>
        <w:spacing w:after="80" w:line="264" w:lineRule="auto"/>
      </w:pPr>
      <w:r>
        <w:rPr>
          <w:rFonts w:ascii="Calibri" w:hAnsi="Calibri"/>
          <w:color w:val="3E3533"/>
          <w:sz w:val="18"/>
        </w:rPr>
        <w:t>[ ] Separate legal/regulatory/trademark/copyright/licensing review completed</w:t>
      </w:r>
    </w:p>
    <w:p>
      <w:pPr>
        <w:spacing w:after="80" w:line="264" w:lineRule="auto"/>
      </w:pPr>
      <w:r>
        <w:rPr>
          <w:rFonts w:ascii="Calibri" w:hAnsi="Calibri"/>
          <w:color w:val="3E3533"/>
          <w:sz w:val="18"/>
        </w:rPr>
        <w:t>[ ] Versioned product-specific validation plan defined before any validation claim</w:t>
      </w:r>
    </w:p>
    <w:tbl>
      <w:tblPr>
        <w:tblW w:type="dxa" w:w="9360"/>
        <w:tblLayout w:type="fixed"/>
        <w:tblLook w:firstColumn="1" w:firstRow="1" w:lastColumn="0" w:lastRow="0" w:noHBand="0" w:noVBand="1" w:val="04A0"/>
        <w:tblInd w:w="120" w:type="dxa"/>
        <w:tblBorders>
          <w:top w:val="single" w:sz="2" w:space="0" w:color="EAF1ED"/>
          <w:left w:val="single" w:sz="2" w:space="0" w:color="EAF1ED"/>
          <w:bottom w:val="single" w:sz="2" w:space="0" w:color="EAF1ED"/>
          <w:right w:val="single" w:sz="2" w:space="0" w:color="EAF1ED"/>
          <w:insideH w:val="single" w:sz="2" w:space="0" w:color="EAF1ED"/>
          <w:insideV w:val="single" w:sz="2" w:space="0" w:color="EAF1ED"/>
        </w:tblBorders>
      </w:tblPr>
      <w:tblGrid>
        <w:gridCol w:w="9360"/>
      </w:tblGrid>
      <w:tr>
        <w:trPr>
          <w:cantSplit/>
        </w:trPr>
        <w:tc>
          <w:tcPr>
            <w:tcW w:type="dxa" w:w="9360"/>
            <w:vAlign w:val="center"/>
            <w:tcMar>
              <w:top w:w="100" w:type="dxa"/>
              <w:start w:w="120" w:type="dxa"/>
              <w:bottom w:w="100" w:type="dxa"/>
              <w:end w:w="120" w:type="dxa"/>
            </w:tcMar>
            <w:shd w:fill="EAF1ED"/>
          </w:tcPr>
          <w:p>
            <w:pPr>
              <w:spacing w:after="0" w:line="276" w:lineRule="auto"/>
            </w:pPr>
            <w:r>
              <w:rPr>
                <w:rFonts w:ascii="Calibri" w:hAnsi="Calibri"/>
                <w:b/>
                <w:color w:val="754B47"/>
                <w:sz w:val="21"/>
              </w:rPr>
              <w:t xml:space="preserve">No product change  </w:t>
            </w:r>
            <w:r>
              <w:rPr>
                <w:rFonts w:ascii="Calibri" w:hAnsi="Calibri"/>
                <w:color w:val="3E3533"/>
                <w:sz w:val="21"/>
              </w:rPr>
              <w:t>This research draft does not modify the Well Within app, rules engine, tests, terminology, exports, or release state.</w:t>
            </w:r>
          </w:p>
        </w:tc>
      </w:tr>
    </w:tbl>
    <w:p>
      <w:pPr>
        <w:spacing w:after="40"/>
      </w:pPr>
    </w:p>
    <w:sectPr w:rsidR="00FC693F" w:rsidRPr="0006063C" w:rsidSect="00034616">
      <w:headerReference w:type="default" r:id="rId9"/>
      <w:footerReference w:type="default" r:id="rId10"/>
      <w:footerReference w:type="first" r:id="rId11"/>
      <w:pgSz w:w="12240" w:h="15840"/>
      <w:pgMar w:top="1123" w:right="1123" w:bottom="1037" w:left="1123"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tblLayout w:type="fixed"/>
      <w:tblLook w:firstColumn="1" w:firstRow="1" w:lastColumn="0" w:lastRow="0" w:noHBand="0" w:noVBand="1" w:val="04A0"/>
      <w:tblInd w:w="0" w:type="dxa"/>
    </w:tblPr>
    <w:tblGrid>
      <w:gridCol w:w="7650"/>
      <w:gridCol w:w="1710"/>
    </w:tblGrid>
    <w:tr>
      <w:tc>
        <w:tcPr>
          <w:tcW w:type="dxa" w:w="7650"/>
          <w:vAlign w:val="center"/>
          <w:tcMar>
            <w:top w:w="100" w:type="dxa"/>
            <w:start w:w="120" w:type="dxa"/>
            <w:bottom w:w="100" w:type="dxa"/>
            <w:end w:w="120" w:type="dxa"/>
          </w:tcMar>
        </w:tcPr>
        <w:p>
          <w:pPr>
            <w:spacing w:after="0"/>
          </w:pPr>
          <w:r>
            <w:rPr>
              <w:rFonts w:ascii="Calibri" w:hAnsi="Calibri"/>
              <w:color w:val="6F6663"/>
              <w:sz w:val="15"/>
            </w:rPr>
            <w:t>AI Research Draft | Not approval | July 13, 2026</w:t>
          </w:r>
        </w:p>
      </w:tc>
      <w:tc>
        <w:tcPr>
          <w:tcW w:type="dxa" w:w="1710"/>
          <w:vAlign w:val="center"/>
          <w:tcMar>
            <w:top w:w="100" w:type="dxa"/>
            <w:start w:w="120" w:type="dxa"/>
            <w:bottom w:w="100" w:type="dxa"/>
            <w:end w:w="120" w:type="dxa"/>
          </w:tcMar>
        </w:tcPr>
        <w:p>
          <w:pPr>
            <w:jc w:val="right"/>
          </w:pPr>
          <w:r>
            <w:rPr>
              <w:rFonts w:ascii="Calibri" w:hAnsi="Calibri"/>
              <w:color w:val="6F6663"/>
              <w:sz w:val="18"/>
            </w:rPr>
            <w:fldChar w:fldCharType="begin"/>
            <w:instrText xml:space="preserve"> PAGE </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F6663"/>
        <w:sz w:val="15"/>
      </w:rPr>
      <w:t>AI Research Draft | Public-evidence prefill only | No reviewer attestation or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F6663"/>
        <w:sz w:val="16"/>
      </w:rPr>
      <w:t>WELL WITHIN  |  AI RESEARCH DRAFT  |  CLINICAL DECISION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pPr>
      <w:rPr>
        <w:rFonts w:ascii="Symbol" w:hAnsi="Symbol"/>
      </w:rPr>
    </w:lvl>
  </w:abstractNum>
  <w:num w:numId="10">
    <w:abstractNumId w:val="9"/>
  </w:num>
  <w:abstractNum w:abstractNumId="10">
    <w:multiLevelType w:val="singleLevel"/>
    <w:lvl w:ilvl="0">
      <w:start w:val="1"/>
      <w:numFmt w:val="decimal"/>
      <w:lvlText w:val="%1."/>
      <w:suff w:val="tab"/>
      <w:lvlJc w:val="left"/>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color w:val="3E35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754B47"/>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A96F68"/>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754B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754B47"/>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76" w:lineRule="auto"/>
    </w:pPr>
    <w:rPr>
      <w:rFonts w:asciiTheme="majorHAnsi" w:eastAsiaTheme="majorEastAsia" w:hAnsiTheme="majorHAnsi" w:cstheme="majorBidi" w:ascii="Calibri" w:hAnsi="Calibri"/>
      <w:i/>
      <w:iCs/>
      <w:color w:val="6F6663"/>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line="264" w:lineRule="auto"/>
    </w:pPr>
    <w:rPr>
      <w:rFonts w:ascii="Calibri" w:hAnsi="Calibri"/>
      <w:color w:val="6F666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saintpaulvi.com/PDF/CrMS_App_Copyright.pdf" TargetMode="External"/><Relationship Id="rId13" Type="http://schemas.openxmlformats.org/officeDocument/2006/relationships/hyperlink" Target="https://pmc.ncbi.nlm.nih.gov/articles/PMC8495767/" TargetMode="External"/><Relationship Id="rId14" Type="http://schemas.openxmlformats.org/officeDocument/2006/relationships/hyperlink" Target="https://creightonmodel.com/about/" TargetMode="External"/><Relationship Id="rId15" Type="http://schemas.openxmlformats.org/officeDocument/2006/relationships/hyperlink" Target="https://www.fertilitycare.org/creighton-model-system/" TargetMode="External"/><Relationship Id="rId16" Type="http://schemas.openxmlformats.org/officeDocument/2006/relationships/hyperlink" Target="https://pmc.ncbi.nlm.nih.gov/articles/PMC8487651/" TargetMode="External"/><Relationship Id="rId17" Type="http://schemas.openxmlformats.org/officeDocument/2006/relationships/hyperlink" Target="https://pmc.ncbi.nlm.nih.gov/articles/PMC8495765/" TargetMode="External"/><Relationship Id="rId18" Type="http://schemas.openxmlformats.org/officeDocument/2006/relationships/hyperlink" Target="https://creightonmodel.com/background/" TargetMode="External"/><Relationship Id="rId19" Type="http://schemas.openxmlformats.org/officeDocument/2006/relationships/hyperlink" Target="https://pmc.ncbi.nlm.nih.gov/articles/PMC3893397/" TargetMode="External"/><Relationship Id="rId20" Type="http://schemas.openxmlformats.org/officeDocument/2006/relationships/hyperlink" Target="https://pmc.ncbi.nlm.nih.gov/articles/PMC4861655/" TargetMode="External"/><Relationship Id="rId21" Type="http://schemas.openxmlformats.org/officeDocument/2006/relationships/hyperlink" Target="https://www.cdc.gov/contraception/hcp/usmec/fertility-awareness-based-methods.html" TargetMode="External"/><Relationship Id="rId22" Type="http://schemas.openxmlformats.org/officeDocument/2006/relationships/hyperlink" Target="https://www.fda.gov/regulatory-information/search-fda-guidance-documents/general-wellness-policy-low-risk-devices" TargetMode="External"/><Relationship Id="rId23" Type="http://schemas.openxmlformats.org/officeDocument/2006/relationships/hyperlink" Target="https://www.fda.gov/regulatory-information/search-fda-guidance-documents/policy-device-software-functions-and-mobile-medical-applications" TargetMode="External"/><Relationship Id="rId24" Type="http://schemas.openxmlformats.org/officeDocument/2006/relationships/hyperlink" Target="https://www.ftc.gov/business-guidance/resources/health-products-compliance-guidance" TargetMode="External"/><Relationship Id="rId25" Type="http://schemas.openxmlformats.org/officeDocument/2006/relationships/hyperlink" Target="https://www.copyright.gov/circs/circ3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 Within Clinical Review Packet - AI Research Draft</dc:title>
  <dc:subject>Public-evidence prefill for qualified clinical review</dc:subject>
  <dc:creator>Well Within - AI Research Draft</dc:creator>
  <cp:keywords/>
  <dc:description>Research working document only. Not clinical, legal, regulatory, trademark, licensing, or product approval.</dc:description>
  <cp:lastModifiedBy/>
  <cp:revision>1</cp:revision>
  <dcterms:created xsi:type="dcterms:W3CDTF">2013-12-23T23:15:00Z</dcterms:created>
  <dcterms:modified xsi:type="dcterms:W3CDTF">2013-12-23T23:15:00Z</dcterms:modified>
  <cp:category/>
</cp:coreProperties>
</file>