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Right Join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Myles Jauncey, Jagroop Singh, Nikolaos Maragkos, Renato Pavlekovic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Mystic Manuscripts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09/06/2025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Books Sales Records - V2(in)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924 KB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ANSI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3481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mystic_manuscript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right_join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2382"/>
        <w:gridCol w:w="1887"/>
        <w:gridCol w:w="1770"/>
        <w:gridCol w:w="1447"/>
        <w:tblGridChange w:id="0">
          <w:tblGrid>
            <w:gridCol w:w="1530"/>
            <w:gridCol w:w="2382"/>
            <w:gridCol w:w="1887"/>
            <w:gridCol w:w="1770"/>
            <w:gridCol w:w="14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SQL-1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rows.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SQL-2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distinct rows.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SQL-3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columns.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SQL-4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sum of columns.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11680963.46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11680963.46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SQL-5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sum or rows.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11680963.46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11680963.46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SQL-6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Compare 5 randomly chosen values from Source, check date matches in Destination.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 (3269, 2566, 2435, 673, 3173)</w:t>
            </w:r>
          </w:p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 (2019-10-25, 2019-07-19,</w:t>
            </w:r>
          </w:p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2019-07-11,</w:t>
            </w:r>
          </w:p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2018-05-06,</w:t>
            </w:r>
          </w:p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2019-09-27)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 (3269, 2566, 2435, 673, 3173)</w:t>
            </w:r>
          </w:p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 (2019-10-25, 2019-07-19,</w:t>
            </w:r>
          </w:p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2019-07-11,</w:t>
            </w:r>
          </w:p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2018-05-06,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2019-09-27)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7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SQL-7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Inspect 5 randomly chosen records from 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SQL-8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NULLs per column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NULLs per column.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SQL-9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Duplicate Data Check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for duplicate rows based on the combination of values in all the specified columns.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SQL-10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check (MIN/MAX)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 the range of values in key columns by comparing Min/Max values.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SQL-11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 sensitivity chec</w:t>
            </w: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inconsistent casing in string fields.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SQL-12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Profit consistency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Checks that the profit column hold accurate data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SQL-13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Total Check</w:t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Ensure ‘Gender’ counts match declared values </w:t>
            </w:r>
          </w:p>
          <w:p w:rsidR="00000000" w:rsidDel="00000000" w:rsidP="00000000" w:rsidRDefault="00000000" w:rsidRPr="00000000" w14:paraId="000000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M=1815</w:t>
            </w:r>
          </w:p>
          <w:p w:rsidR="00000000" w:rsidDel="00000000" w:rsidP="00000000" w:rsidRDefault="00000000" w:rsidRPr="00000000" w14:paraId="000000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F=1665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SQL-14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validation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Checks if the time-related data is consistent throughout different columns in the data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SQL-15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 Value Check</w:t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for no negative values in Quantity,Item Price,Total Amount and Profit.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the column format to follow standards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le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lear Sans" w:cs="Clear Sans" w:eastAsia="Clear Sans" w:hAnsi="Clear San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>MediaServiceImageTags</vt:lpwstr>
  </property>
</Properties>
</file>