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66745" w14:textId="7351792A" w:rsidR="00063058" w:rsidRPr="000B3A0D" w:rsidRDefault="000B3A0D">
      <w:pPr>
        <w:rPr>
          <w:rFonts w:asciiTheme="majorBidi" w:hAnsiTheme="majorBidi" w:cstheme="majorBidi"/>
        </w:rPr>
      </w:pPr>
      <w:r w:rsidRPr="000B3A0D">
        <w:rPr>
          <w:rFonts w:asciiTheme="majorBidi" w:hAnsiTheme="majorBidi" w:cstheme="majorBidi"/>
        </w:rPr>
        <w:t>Supplementary figure captions</w:t>
      </w:r>
    </w:p>
    <w:p w14:paraId="6A2AE761" w14:textId="77777777" w:rsidR="000B3A0D" w:rsidRPr="000B3A0D" w:rsidRDefault="000B3A0D">
      <w:pPr>
        <w:rPr>
          <w:rFonts w:asciiTheme="majorBidi" w:hAnsiTheme="majorBidi" w:cstheme="majorBidi"/>
        </w:rPr>
      </w:pPr>
    </w:p>
    <w:p w14:paraId="5D77EFFD" w14:textId="77777777" w:rsidR="000B3A0D" w:rsidRPr="000B3A0D" w:rsidRDefault="000B3A0D" w:rsidP="000B3A0D">
      <w:pPr>
        <w:pStyle w:val="Caption"/>
        <w:rPr>
          <w:rFonts w:eastAsia="Times New Roman"/>
          <w:noProof/>
        </w:rPr>
      </w:pPr>
      <w:bookmarkStart w:id="0" w:name="_Ref158369827"/>
      <w:r w:rsidRPr="000B3A0D">
        <w:t xml:space="preserve">Supplementary Figure </w:t>
      </w:r>
      <w:r w:rsidRPr="000B3A0D">
        <w:fldChar w:fldCharType="begin"/>
      </w:r>
      <w:r w:rsidRPr="000B3A0D">
        <w:instrText xml:space="preserve"> SEQ Supplementary_Figure \* ARABIC </w:instrText>
      </w:r>
      <w:r w:rsidRPr="000B3A0D">
        <w:fldChar w:fldCharType="separate"/>
      </w:r>
      <w:r w:rsidRPr="000B3A0D">
        <w:rPr>
          <w:noProof/>
        </w:rPr>
        <w:t>1</w:t>
      </w:r>
      <w:r w:rsidRPr="000B3A0D">
        <w:rPr>
          <w:noProof/>
        </w:rPr>
        <w:fldChar w:fldCharType="end"/>
      </w:r>
      <w:bookmarkEnd w:id="0"/>
      <w:r w:rsidRPr="000B3A0D">
        <w:rPr>
          <w:noProof/>
        </w:rPr>
        <w:t xml:space="preserve">. </w:t>
      </w:r>
      <w:r w:rsidRPr="000B3A0D">
        <w:rPr>
          <w:b w:val="0"/>
          <w:bCs/>
          <w:noProof/>
        </w:rPr>
        <w:t xml:space="preserve">Principal Component (PC) score plot combined with variable loading plot (i.e., Biplot) representing Vegetation Index data gathered during the 2022 season at 50m (1.18 </w:t>
      </w:r>
      <w:r w:rsidRPr="000B3A0D">
        <w:rPr>
          <w:rStyle w:val="cf01"/>
          <w:rFonts w:asciiTheme="majorBidi" w:hAnsiTheme="majorBidi" w:cstheme="majorBidi"/>
          <w:b w:val="0"/>
          <w:bCs/>
          <w:sz w:val="22"/>
          <w:szCs w:val="22"/>
        </w:rPr>
        <w:t>cm pixel</w:t>
      </w:r>
      <w:r w:rsidRPr="000B3A0D">
        <w:rPr>
          <w:rStyle w:val="cf11"/>
          <w:rFonts w:asciiTheme="majorBidi" w:hAnsiTheme="majorBidi" w:cstheme="majorBidi"/>
          <w:b w:val="0"/>
          <w:bCs/>
          <w:sz w:val="22"/>
          <w:szCs w:val="22"/>
        </w:rPr>
        <w:t>-1</w:t>
      </w:r>
      <w:r w:rsidRPr="000B3A0D">
        <w:rPr>
          <w:b w:val="0"/>
          <w:bCs/>
          <w:noProof/>
        </w:rPr>
        <w:t>resolution) during Haun's stages 7.1 – 7.3. In the header, PC 2 corresponds to the number of PCs used for training the Principal Component Regression model, selected using the Guttman-Kaiser criterion, and the percentage denotes the amount of variability present in the data explained by them. Each data point corresponds to a single plot in the experiment, colored and shaped according to the sowing density (seeds m</w:t>
      </w:r>
      <w:r w:rsidRPr="000B3A0D">
        <w:rPr>
          <w:b w:val="0"/>
          <w:bCs/>
          <w:noProof/>
          <w:vertAlign w:val="superscript"/>
        </w:rPr>
        <w:t>-2</w:t>
      </w:r>
      <w:r w:rsidRPr="000B3A0D">
        <w:rPr>
          <w:b w:val="0"/>
          <w:bCs/>
          <w:noProof/>
        </w:rPr>
        <w:t>) and Genotype, respectively.</w:t>
      </w:r>
    </w:p>
    <w:p w14:paraId="67D7D0F3" w14:textId="77777777" w:rsidR="000B3A0D" w:rsidRPr="000B3A0D" w:rsidRDefault="000B3A0D">
      <w:pPr>
        <w:rPr>
          <w:rFonts w:asciiTheme="majorBidi" w:hAnsiTheme="majorBidi" w:cstheme="majorBidi"/>
        </w:rPr>
      </w:pPr>
    </w:p>
    <w:p w14:paraId="2BCC9CC1" w14:textId="77777777" w:rsidR="000B3A0D" w:rsidRPr="000B3A0D" w:rsidRDefault="000B3A0D" w:rsidP="000B3A0D">
      <w:pPr>
        <w:pStyle w:val="Caption"/>
        <w:rPr>
          <w:noProof/>
          <w:color w:val="000000" w:themeColor="text1"/>
        </w:rPr>
      </w:pPr>
      <w:r w:rsidRPr="000B3A0D">
        <w:t xml:space="preserve">Supplementary Figure </w:t>
      </w:r>
      <w:r w:rsidRPr="000B3A0D">
        <w:fldChar w:fldCharType="begin"/>
      </w:r>
      <w:r w:rsidRPr="000B3A0D">
        <w:instrText xml:space="preserve"> SEQ Supplementary_Figure \* ARABIC </w:instrText>
      </w:r>
      <w:r w:rsidRPr="000B3A0D">
        <w:fldChar w:fldCharType="separate"/>
      </w:r>
      <w:r w:rsidRPr="000B3A0D">
        <w:rPr>
          <w:noProof/>
        </w:rPr>
        <w:t>2</w:t>
      </w:r>
      <w:r w:rsidRPr="000B3A0D">
        <w:rPr>
          <w:noProof/>
        </w:rPr>
        <w:fldChar w:fldCharType="end"/>
      </w:r>
      <w:r w:rsidRPr="000B3A0D">
        <w:t xml:space="preserve">. </w:t>
      </w:r>
      <w:r w:rsidRPr="000B3A0D">
        <w:rPr>
          <w:b w:val="0"/>
          <w:bCs/>
        </w:rPr>
        <w:t xml:space="preserve">Comparison of predicted vs. actual (observed) plant density for the Ridge model trained on 2022 data collected at 50m (1.18 </w:t>
      </w:r>
      <w:r w:rsidRPr="000B3A0D">
        <w:rPr>
          <w:rStyle w:val="cf01"/>
          <w:rFonts w:asciiTheme="majorBidi" w:hAnsiTheme="majorBidi" w:cstheme="majorBidi"/>
          <w:b w:val="0"/>
          <w:bCs/>
          <w:sz w:val="22"/>
          <w:szCs w:val="22"/>
        </w:rPr>
        <w:t>cm pixel</w:t>
      </w:r>
      <w:r w:rsidRPr="000B3A0D">
        <w:rPr>
          <w:rStyle w:val="cf11"/>
          <w:rFonts w:asciiTheme="majorBidi" w:hAnsiTheme="majorBidi" w:cstheme="majorBidi"/>
          <w:b w:val="0"/>
          <w:bCs/>
          <w:sz w:val="22"/>
          <w:szCs w:val="22"/>
        </w:rPr>
        <w:t>-1, cm</w:t>
      </w:r>
      <w:r w:rsidRPr="000B3A0D">
        <w:rPr>
          <w:b w:val="0"/>
          <w:bCs/>
        </w:rPr>
        <w:t>) during Haun stages 7.1 – 7.3, tested on datasets from the 2023 agronomic season spanning stages 4.4 to 8.4 and various altitudes (resolutions). RGB image data was obtained from ground-level (0.03cm) and UAV at 15m (0.27cm), 30m (0.53cm), and 50m (0.89cm). Each dot represents a plot in the testing set, with colors indicating different sowing density groups in seeds m</w:t>
      </w:r>
      <w:r w:rsidRPr="000B3A0D">
        <w:rPr>
          <w:b w:val="0"/>
          <w:bCs/>
          <w:vertAlign w:val="superscript"/>
        </w:rPr>
        <w:t>-2</w:t>
      </w:r>
      <w:r w:rsidRPr="000B3A0D">
        <w:rPr>
          <w:b w:val="0"/>
          <w:bCs/>
        </w:rPr>
        <w:t>. The upper left corners show coefficient of determination (R</w:t>
      </w:r>
      <w:r w:rsidRPr="000B3A0D">
        <w:rPr>
          <w:b w:val="0"/>
          <w:bCs/>
          <w:vertAlign w:val="superscript"/>
        </w:rPr>
        <w:t>2</w:t>
      </w:r>
      <w:r w:rsidRPr="000B3A0D">
        <w:rPr>
          <w:b w:val="0"/>
          <w:bCs/>
        </w:rPr>
        <w:t>) (</w:t>
      </w:r>
      <w:r w:rsidRPr="000B3A0D">
        <w:rPr>
          <w:b w:val="0"/>
          <w:bCs/>
          <w:i/>
        </w:rPr>
        <w:t>Equation 2</w:t>
      </w:r>
      <w:r w:rsidRPr="000B3A0D">
        <w:rPr>
          <w:b w:val="0"/>
          <w:bCs/>
        </w:rPr>
        <w:t>), Mean Absolute Error (</w:t>
      </w:r>
      <w:r w:rsidRPr="000B3A0D">
        <w:rPr>
          <w:b w:val="0"/>
          <w:bCs/>
          <w:i/>
        </w:rPr>
        <w:t>Equation 4</w:t>
      </w:r>
      <w:r w:rsidRPr="000B3A0D">
        <w:rPr>
          <w:b w:val="0"/>
          <w:bCs/>
        </w:rPr>
        <w:t>), and Mean Absolute Percentage Error (MAPE) (</w:t>
      </w:r>
      <w:r w:rsidRPr="000B3A0D">
        <w:rPr>
          <w:b w:val="0"/>
          <w:bCs/>
          <w:i/>
        </w:rPr>
        <w:t>Equation 5</w:t>
      </w:r>
      <w:r w:rsidRPr="000B3A0D">
        <w:rPr>
          <w:b w:val="0"/>
          <w:bCs/>
        </w:rPr>
        <w:t>) values for each dataset, including plots with 35 and 70 seeds m</w:t>
      </w:r>
      <w:r w:rsidRPr="000B3A0D">
        <w:rPr>
          <w:b w:val="0"/>
          <w:bCs/>
          <w:vertAlign w:val="superscript"/>
        </w:rPr>
        <w:t>-2</w:t>
      </w:r>
      <w:r w:rsidRPr="000B3A0D">
        <w:rPr>
          <w:b w:val="0"/>
          <w:bCs/>
        </w:rPr>
        <w:t xml:space="preserve"> sowing densities and the outlier outlined in Figure 5 circled in red.</w:t>
      </w:r>
    </w:p>
    <w:p w14:paraId="29F98275" w14:textId="77777777" w:rsidR="000B3A0D" w:rsidRPr="000B3A0D" w:rsidRDefault="000B3A0D">
      <w:pPr>
        <w:rPr>
          <w:rFonts w:asciiTheme="majorBidi" w:hAnsiTheme="majorBidi" w:cstheme="majorBidi"/>
        </w:rPr>
      </w:pPr>
    </w:p>
    <w:p w14:paraId="548C5ED1" w14:textId="77777777" w:rsidR="000B3A0D" w:rsidRPr="000B3A0D" w:rsidRDefault="000B3A0D" w:rsidP="000B3A0D">
      <w:pPr>
        <w:pStyle w:val="Caption"/>
        <w:rPr>
          <w:noProof/>
          <w:color w:val="000000" w:themeColor="text1"/>
        </w:rPr>
      </w:pPr>
      <w:bookmarkStart w:id="1" w:name="_Ref163555615"/>
      <w:r w:rsidRPr="000B3A0D">
        <w:t xml:space="preserve">Supplementary Figure </w:t>
      </w:r>
      <w:r w:rsidRPr="000B3A0D">
        <w:fldChar w:fldCharType="begin"/>
      </w:r>
      <w:r w:rsidRPr="000B3A0D">
        <w:instrText xml:space="preserve"> SEQ Supplementary_Figure \* ARABIC </w:instrText>
      </w:r>
      <w:r w:rsidRPr="000B3A0D">
        <w:fldChar w:fldCharType="separate"/>
      </w:r>
      <w:r w:rsidRPr="000B3A0D">
        <w:rPr>
          <w:noProof/>
        </w:rPr>
        <w:t>3</w:t>
      </w:r>
      <w:r w:rsidRPr="000B3A0D">
        <w:rPr>
          <w:noProof/>
        </w:rPr>
        <w:fldChar w:fldCharType="end"/>
      </w:r>
      <w:bookmarkEnd w:id="1"/>
      <w:r w:rsidRPr="000B3A0D">
        <w:t>.</w:t>
      </w:r>
      <w:r w:rsidRPr="000B3A0D">
        <w:rPr>
          <w:rFonts w:eastAsia="DengXian"/>
          <w:b w:val="0"/>
          <w:iCs w:val="0"/>
          <w:color w:val="000000"/>
          <w:kern w:val="24"/>
        </w:rPr>
        <w:t xml:space="preserve"> </w:t>
      </w:r>
      <w:r w:rsidRPr="000B3A0D">
        <w:rPr>
          <w:b w:val="0"/>
          <w:bCs/>
        </w:rPr>
        <w:t xml:space="preserve">Principal Component (PC) score plot combined with variable loading plot (i.e., Biplot) representing Vegetation Index data gathered during the 2023 season during Haun's stages 5.6 – 5.9. Every plot represents a different resolution dataset: </w:t>
      </w:r>
      <w:r w:rsidRPr="000B3A0D">
        <w:t>A)</w:t>
      </w:r>
      <w:r w:rsidRPr="000B3A0D">
        <w:rPr>
          <w:b w:val="0"/>
          <w:bCs/>
        </w:rPr>
        <w:t xml:space="preserve"> ground (0.03 cm pixel</w:t>
      </w:r>
      <w:r w:rsidRPr="000B3A0D">
        <w:rPr>
          <w:b w:val="0"/>
          <w:bCs/>
          <w:vertAlign w:val="superscript"/>
        </w:rPr>
        <w:t>-1</w:t>
      </w:r>
      <w:r w:rsidRPr="000B3A0D">
        <w:rPr>
          <w:b w:val="0"/>
          <w:bCs/>
        </w:rPr>
        <w:t xml:space="preserve">); </w:t>
      </w:r>
      <w:r w:rsidRPr="000B3A0D">
        <w:t>B)</w:t>
      </w:r>
      <w:r w:rsidRPr="000B3A0D">
        <w:rPr>
          <w:b w:val="0"/>
          <w:bCs/>
        </w:rPr>
        <w:t xml:space="preserve"> 15m (0.27 cm pixel</w:t>
      </w:r>
      <w:r w:rsidRPr="000B3A0D">
        <w:rPr>
          <w:b w:val="0"/>
          <w:bCs/>
          <w:vertAlign w:val="superscript"/>
        </w:rPr>
        <w:t>-1</w:t>
      </w:r>
      <w:r w:rsidRPr="000B3A0D">
        <w:rPr>
          <w:b w:val="0"/>
          <w:bCs/>
        </w:rPr>
        <w:t xml:space="preserve">); </w:t>
      </w:r>
      <w:r w:rsidRPr="000B3A0D">
        <w:t>C)</w:t>
      </w:r>
      <w:r w:rsidRPr="000B3A0D">
        <w:rPr>
          <w:b w:val="0"/>
          <w:bCs/>
        </w:rPr>
        <w:t xml:space="preserve"> 30m (0.53 cm pixel</w:t>
      </w:r>
      <w:r w:rsidRPr="000B3A0D">
        <w:rPr>
          <w:b w:val="0"/>
          <w:bCs/>
          <w:vertAlign w:val="superscript"/>
        </w:rPr>
        <w:t>-1</w:t>
      </w:r>
      <w:r w:rsidRPr="000B3A0D">
        <w:rPr>
          <w:b w:val="0"/>
          <w:bCs/>
        </w:rPr>
        <w:t xml:space="preserve">); </w:t>
      </w:r>
      <w:r w:rsidRPr="000B3A0D">
        <w:t>D)</w:t>
      </w:r>
      <w:r w:rsidRPr="000B3A0D">
        <w:rPr>
          <w:b w:val="0"/>
          <w:bCs/>
        </w:rPr>
        <w:t xml:space="preserve"> 50m (0.89 cm pixel</w:t>
      </w:r>
      <w:r w:rsidRPr="000B3A0D">
        <w:rPr>
          <w:b w:val="0"/>
          <w:bCs/>
          <w:vertAlign w:val="superscript"/>
        </w:rPr>
        <w:t>-1</w:t>
      </w:r>
      <w:r w:rsidRPr="000B3A0D">
        <w:rPr>
          <w:b w:val="0"/>
          <w:bCs/>
        </w:rPr>
        <w:t>).  In the header, PC X corresponds to the number of PCs used for training the Principal Component Regression model, selected using the Guttman-Kaiser criterion, and the percentage denotes the amount of variability present in the data explained by them. Each data point corresponds to a single plot in the experiment, colored and shaped according to the sowing density (seeds m</w:t>
      </w:r>
      <w:r w:rsidRPr="000B3A0D">
        <w:rPr>
          <w:b w:val="0"/>
          <w:bCs/>
          <w:vertAlign w:val="superscript"/>
        </w:rPr>
        <w:t>-2</w:t>
      </w:r>
      <w:r w:rsidRPr="000B3A0D">
        <w:rPr>
          <w:b w:val="0"/>
          <w:bCs/>
        </w:rPr>
        <w:t>) and Genotype, respectively. (-) determines uncharacterized genotype and (MEZCLA) a mix of genotypes.</w:t>
      </w:r>
    </w:p>
    <w:p w14:paraId="4CD2F84C" w14:textId="77777777" w:rsidR="000B3A0D" w:rsidRPr="000B3A0D" w:rsidRDefault="000B3A0D">
      <w:pPr>
        <w:rPr>
          <w:rFonts w:asciiTheme="majorBidi" w:hAnsiTheme="majorBidi" w:cstheme="majorBidi"/>
        </w:rPr>
      </w:pPr>
    </w:p>
    <w:sectPr w:rsidR="000B3A0D" w:rsidRPr="000B3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A0D"/>
    <w:rsid w:val="00063058"/>
    <w:rsid w:val="000A3867"/>
    <w:rsid w:val="000B3A0D"/>
    <w:rsid w:val="00571631"/>
    <w:rsid w:val="00963245"/>
    <w:rsid w:val="00BE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E4884"/>
  <w15:chartTrackingRefBased/>
  <w15:docId w15:val="{22C8EF81-3885-4FE6-B639-E9C056D27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A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A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A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A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A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A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A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A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A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A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A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A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A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A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A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A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A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A0D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B3A0D"/>
    <w:pPr>
      <w:keepNext/>
      <w:spacing w:after="14" w:line="240" w:lineRule="auto"/>
      <w:contextualSpacing/>
      <w:jc w:val="both"/>
    </w:pPr>
    <w:rPr>
      <w:rFonts w:asciiTheme="majorBidi" w:eastAsiaTheme="minorEastAsia" w:hAnsiTheme="majorBidi" w:cstheme="majorBidi"/>
      <w:b/>
      <w:iCs/>
      <w:kern w:val="0"/>
      <w:lang w:val="en-US" w:eastAsia="zh-CN" w:bidi="ar-SA"/>
    </w:rPr>
  </w:style>
  <w:style w:type="character" w:customStyle="1" w:styleId="cf01">
    <w:name w:val="cf01"/>
    <w:basedOn w:val="DefaultParagraphFont"/>
    <w:rsid w:val="000B3A0D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DefaultParagraphFont"/>
    <w:rsid w:val="000B3A0D"/>
    <w:rPr>
      <w:rFonts w:ascii="Segoe UI" w:hAnsi="Segoe UI" w:cs="Segoe UI" w:hint="default"/>
      <w:sz w:val="18"/>
      <w:szCs w:val="18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JAUREGUI BESÓ</dc:creator>
  <cp:keywords/>
  <dc:description/>
  <cp:lastModifiedBy>JARA JAUREGUI BESÓ</cp:lastModifiedBy>
  <cp:revision>1</cp:revision>
  <dcterms:created xsi:type="dcterms:W3CDTF">2024-11-14T12:01:00Z</dcterms:created>
  <dcterms:modified xsi:type="dcterms:W3CDTF">2024-11-14T12:02:00Z</dcterms:modified>
</cp:coreProperties>
</file>