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74AE" w:rsidRPr="000F74AE" w:rsidRDefault="000F74AE" w:rsidP="000F74AE">
      <w:pPr>
        <w:spacing w:after="0" w:line="240" w:lineRule="auto"/>
        <w:outlineLvl w:val="3"/>
        <w:rPr>
          <w:rFonts w:ascii="Segoe UI" w:eastAsia="Times New Roman" w:hAnsi="Segoe UI" w:cs="Segoe UI"/>
          <w:b/>
          <w:bCs/>
          <w:sz w:val="36"/>
          <w:szCs w:val="36"/>
          <w:lang w:val="en-US" w:eastAsia="es-ES"/>
        </w:rPr>
      </w:pPr>
      <w:r w:rsidRPr="000F74AE">
        <w:rPr>
          <w:rFonts w:ascii="Segoe UI" w:eastAsia="Times New Roman" w:hAnsi="Segoe UI" w:cs="Segoe UI"/>
          <w:b/>
          <w:bCs/>
          <w:sz w:val="36"/>
          <w:szCs w:val="36"/>
          <w:lang w:val="en-US" w:eastAsia="es-ES"/>
        </w:rPr>
        <w:t>Guidelines</w:t>
      </w:r>
      <w:r w:rsidR="005A518E">
        <w:rPr>
          <w:rFonts w:ascii="Segoe UI" w:eastAsia="Times New Roman" w:hAnsi="Segoe UI" w:cs="Segoe UI"/>
          <w:b/>
          <w:bCs/>
          <w:sz w:val="36"/>
          <w:szCs w:val="36"/>
          <w:lang w:val="en-US" w:eastAsia="es-ES"/>
        </w:rPr>
        <w:t>:</w:t>
      </w:r>
    </w:p>
    <w:p w:rsidR="000F74AE" w:rsidRPr="000F74AE" w:rsidRDefault="000F74AE" w:rsidP="000F74AE">
      <w:pPr>
        <w:spacing w:before="100" w:beforeAutospacing="1" w:after="300" w:line="240" w:lineRule="auto"/>
        <w:rPr>
          <w:rFonts w:ascii="Times New Roman" w:eastAsia="Times New Roman" w:hAnsi="Times New Roman" w:cs="Times New Roman"/>
          <w:sz w:val="24"/>
          <w:szCs w:val="24"/>
          <w:lang w:val="en-US" w:eastAsia="es-ES"/>
        </w:rPr>
      </w:pPr>
      <w:r w:rsidRPr="005A518E">
        <w:rPr>
          <w:rFonts w:ascii="Times New Roman" w:eastAsia="Times New Roman" w:hAnsi="Times New Roman" w:cs="Times New Roman"/>
          <w:b/>
          <w:bCs/>
          <w:sz w:val="24"/>
          <w:szCs w:val="24"/>
          <w:lang w:val="en-US" w:eastAsia="es-ES"/>
        </w:rPr>
        <w:t>For Authors: </w:t>
      </w:r>
      <w:r w:rsidRPr="000F74AE">
        <w:rPr>
          <w:rFonts w:ascii="Times New Roman" w:eastAsia="Times New Roman" w:hAnsi="Times New Roman" w:cs="Times New Roman"/>
          <w:sz w:val="24"/>
          <w:szCs w:val="24"/>
          <w:lang w:val="en-US" w:eastAsia="es-ES"/>
        </w:rPr>
        <w:br/>
      </w:r>
      <w:r w:rsidRPr="000F74AE">
        <w:rPr>
          <w:rFonts w:ascii="Calibri" w:eastAsia="Times New Roman" w:hAnsi="Calibri" w:cs="Calibri"/>
          <w:sz w:val="24"/>
          <w:szCs w:val="24"/>
          <w:lang w:val="en-US" w:eastAsia="es-ES"/>
        </w:rPr>
        <w:t xml:space="preserve">At least one author of each accepted paper must be registered before </w:t>
      </w:r>
      <w:r w:rsidRPr="005A518E">
        <w:rPr>
          <w:rFonts w:ascii="Calibri" w:eastAsia="Times New Roman" w:hAnsi="Calibri" w:cs="Calibri"/>
          <w:sz w:val="24"/>
          <w:szCs w:val="24"/>
          <w:lang w:val="en-US" w:eastAsia="es-ES"/>
        </w:rPr>
        <w:t>August 30</w:t>
      </w:r>
      <w:r w:rsidRPr="005A518E">
        <w:rPr>
          <w:rFonts w:ascii="Calibri" w:eastAsia="Times New Roman" w:hAnsi="Calibri" w:cs="Calibri"/>
          <w:sz w:val="24"/>
          <w:szCs w:val="24"/>
          <w:vertAlign w:val="superscript"/>
          <w:lang w:val="en-US" w:eastAsia="es-ES"/>
        </w:rPr>
        <w:t xml:space="preserve">th </w:t>
      </w:r>
      <w:r w:rsidRPr="000F74AE">
        <w:rPr>
          <w:rFonts w:ascii="Calibri" w:eastAsia="Times New Roman" w:hAnsi="Calibri" w:cs="Calibri"/>
          <w:sz w:val="24"/>
          <w:szCs w:val="24"/>
          <w:lang w:val="en-US" w:eastAsia="es-ES"/>
        </w:rPr>
        <w:t>to ensure its inclusion in the conference proceedings and to schedule it for presentation, otherwise the papers will not be published.</w:t>
      </w:r>
    </w:p>
    <w:p w:rsidR="000F74AE" w:rsidRPr="000F74AE" w:rsidRDefault="000F74AE" w:rsidP="000F74AE">
      <w:pPr>
        <w:spacing w:before="100" w:beforeAutospacing="1" w:after="300" w:line="240" w:lineRule="auto"/>
        <w:rPr>
          <w:rFonts w:ascii="Times New Roman" w:eastAsia="Times New Roman" w:hAnsi="Times New Roman" w:cs="Times New Roman"/>
          <w:sz w:val="24"/>
          <w:szCs w:val="24"/>
          <w:lang w:val="en-US" w:eastAsia="es-ES"/>
        </w:rPr>
      </w:pPr>
      <w:r w:rsidRPr="000F74AE">
        <w:rPr>
          <w:rFonts w:ascii="Times New Roman" w:eastAsia="Times New Roman" w:hAnsi="Times New Roman" w:cs="Times New Roman"/>
          <w:b/>
          <w:bCs/>
          <w:sz w:val="24"/>
          <w:szCs w:val="24"/>
          <w:lang w:val="en-US" w:eastAsia="es-ES"/>
        </w:rPr>
        <w:t>Publication and Presentation Limit:</w:t>
      </w:r>
      <w:r w:rsidRPr="000F74AE">
        <w:rPr>
          <w:rFonts w:ascii="Times New Roman" w:eastAsia="Times New Roman" w:hAnsi="Times New Roman" w:cs="Times New Roman"/>
          <w:sz w:val="24"/>
          <w:szCs w:val="24"/>
          <w:lang w:val="en-US" w:eastAsia="es-ES"/>
        </w:rPr>
        <w:t> For each registration, a maximum of one article will be published and presented. If authors wish to present more than one article, they must pay an additional fee for each extra article, with a limit of one additional article.</w:t>
      </w:r>
    </w:p>
    <w:p w:rsidR="000F74AE" w:rsidRPr="000F74AE" w:rsidRDefault="000F74AE" w:rsidP="000F74AE">
      <w:pPr>
        <w:spacing w:before="100" w:beforeAutospacing="1" w:after="300" w:line="240" w:lineRule="auto"/>
        <w:rPr>
          <w:rFonts w:ascii="Times New Roman" w:eastAsia="Times New Roman" w:hAnsi="Times New Roman" w:cs="Times New Roman"/>
          <w:sz w:val="24"/>
          <w:szCs w:val="24"/>
          <w:lang w:val="en-US" w:eastAsia="es-ES"/>
        </w:rPr>
      </w:pPr>
      <w:r w:rsidRPr="000F74AE">
        <w:rPr>
          <w:rFonts w:ascii="Times New Roman" w:eastAsia="Times New Roman" w:hAnsi="Times New Roman" w:cs="Times New Roman"/>
          <w:b/>
          <w:bCs/>
          <w:sz w:val="24"/>
          <w:szCs w:val="24"/>
          <w:lang w:val="en-US" w:eastAsia="es-ES"/>
        </w:rPr>
        <w:t>Individual Participation: </w:t>
      </w:r>
      <w:r w:rsidRPr="000F74AE">
        <w:rPr>
          <w:rFonts w:ascii="Times New Roman" w:eastAsia="Times New Roman" w:hAnsi="Times New Roman" w:cs="Times New Roman"/>
          <w:sz w:val="24"/>
          <w:szCs w:val="24"/>
          <w:lang w:val="en-US" w:eastAsia="es-ES"/>
        </w:rPr>
        <w:t>One registration provides participation in the conference for only one person. If multiple authors wish to attend, each must register individually.</w:t>
      </w:r>
    </w:p>
    <w:p w:rsidR="000F74AE" w:rsidRPr="000F74AE" w:rsidRDefault="000F74AE" w:rsidP="000F74AE">
      <w:pPr>
        <w:spacing w:before="100" w:beforeAutospacing="1" w:after="300" w:line="240" w:lineRule="auto"/>
        <w:rPr>
          <w:rFonts w:ascii="Times New Roman" w:eastAsia="Times New Roman" w:hAnsi="Times New Roman" w:cs="Times New Roman"/>
          <w:sz w:val="24"/>
          <w:szCs w:val="24"/>
          <w:lang w:val="en-US" w:eastAsia="es-ES"/>
        </w:rPr>
      </w:pPr>
      <w:r w:rsidRPr="000F74AE">
        <w:rPr>
          <w:rFonts w:ascii="Times New Roman" w:eastAsia="Times New Roman" w:hAnsi="Times New Roman" w:cs="Times New Roman"/>
          <w:b/>
          <w:bCs/>
          <w:sz w:val="24"/>
          <w:szCs w:val="24"/>
          <w:lang w:val="en-US" w:eastAsia="es-ES"/>
        </w:rPr>
        <w:t>Conference Registration: </w:t>
      </w:r>
      <w:r w:rsidR="004E1705" w:rsidRPr="005A518E">
        <w:rPr>
          <w:rFonts w:ascii="Times New Roman" w:eastAsia="Times New Roman" w:hAnsi="Times New Roman" w:cs="Times New Roman"/>
          <w:sz w:val="24"/>
          <w:szCs w:val="24"/>
          <w:lang w:val="en-US" w:eastAsia="es-ES"/>
        </w:rPr>
        <w:t>Your registration grants you access to all conference sessions and exhibits, as well as the conference dinner, welcome cocktail, and lunch during the conference. You will also receive all conference documentation, including the program and proceedings. Please note that one tutorial is included in the registration. Additional tutorials and pre-conference workshops are available for an extra fee, as specified in the registration fee table, and are subject to venue capacity. If you register during the conference, the dinner event, lunch during the conference, souvenirs, and conference kit are subject to availability.</w:t>
      </w:r>
      <w:bookmarkStart w:id="0" w:name="_GoBack"/>
      <w:bookmarkEnd w:id="0"/>
    </w:p>
    <w:p w:rsidR="000F74AE" w:rsidRPr="000F74AE" w:rsidRDefault="000F74AE" w:rsidP="000F74AE">
      <w:pPr>
        <w:spacing w:before="100" w:beforeAutospacing="1" w:after="300" w:line="240" w:lineRule="auto"/>
        <w:rPr>
          <w:rFonts w:ascii="Times New Roman" w:eastAsia="Times New Roman" w:hAnsi="Times New Roman" w:cs="Times New Roman"/>
          <w:sz w:val="24"/>
          <w:szCs w:val="24"/>
          <w:lang w:val="en-US" w:eastAsia="es-ES"/>
        </w:rPr>
      </w:pPr>
      <w:r w:rsidRPr="000F74AE">
        <w:rPr>
          <w:rFonts w:ascii="Times New Roman" w:eastAsia="Times New Roman" w:hAnsi="Times New Roman" w:cs="Times New Roman"/>
          <w:b/>
          <w:bCs/>
          <w:sz w:val="24"/>
          <w:szCs w:val="24"/>
          <w:lang w:val="en-US" w:eastAsia="es-ES"/>
        </w:rPr>
        <w:t>Important:</w:t>
      </w:r>
    </w:p>
    <w:p w:rsidR="000F74AE" w:rsidRPr="000F74AE" w:rsidRDefault="004E1705" w:rsidP="00612337">
      <w:pPr>
        <w:spacing w:before="100" w:beforeAutospacing="1" w:after="300" w:line="240" w:lineRule="auto"/>
        <w:jc w:val="both"/>
        <w:rPr>
          <w:rFonts w:ascii="Times New Roman" w:eastAsia="Times New Roman" w:hAnsi="Times New Roman" w:cs="Times New Roman"/>
          <w:sz w:val="24"/>
          <w:szCs w:val="24"/>
          <w:lang w:val="en-US" w:eastAsia="es-ES"/>
        </w:rPr>
      </w:pPr>
      <w:r w:rsidRPr="005A518E">
        <w:rPr>
          <w:rFonts w:ascii="Times New Roman" w:eastAsia="Times New Roman" w:hAnsi="Times New Roman" w:cs="Times New Roman"/>
          <w:sz w:val="24"/>
          <w:szCs w:val="24"/>
          <w:lang w:val="en-US" w:eastAsia="es-ES"/>
        </w:rPr>
        <w:t>This edition of the conference allows the option of hybrid attendance. This virtual option will allow those interested to enjoy the technical presentations from the comfort of their homes or offices. We kindly inform that, due to the virtual nature of this modality, participants who choose to register online will not have access to the meals, lunches, gala dinner, souvenirs, or conference kit scheduled or provided for those attending in person. This decision has been made in order to maintain the quality of the congress due to organizational issues, space adaptation, and the need to provide the best possible accommodations for onsite attendees.</w:t>
      </w:r>
    </w:p>
    <w:p w:rsidR="000F74AE" w:rsidRPr="000F74AE" w:rsidRDefault="000F74AE" w:rsidP="00612337">
      <w:pPr>
        <w:spacing w:before="100" w:beforeAutospacing="1" w:after="300" w:line="240" w:lineRule="auto"/>
        <w:jc w:val="both"/>
        <w:rPr>
          <w:rFonts w:ascii="Times New Roman" w:eastAsia="Times New Roman" w:hAnsi="Times New Roman" w:cs="Times New Roman"/>
          <w:sz w:val="24"/>
          <w:szCs w:val="24"/>
          <w:lang w:val="en-US" w:eastAsia="es-ES"/>
        </w:rPr>
      </w:pPr>
      <w:r w:rsidRPr="000F74AE">
        <w:rPr>
          <w:rFonts w:ascii="Times New Roman" w:eastAsia="Times New Roman" w:hAnsi="Times New Roman" w:cs="Times New Roman"/>
          <w:sz w:val="24"/>
          <w:szCs w:val="24"/>
          <w:lang w:val="en-US" w:eastAsia="es-ES"/>
        </w:rPr>
        <w:t>Please be aware that there is a 20% cap on attendance for the hybrid mode. Specifically,</w:t>
      </w:r>
      <w:r w:rsidRPr="000F74AE">
        <w:rPr>
          <w:rFonts w:ascii="Times New Roman" w:eastAsia="Times New Roman" w:hAnsi="Times New Roman" w:cs="Times New Roman"/>
          <w:sz w:val="24"/>
          <w:szCs w:val="24"/>
          <w:lang w:val="en-US" w:eastAsia="es-ES"/>
        </w:rPr>
        <w:br/>
        <w:t>the first 20% of registrations will be prioritized for virtual presentation options, ensuring access to those who prefer or need to participate remotely.</w:t>
      </w:r>
    </w:p>
    <w:p w:rsidR="000F74AE" w:rsidRPr="000F74AE" w:rsidRDefault="000F74AE" w:rsidP="00612337">
      <w:pPr>
        <w:spacing w:before="100" w:beforeAutospacing="1" w:after="300" w:line="240" w:lineRule="auto"/>
        <w:jc w:val="both"/>
        <w:rPr>
          <w:rFonts w:ascii="Times New Roman" w:eastAsia="Times New Roman" w:hAnsi="Times New Roman" w:cs="Times New Roman"/>
          <w:sz w:val="24"/>
          <w:szCs w:val="24"/>
          <w:lang w:val="en-US" w:eastAsia="es-ES"/>
        </w:rPr>
      </w:pPr>
      <w:r w:rsidRPr="000F74AE">
        <w:rPr>
          <w:rFonts w:ascii="Times New Roman" w:eastAsia="Times New Roman" w:hAnsi="Times New Roman" w:cs="Times New Roman"/>
          <w:sz w:val="24"/>
          <w:szCs w:val="24"/>
          <w:lang w:val="en-US" w:eastAsia="es-ES"/>
        </w:rPr>
        <w:t>We are committed to providing an enriching experience and fostering collaboration and</w:t>
      </w:r>
      <w:r w:rsidRPr="000F74AE">
        <w:rPr>
          <w:rFonts w:ascii="Times New Roman" w:eastAsia="Times New Roman" w:hAnsi="Times New Roman" w:cs="Times New Roman"/>
          <w:sz w:val="24"/>
          <w:szCs w:val="24"/>
          <w:lang w:val="en-US" w:eastAsia="es-ES"/>
        </w:rPr>
        <w:br/>
        <w:t>learning among all participants, regardless of their choice of modality.</w:t>
      </w:r>
    </w:p>
    <w:p w:rsidR="000F74AE" w:rsidRPr="000F74AE" w:rsidRDefault="000F74AE" w:rsidP="00612337">
      <w:pPr>
        <w:spacing w:before="100" w:beforeAutospacing="1" w:after="300" w:line="240" w:lineRule="auto"/>
        <w:jc w:val="both"/>
        <w:rPr>
          <w:rFonts w:ascii="Times New Roman" w:eastAsia="Times New Roman" w:hAnsi="Times New Roman" w:cs="Times New Roman"/>
          <w:sz w:val="24"/>
          <w:szCs w:val="24"/>
          <w:lang w:val="en-US" w:eastAsia="es-ES"/>
        </w:rPr>
      </w:pPr>
      <w:r w:rsidRPr="000F74AE">
        <w:rPr>
          <w:rFonts w:ascii="Calibri" w:eastAsia="Times New Roman" w:hAnsi="Calibri" w:cs="Calibri"/>
          <w:sz w:val="24"/>
          <w:szCs w:val="24"/>
          <w:lang w:val="en-US" w:eastAsia="es-ES"/>
        </w:rPr>
        <w:t>Remember that it is the responsibility of the author who will present the article(s) to send the following to be considered in the schedule:</w:t>
      </w:r>
    </w:p>
    <w:p w:rsidR="000F74AE" w:rsidRPr="000F74AE" w:rsidRDefault="000F74AE" w:rsidP="000F74AE">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es-ES"/>
        </w:rPr>
      </w:pPr>
      <w:r w:rsidRPr="000F74AE">
        <w:rPr>
          <w:rFonts w:ascii="Times New Roman" w:eastAsia="Times New Roman" w:hAnsi="Times New Roman" w:cs="Times New Roman"/>
          <w:sz w:val="24"/>
          <w:szCs w:val="24"/>
          <w:lang w:val="en-US" w:eastAsia="es-ES"/>
        </w:rPr>
        <w:t>Receipt of payment in the registra</w:t>
      </w:r>
      <w:r w:rsidR="004E1705" w:rsidRPr="005A518E">
        <w:rPr>
          <w:rFonts w:ascii="Times New Roman" w:eastAsia="Times New Roman" w:hAnsi="Times New Roman" w:cs="Times New Roman"/>
          <w:sz w:val="24"/>
          <w:szCs w:val="24"/>
          <w:lang w:val="en-US" w:eastAsia="es-ES"/>
        </w:rPr>
        <w:t>tion platform until September 27</w:t>
      </w:r>
      <w:r w:rsidRPr="000F74AE">
        <w:rPr>
          <w:rFonts w:ascii="Times New Roman" w:eastAsia="Times New Roman" w:hAnsi="Times New Roman" w:cs="Times New Roman"/>
          <w:sz w:val="24"/>
          <w:szCs w:val="24"/>
          <w:lang w:val="en-US" w:eastAsia="es-ES"/>
        </w:rPr>
        <w:t>th (link here).</w:t>
      </w:r>
    </w:p>
    <w:p w:rsidR="000F74AE" w:rsidRPr="000F74AE" w:rsidRDefault="000F74AE" w:rsidP="000F74AE">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es-ES"/>
        </w:rPr>
      </w:pPr>
      <w:r w:rsidRPr="000F74AE">
        <w:rPr>
          <w:rFonts w:ascii="Times New Roman" w:eastAsia="Times New Roman" w:hAnsi="Times New Roman" w:cs="Times New Roman"/>
          <w:sz w:val="24"/>
          <w:szCs w:val="24"/>
          <w:lang w:val="en-US" w:eastAsia="es-ES"/>
        </w:rPr>
        <w:t xml:space="preserve">Final version of the article following the Camera </w:t>
      </w:r>
      <w:r w:rsidR="004E1705" w:rsidRPr="005A518E">
        <w:rPr>
          <w:rFonts w:ascii="Times New Roman" w:eastAsia="Times New Roman" w:hAnsi="Times New Roman" w:cs="Times New Roman"/>
          <w:sz w:val="24"/>
          <w:szCs w:val="24"/>
          <w:lang w:val="en-US" w:eastAsia="es-ES"/>
        </w:rPr>
        <w:t>Ready guidelines until August 23</w:t>
      </w:r>
      <w:r w:rsidRPr="000F74AE">
        <w:rPr>
          <w:rFonts w:ascii="Times New Roman" w:eastAsia="Times New Roman" w:hAnsi="Times New Roman" w:cs="Times New Roman"/>
          <w:sz w:val="24"/>
          <w:szCs w:val="24"/>
          <w:lang w:val="en-US" w:eastAsia="es-ES"/>
        </w:rPr>
        <w:t>th (link here).</w:t>
      </w:r>
    </w:p>
    <w:p w:rsidR="000F74AE" w:rsidRPr="000F74AE" w:rsidRDefault="000F74AE" w:rsidP="000F74AE">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es-ES"/>
        </w:rPr>
      </w:pPr>
      <w:r w:rsidRPr="000F74AE">
        <w:rPr>
          <w:rFonts w:ascii="Times New Roman" w:eastAsia="Times New Roman" w:hAnsi="Times New Roman" w:cs="Times New Roman"/>
          <w:sz w:val="24"/>
          <w:szCs w:val="24"/>
          <w:lang w:val="en-US" w:eastAsia="es-ES"/>
        </w:rPr>
        <w:lastRenderedPageBreak/>
        <w:t>Presentations in .</w:t>
      </w:r>
      <w:proofErr w:type="spellStart"/>
      <w:r w:rsidRPr="000F74AE">
        <w:rPr>
          <w:rFonts w:ascii="Times New Roman" w:eastAsia="Times New Roman" w:hAnsi="Times New Roman" w:cs="Times New Roman"/>
          <w:sz w:val="24"/>
          <w:szCs w:val="24"/>
          <w:lang w:val="en-US" w:eastAsia="es-ES"/>
        </w:rPr>
        <w:t>ppt</w:t>
      </w:r>
      <w:proofErr w:type="spellEnd"/>
      <w:r w:rsidRPr="000F74AE">
        <w:rPr>
          <w:rFonts w:ascii="Times New Roman" w:eastAsia="Times New Roman" w:hAnsi="Times New Roman" w:cs="Times New Roman"/>
          <w:sz w:val="24"/>
          <w:szCs w:val="24"/>
          <w:lang w:val="en-US" w:eastAsia="es-ES"/>
        </w:rPr>
        <w:t xml:space="preserve"> or .</w:t>
      </w:r>
      <w:proofErr w:type="spellStart"/>
      <w:r w:rsidRPr="000F74AE">
        <w:rPr>
          <w:rFonts w:ascii="Times New Roman" w:eastAsia="Times New Roman" w:hAnsi="Times New Roman" w:cs="Times New Roman"/>
          <w:sz w:val="24"/>
          <w:szCs w:val="24"/>
          <w:lang w:val="en-US" w:eastAsia="es-ES"/>
        </w:rPr>
        <w:t>pptx</w:t>
      </w:r>
      <w:proofErr w:type="spellEnd"/>
      <w:r w:rsidRPr="000F74AE">
        <w:rPr>
          <w:rFonts w:ascii="Times New Roman" w:eastAsia="Times New Roman" w:hAnsi="Times New Roman" w:cs="Times New Roman"/>
          <w:sz w:val="24"/>
          <w:szCs w:val="24"/>
          <w:lang w:val="en-US" w:eastAsia="es-ES"/>
        </w:rPr>
        <w:t xml:space="preserve"> format until October </w:t>
      </w:r>
      <w:r w:rsidR="004E1705" w:rsidRPr="005A518E">
        <w:rPr>
          <w:rFonts w:ascii="Times New Roman" w:eastAsia="Times New Roman" w:hAnsi="Times New Roman" w:cs="Times New Roman"/>
          <w:sz w:val="24"/>
          <w:szCs w:val="24"/>
          <w:lang w:val="en-US" w:eastAsia="es-ES"/>
        </w:rPr>
        <w:t>11</w:t>
      </w:r>
      <w:r w:rsidRPr="000F74AE">
        <w:rPr>
          <w:rFonts w:ascii="Times New Roman" w:eastAsia="Times New Roman" w:hAnsi="Times New Roman" w:cs="Times New Roman"/>
          <w:sz w:val="24"/>
          <w:szCs w:val="24"/>
          <w:lang w:val="en-US" w:eastAsia="es-ES"/>
        </w:rPr>
        <w:t xml:space="preserve"> at the following link (link here).</w:t>
      </w:r>
    </w:p>
    <w:p w:rsidR="000F74AE" w:rsidRPr="000F74AE" w:rsidRDefault="000F74AE" w:rsidP="000F74AE">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es-ES"/>
        </w:rPr>
      </w:pPr>
      <w:r w:rsidRPr="000F74AE">
        <w:rPr>
          <w:rFonts w:ascii="Times New Roman" w:eastAsia="Times New Roman" w:hAnsi="Times New Roman" w:cs="Times New Roman"/>
          <w:sz w:val="24"/>
          <w:szCs w:val="24"/>
          <w:lang w:val="en-US" w:eastAsia="es-ES"/>
        </w:rPr>
        <w:t>The author must check in the schedule the day, time and modality that will be in Program (upcoming section).</w:t>
      </w:r>
    </w:p>
    <w:p w:rsidR="000F74AE" w:rsidRPr="000F74AE" w:rsidRDefault="000F74AE" w:rsidP="000F74AE">
      <w:pPr>
        <w:spacing w:after="0" w:line="240" w:lineRule="auto"/>
        <w:outlineLvl w:val="3"/>
        <w:rPr>
          <w:rFonts w:ascii="Segoe UI" w:eastAsia="Times New Roman" w:hAnsi="Segoe UI" w:cs="Segoe UI"/>
          <w:b/>
          <w:bCs/>
          <w:sz w:val="36"/>
          <w:szCs w:val="36"/>
          <w:lang w:val="en-US" w:eastAsia="es-ES"/>
        </w:rPr>
      </w:pPr>
      <w:r w:rsidRPr="000F74AE">
        <w:rPr>
          <w:rFonts w:ascii="Segoe UI" w:eastAsia="Times New Roman" w:hAnsi="Segoe UI" w:cs="Segoe UI"/>
          <w:b/>
          <w:bCs/>
          <w:sz w:val="36"/>
          <w:szCs w:val="36"/>
          <w:lang w:val="en-US" w:eastAsia="es-ES"/>
        </w:rPr>
        <w:t>Publication Policy</w:t>
      </w:r>
      <w:r w:rsidR="005A518E">
        <w:rPr>
          <w:rFonts w:ascii="Segoe UI" w:eastAsia="Times New Roman" w:hAnsi="Segoe UI" w:cs="Segoe UI"/>
          <w:b/>
          <w:bCs/>
          <w:sz w:val="36"/>
          <w:szCs w:val="36"/>
          <w:lang w:val="en-US" w:eastAsia="es-ES"/>
        </w:rPr>
        <w:t>:</w:t>
      </w:r>
    </w:p>
    <w:p w:rsidR="000F74AE" w:rsidRPr="000F74AE" w:rsidRDefault="000F74AE" w:rsidP="005A518E">
      <w:pPr>
        <w:spacing w:before="100" w:beforeAutospacing="1" w:after="300" w:line="240" w:lineRule="auto"/>
        <w:jc w:val="both"/>
        <w:rPr>
          <w:rFonts w:ascii="Times New Roman" w:eastAsia="Times New Roman" w:hAnsi="Times New Roman" w:cs="Times New Roman"/>
          <w:sz w:val="24"/>
          <w:szCs w:val="24"/>
          <w:lang w:val="en-US" w:eastAsia="es-ES"/>
        </w:rPr>
      </w:pPr>
      <w:r w:rsidRPr="000F74AE">
        <w:rPr>
          <w:rFonts w:ascii="Times New Roman" w:eastAsia="Times New Roman" w:hAnsi="Times New Roman" w:cs="Times New Roman"/>
          <w:sz w:val="24"/>
          <w:szCs w:val="24"/>
          <w:lang w:val="en-US" w:eastAsia="es-ES"/>
        </w:rPr>
        <w:t>To be published in the IEEE ETCM 202</w:t>
      </w:r>
      <w:r w:rsidR="005A518E">
        <w:rPr>
          <w:rFonts w:ascii="Times New Roman" w:eastAsia="Times New Roman" w:hAnsi="Times New Roman" w:cs="Times New Roman"/>
          <w:sz w:val="24"/>
          <w:szCs w:val="24"/>
          <w:lang w:val="en-US" w:eastAsia="es-ES"/>
        </w:rPr>
        <w:t>6</w:t>
      </w:r>
      <w:r w:rsidRPr="000F74AE">
        <w:rPr>
          <w:rFonts w:ascii="Times New Roman" w:eastAsia="Times New Roman" w:hAnsi="Times New Roman" w:cs="Times New Roman"/>
          <w:sz w:val="24"/>
          <w:szCs w:val="24"/>
          <w:lang w:val="en-US" w:eastAsia="es-ES"/>
        </w:rPr>
        <w:t xml:space="preserve"> Conference Proceeding and to be eligible for publication in IEEE </w:t>
      </w:r>
      <w:proofErr w:type="spellStart"/>
      <w:r w:rsidRPr="000F74AE">
        <w:rPr>
          <w:rFonts w:ascii="Times New Roman" w:eastAsia="Times New Roman" w:hAnsi="Times New Roman" w:cs="Times New Roman"/>
          <w:sz w:val="24"/>
          <w:szCs w:val="24"/>
          <w:lang w:val="en-US" w:eastAsia="es-ES"/>
        </w:rPr>
        <w:t>Xplore</w:t>
      </w:r>
      <w:proofErr w:type="spellEnd"/>
      <w:r w:rsidRPr="000F74AE">
        <w:rPr>
          <w:rFonts w:ascii="Times New Roman" w:eastAsia="Times New Roman" w:hAnsi="Times New Roman" w:cs="Times New Roman"/>
          <w:sz w:val="24"/>
          <w:szCs w:val="24"/>
          <w:lang w:val="en-US" w:eastAsia="es-ES"/>
        </w:rPr>
        <w:t>, an author of an accepted paper is required to register for the conference at the R1 or R2 registration rate and the paper must be presented by an author of the paper at the conference unless the TPC Chair grants permission for a substitute presenter in advance of the event and who is qualified both to present and answer questions.</w:t>
      </w:r>
    </w:p>
    <w:p w:rsidR="000F74AE" w:rsidRPr="000F74AE" w:rsidRDefault="000F74AE" w:rsidP="000F74AE">
      <w:pPr>
        <w:spacing w:before="100" w:beforeAutospacing="1" w:after="300" w:line="240" w:lineRule="auto"/>
        <w:rPr>
          <w:rFonts w:ascii="Times New Roman" w:eastAsia="Times New Roman" w:hAnsi="Times New Roman" w:cs="Times New Roman"/>
          <w:sz w:val="24"/>
          <w:szCs w:val="24"/>
          <w:lang w:val="en-US" w:eastAsia="es-ES"/>
        </w:rPr>
      </w:pPr>
      <w:r w:rsidRPr="000F74AE">
        <w:rPr>
          <w:rFonts w:ascii="Times New Roman" w:eastAsia="Times New Roman" w:hAnsi="Times New Roman" w:cs="Times New Roman"/>
          <w:b/>
          <w:bCs/>
          <w:sz w:val="24"/>
          <w:szCs w:val="24"/>
          <w:lang w:val="en-US" w:eastAsia="es-ES"/>
        </w:rPr>
        <w:t>To be invoiced in Ecuador you must first register (select Deposit or Wire Transfer to the Ecuadorian Account as payment method) and forward the confirmation email to the IEEE Financial Chair with all details indicated in the registration site.</w:t>
      </w:r>
    </w:p>
    <w:p w:rsidR="000F74AE" w:rsidRPr="000F74AE" w:rsidRDefault="000F74AE" w:rsidP="000F74AE">
      <w:pPr>
        <w:spacing w:before="100" w:beforeAutospacing="1" w:after="300" w:line="240" w:lineRule="auto"/>
        <w:rPr>
          <w:rFonts w:ascii="Segoe UI" w:eastAsia="Times New Roman" w:hAnsi="Segoe UI" w:cs="Segoe UI"/>
          <w:b/>
          <w:bCs/>
          <w:sz w:val="36"/>
          <w:szCs w:val="36"/>
          <w:lang w:val="en-US" w:eastAsia="es-ES"/>
        </w:rPr>
      </w:pPr>
      <w:r w:rsidRPr="000F74AE">
        <w:rPr>
          <w:rFonts w:ascii="Segoe UI" w:eastAsia="Times New Roman" w:hAnsi="Segoe UI" w:cs="Segoe UI"/>
          <w:b/>
          <w:bCs/>
          <w:sz w:val="36"/>
          <w:szCs w:val="36"/>
          <w:lang w:val="en-US" w:eastAsia="es-ES"/>
        </w:rPr>
        <w:t>Payment Information:</w:t>
      </w:r>
    </w:p>
    <w:p w:rsidR="000F74AE" w:rsidRPr="000F74AE" w:rsidRDefault="000F74AE" w:rsidP="000F74AE">
      <w:pPr>
        <w:spacing w:before="100" w:beforeAutospacing="1" w:after="300" w:line="240" w:lineRule="auto"/>
        <w:rPr>
          <w:rFonts w:ascii="Times New Roman" w:eastAsia="Times New Roman" w:hAnsi="Times New Roman" w:cs="Times New Roman"/>
          <w:sz w:val="24"/>
          <w:szCs w:val="24"/>
          <w:lang w:val="en-US" w:eastAsia="es-ES"/>
        </w:rPr>
      </w:pPr>
      <w:r w:rsidRPr="000F74AE">
        <w:rPr>
          <w:rFonts w:ascii="Times New Roman" w:eastAsia="Times New Roman" w:hAnsi="Times New Roman" w:cs="Times New Roman"/>
          <w:sz w:val="24"/>
          <w:szCs w:val="24"/>
          <w:lang w:val="en-US" w:eastAsia="es-ES"/>
        </w:rPr>
        <w:t>Credit Card Payments: Please note that payments made with a credit card will incur an additional 6% fee for electronic banking services.</w:t>
      </w:r>
    </w:p>
    <w:p w:rsidR="000F74AE" w:rsidRDefault="000F74AE" w:rsidP="000F74AE">
      <w:pPr>
        <w:spacing w:before="100" w:beforeAutospacing="1" w:after="300" w:line="240" w:lineRule="auto"/>
        <w:rPr>
          <w:rFonts w:ascii="Times New Roman" w:eastAsia="Times New Roman" w:hAnsi="Times New Roman" w:cs="Times New Roman"/>
          <w:sz w:val="24"/>
          <w:szCs w:val="24"/>
          <w:lang w:val="en-US" w:eastAsia="es-ES"/>
        </w:rPr>
      </w:pPr>
      <w:r w:rsidRPr="000F74AE">
        <w:rPr>
          <w:rFonts w:ascii="Times New Roman" w:eastAsia="Times New Roman" w:hAnsi="Times New Roman" w:cs="Times New Roman"/>
          <w:sz w:val="24"/>
          <w:szCs w:val="24"/>
          <w:lang w:val="en-US" w:eastAsia="es-ES"/>
        </w:rPr>
        <w:t xml:space="preserve"> VAT Information: </w:t>
      </w:r>
      <w:r w:rsidR="009F2C9C" w:rsidRPr="005A518E">
        <w:rPr>
          <w:rFonts w:ascii="Times New Roman" w:eastAsia="Times New Roman" w:hAnsi="Times New Roman" w:cs="Times New Roman"/>
          <w:sz w:val="24"/>
          <w:szCs w:val="24"/>
          <w:lang w:val="en-US" w:eastAsia="es-ES"/>
        </w:rPr>
        <w:t>All fees are listed without VAT. A 15% VAT surcharge is applicable to any natural or legal person residing in Ecuador. Payment methods include bank transfer or credit card payment.</w:t>
      </w:r>
    </w:p>
    <w:p w:rsidR="00612337" w:rsidRPr="000F74AE" w:rsidRDefault="00612337" w:rsidP="00612337">
      <w:pPr>
        <w:spacing w:before="100" w:beforeAutospacing="1" w:after="300" w:line="240" w:lineRule="auto"/>
        <w:jc w:val="center"/>
        <w:rPr>
          <w:rFonts w:ascii="Times New Roman" w:eastAsia="Times New Roman" w:hAnsi="Times New Roman" w:cs="Times New Roman"/>
          <w:sz w:val="24"/>
          <w:szCs w:val="24"/>
          <w:lang w:val="en-US" w:eastAsia="es-ES"/>
        </w:rPr>
      </w:pPr>
      <w:r w:rsidRPr="000F74AE">
        <w:rPr>
          <w:rFonts w:ascii="Times New Roman" w:eastAsia="Times New Roman" w:hAnsi="Times New Roman" w:cs="Times New Roman"/>
          <w:sz w:val="24"/>
          <w:szCs w:val="24"/>
          <w:lang w:val="en-US" w:eastAsia="es-ES"/>
        </w:rPr>
        <w:t>For inquiries and more information about registration and payment, please contact us at </w:t>
      </w:r>
      <w:r w:rsidRPr="005A518E">
        <w:rPr>
          <w:rFonts w:ascii="Times New Roman" w:eastAsia="Times New Roman" w:hAnsi="Times New Roman" w:cs="Times New Roman"/>
          <w:b/>
          <w:sz w:val="24"/>
          <w:szCs w:val="24"/>
          <w:lang w:val="en-US" w:eastAsia="es-ES"/>
        </w:rPr>
        <w:t>alcibar.yanez@ieee.org</w:t>
      </w:r>
    </w:p>
    <w:p w:rsidR="000F74AE" w:rsidRPr="000F74AE" w:rsidRDefault="000F74AE" w:rsidP="000F74AE">
      <w:pPr>
        <w:spacing w:before="100" w:beforeAutospacing="1" w:after="300" w:line="240" w:lineRule="auto"/>
        <w:jc w:val="center"/>
        <w:rPr>
          <w:rFonts w:ascii="Times New Roman" w:eastAsia="Times New Roman" w:hAnsi="Times New Roman" w:cs="Times New Roman"/>
          <w:i/>
          <w:sz w:val="24"/>
          <w:szCs w:val="24"/>
          <w:lang w:eastAsia="es-ES"/>
        </w:rPr>
      </w:pPr>
      <w:r w:rsidRPr="000F74AE">
        <w:rPr>
          <w:rFonts w:ascii="Times New Roman" w:eastAsia="Times New Roman" w:hAnsi="Times New Roman" w:cs="Times New Roman"/>
          <w:i/>
          <w:sz w:val="24"/>
          <w:szCs w:val="24"/>
          <w:lang w:eastAsia="es-ES"/>
        </w:rPr>
        <w:t>Pagos con Tarjeta de Crédito: Los pagos realizados con tarjeta de crédito tendrán un recargo adicional del 6% por concepto de banca electrónica.</w:t>
      </w:r>
    </w:p>
    <w:p w:rsidR="000F74AE" w:rsidRPr="000F74AE" w:rsidRDefault="000F74AE" w:rsidP="000F74AE">
      <w:pPr>
        <w:spacing w:before="100" w:beforeAutospacing="1" w:after="300" w:line="240" w:lineRule="auto"/>
        <w:jc w:val="center"/>
        <w:rPr>
          <w:rFonts w:ascii="Times New Roman" w:eastAsia="Times New Roman" w:hAnsi="Times New Roman" w:cs="Times New Roman"/>
          <w:i/>
          <w:sz w:val="24"/>
          <w:szCs w:val="24"/>
          <w:lang w:eastAsia="es-ES"/>
        </w:rPr>
      </w:pPr>
      <w:r w:rsidRPr="000F74AE">
        <w:rPr>
          <w:rFonts w:ascii="Times New Roman" w:eastAsia="Times New Roman" w:hAnsi="Times New Roman" w:cs="Times New Roman"/>
          <w:i/>
          <w:sz w:val="24"/>
          <w:szCs w:val="24"/>
          <w:lang w:eastAsia="es-ES"/>
        </w:rPr>
        <w:t xml:space="preserve">Información sobre IVA: Los valores anteriores son sin IVA. Un recargo del 15% por IVA se aplicará a toda persona natural o jurídica que </w:t>
      </w:r>
      <w:r w:rsidR="009F2C9C" w:rsidRPr="00612337">
        <w:rPr>
          <w:rFonts w:ascii="Times New Roman" w:eastAsia="Times New Roman" w:hAnsi="Times New Roman" w:cs="Times New Roman"/>
          <w:i/>
          <w:sz w:val="24"/>
          <w:szCs w:val="24"/>
          <w:lang w:eastAsia="es-ES"/>
        </w:rPr>
        <w:t xml:space="preserve">resida en </w:t>
      </w:r>
      <w:r w:rsidRPr="000F74AE">
        <w:rPr>
          <w:rFonts w:ascii="Times New Roman" w:eastAsia="Times New Roman" w:hAnsi="Times New Roman" w:cs="Times New Roman"/>
          <w:i/>
          <w:sz w:val="24"/>
          <w:szCs w:val="24"/>
          <w:lang w:eastAsia="es-ES"/>
        </w:rPr>
        <w:t>Ecuador. Los métodos de pago contemplan transferencia bancaria o pago con tarjeta de crédito.</w:t>
      </w:r>
    </w:p>
    <w:p w:rsidR="000F74AE" w:rsidRPr="000F74AE" w:rsidRDefault="000F74AE" w:rsidP="000F74AE">
      <w:pPr>
        <w:spacing w:before="100" w:beforeAutospacing="1" w:after="300" w:line="240" w:lineRule="auto"/>
        <w:jc w:val="center"/>
        <w:rPr>
          <w:rFonts w:ascii="Times New Roman" w:eastAsia="Times New Roman" w:hAnsi="Times New Roman" w:cs="Times New Roman"/>
          <w:i/>
          <w:sz w:val="24"/>
          <w:szCs w:val="24"/>
          <w:lang w:eastAsia="es-ES"/>
        </w:rPr>
      </w:pPr>
      <w:r w:rsidRPr="000F74AE">
        <w:rPr>
          <w:rFonts w:ascii="Times New Roman" w:eastAsia="Times New Roman" w:hAnsi="Times New Roman" w:cs="Times New Roman"/>
          <w:i/>
          <w:sz w:val="24"/>
          <w:szCs w:val="24"/>
          <w:lang w:eastAsia="es-ES"/>
        </w:rPr>
        <w:t>Para consultas y más información acerca de los registros y pagos, por favor contactarse al correo electrónico </w:t>
      </w:r>
      <w:r w:rsidR="009F2C9C" w:rsidRPr="00612337">
        <w:rPr>
          <w:rFonts w:ascii="Times New Roman" w:eastAsia="Times New Roman" w:hAnsi="Times New Roman" w:cs="Times New Roman"/>
          <w:b/>
          <w:bCs/>
          <w:i/>
          <w:sz w:val="24"/>
          <w:szCs w:val="24"/>
          <w:lang w:eastAsia="es-ES"/>
        </w:rPr>
        <w:t>alcibar.yanez@ieee.org</w:t>
      </w:r>
    </w:p>
    <w:p w:rsidR="00936968" w:rsidRPr="005A518E" w:rsidRDefault="000F74AE" w:rsidP="005A518E">
      <w:pPr>
        <w:spacing w:before="100" w:beforeAutospacing="1" w:after="300" w:line="240" w:lineRule="auto"/>
        <w:jc w:val="center"/>
        <w:rPr>
          <w:rFonts w:ascii="Times New Roman" w:eastAsia="Times New Roman" w:hAnsi="Times New Roman" w:cs="Times New Roman"/>
          <w:sz w:val="24"/>
          <w:szCs w:val="24"/>
          <w:lang w:eastAsia="es-ES"/>
        </w:rPr>
      </w:pPr>
      <w:r w:rsidRPr="005A518E">
        <w:rPr>
          <w:rFonts w:ascii="Times New Roman" w:eastAsia="Times New Roman" w:hAnsi="Times New Roman" w:cs="Times New Roman"/>
          <w:b/>
          <w:bCs/>
          <w:sz w:val="24"/>
          <w:szCs w:val="24"/>
          <w:lang w:eastAsia="es-ES"/>
        </w:rPr>
        <w:t xml:space="preserve">IEEE Ecuador </w:t>
      </w:r>
      <w:proofErr w:type="spellStart"/>
      <w:r w:rsidRPr="005A518E">
        <w:rPr>
          <w:rFonts w:ascii="Times New Roman" w:eastAsia="Times New Roman" w:hAnsi="Times New Roman" w:cs="Times New Roman"/>
          <w:b/>
          <w:bCs/>
          <w:sz w:val="24"/>
          <w:szCs w:val="24"/>
          <w:lang w:eastAsia="es-ES"/>
        </w:rPr>
        <w:t>Section</w:t>
      </w:r>
      <w:proofErr w:type="spellEnd"/>
      <w:r w:rsidRPr="005A518E">
        <w:rPr>
          <w:rFonts w:ascii="Times New Roman" w:eastAsia="Times New Roman" w:hAnsi="Times New Roman" w:cs="Times New Roman"/>
          <w:b/>
          <w:bCs/>
          <w:sz w:val="24"/>
          <w:szCs w:val="24"/>
          <w:lang w:eastAsia="es-ES"/>
        </w:rPr>
        <w:t xml:space="preserve"> </w:t>
      </w:r>
      <w:proofErr w:type="spellStart"/>
      <w:r w:rsidRPr="005A518E">
        <w:rPr>
          <w:rFonts w:ascii="Times New Roman" w:eastAsia="Times New Roman" w:hAnsi="Times New Roman" w:cs="Times New Roman"/>
          <w:b/>
          <w:bCs/>
          <w:sz w:val="24"/>
          <w:szCs w:val="24"/>
          <w:lang w:eastAsia="es-ES"/>
        </w:rPr>
        <w:t>Account</w:t>
      </w:r>
      <w:proofErr w:type="spellEnd"/>
      <w:r w:rsidRPr="005A518E">
        <w:rPr>
          <w:rFonts w:ascii="Times New Roman" w:eastAsia="Times New Roman" w:hAnsi="Times New Roman" w:cs="Times New Roman"/>
          <w:b/>
          <w:bCs/>
          <w:sz w:val="24"/>
          <w:szCs w:val="24"/>
          <w:lang w:eastAsia="es-ES"/>
        </w:rPr>
        <w:t xml:space="preserve"> – Cuenta IEEE Sección Ecuador:</w:t>
      </w:r>
      <w:r w:rsidRPr="000F74AE">
        <w:rPr>
          <w:rFonts w:ascii="Times New Roman" w:eastAsia="Times New Roman" w:hAnsi="Times New Roman" w:cs="Times New Roman"/>
          <w:sz w:val="24"/>
          <w:szCs w:val="24"/>
          <w:lang w:eastAsia="es-ES"/>
        </w:rPr>
        <w:br/>
      </w:r>
      <w:proofErr w:type="spellStart"/>
      <w:r w:rsidRPr="000F74AE">
        <w:rPr>
          <w:rFonts w:ascii="Times New Roman" w:eastAsia="Times New Roman" w:hAnsi="Times New Roman" w:cs="Times New Roman"/>
          <w:sz w:val="24"/>
          <w:szCs w:val="24"/>
          <w:lang w:eastAsia="es-ES"/>
        </w:rPr>
        <w:t>Name</w:t>
      </w:r>
      <w:proofErr w:type="spellEnd"/>
      <w:r w:rsidRPr="000F74AE">
        <w:rPr>
          <w:rFonts w:ascii="Times New Roman" w:eastAsia="Times New Roman" w:hAnsi="Times New Roman" w:cs="Times New Roman"/>
          <w:sz w:val="24"/>
          <w:szCs w:val="24"/>
          <w:lang w:eastAsia="es-ES"/>
        </w:rPr>
        <w:t>: Asociación IEEE Ecuador</w:t>
      </w:r>
      <w:r w:rsidRPr="000F74AE">
        <w:rPr>
          <w:rFonts w:ascii="Times New Roman" w:eastAsia="Times New Roman" w:hAnsi="Times New Roman" w:cs="Times New Roman"/>
          <w:sz w:val="24"/>
          <w:szCs w:val="24"/>
          <w:lang w:eastAsia="es-ES"/>
        </w:rPr>
        <w:br/>
        <w:t>Banco Bolivariano – Cuenta Corriente #1645003614 </w:t>
      </w:r>
      <w:r w:rsidRPr="000F74AE">
        <w:rPr>
          <w:rFonts w:ascii="Times New Roman" w:eastAsia="Times New Roman" w:hAnsi="Times New Roman" w:cs="Times New Roman"/>
          <w:sz w:val="24"/>
          <w:szCs w:val="24"/>
          <w:lang w:eastAsia="es-ES"/>
        </w:rPr>
        <w:br/>
        <w:t>RUC: 1792563240001</w:t>
      </w:r>
      <w:r w:rsidRPr="000F74AE">
        <w:rPr>
          <w:rFonts w:ascii="Times New Roman" w:eastAsia="Times New Roman" w:hAnsi="Times New Roman" w:cs="Times New Roman"/>
          <w:sz w:val="24"/>
          <w:szCs w:val="24"/>
          <w:lang w:eastAsia="es-ES"/>
        </w:rPr>
        <w:br/>
        <w:t xml:space="preserve">e-mail:  </w:t>
      </w:r>
      <w:r w:rsidR="009F2C9C" w:rsidRPr="005A518E">
        <w:rPr>
          <w:rFonts w:ascii="Times New Roman" w:eastAsia="Times New Roman" w:hAnsi="Times New Roman" w:cs="Times New Roman"/>
          <w:sz w:val="24"/>
          <w:szCs w:val="24"/>
          <w:lang w:eastAsia="es-ES"/>
        </w:rPr>
        <w:t>alcibar.yanez@ieee.org</w:t>
      </w:r>
      <w:r w:rsidRPr="000F74AE">
        <w:rPr>
          <w:rFonts w:ascii="Times New Roman" w:eastAsia="Times New Roman" w:hAnsi="Times New Roman" w:cs="Times New Roman"/>
          <w:sz w:val="24"/>
          <w:szCs w:val="24"/>
          <w:lang w:eastAsia="es-ES"/>
        </w:rPr>
        <w:br/>
      </w:r>
      <w:proofErr w:type="spellStart"/>
      <w:r w:rsidRPr="000F74AE">
        <w:rPr>
          <w:rFonts w:ascii="Times New Roman" w:eastAsia="Times New Roman" w:hAnsi="Times New Roman" w:cs="Times New Roman"/>
          <w:sz w:val="24"/>
          <w:szCs w:val="24"/>
          <w:lang w:eastAsia="es-ES"/>
        </w:rPr>
        <w:t>Address</w:t>
      </w:r>
      <w:proofErr w:type="spellEnd"/>
      <w:r w:rsidRPr="000F74AE">
        <w:rPr>
          <w:rFonts w:ascii="Times New Roman" w:eastAsia="Times New Roman" w:hAnsi="Times New Roman" w:cs="Times New Roman"/>
          <w:sz w:val="24"/>
          <w:szCs w:val="24"/>
          <w:lang w:eastAsia="es-ES"/>
        </w:rPr>
        <w:t>: Ramón y Cajal y Av. Isabel La Católica</w:t>
      </w:r>
      <w:r w:rsidRPr="000F74AE">
        <w:rPr>
          <w:rFonts w:ascii="Times New Roman" w:eastAsia="Times New Roman" w:hAnsi="Times New Roman" w:cs="Times New Roman"/>
          <w:sz w:val="24"/>
          <w:szCs w:val="24"/>
          <w:lang w:eastAsia="es-ES"/>
        </w:rPr>
        <w:br/>
        <w:t>BIC/SWIFT: BBOLECEG</w:t>
      </w:r>
    </w:p>
    <w:sectPr w:rsidR="00936968" w:rsidRPr="005A518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02A50C9"/>
    <w:multiLevelType w:val="multilevel"/>
    <w:tmpl w:val="F06AC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4AE"/>
    <w:rsid w:val="000F74AE"/>
    <w:rsid w:val="004E1705"/>
    <w:rsid w:val="005A518E"/>
    <w:rsid w:val="00612337"/>
    <w:rsid w:val="00936968"/>
    <w:rsid w:val="009F2C9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B6A77"/>
  <w15:chartTrackingRefBased/>
  <w15:docId w15:val="{E5C87E69-B844-4EBC-98FB-465FC5C97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4">
    <w:name w:val="heading 4"/>
    <w:basedOn w:val="Normal"/>
    <w:link w:val="Ttulo4Car"/>
    <w:uiPriority w:val="9"/>
    <w:qFormat/>
    <w:rsid w:val="000F74AE"/>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0F74AE"/>
    <w:rPr>
      <w:rFonts w:ascii="Times New Roman" w:eastAsia="Times New Roman" w:hAnsi="Times New Roman" w:cs="Times New Roman"/>
      <w:b/>
      <w:bCs/>
      <w:sz w:val="24"/>
      <w:szCs w:val="24"/>
      <w:lang w:eastAsia="es-ES"/>
    </w:rPr>
  </w:style>
  <w:style w:type="paragraph" w:styleId="NormalWeb">
    <w:name w:val="Normal (Web)"/>
    <w:basedOn w:val="Normal"/>
    <w:uiPriority w:val="99"/>
    <w:semiHidden/>
    <w:unhideWhenUsed/>
    <w:rsid w:val="000F74AE"/>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0F74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7282587">
      <w:bodyDiv w:val="1"/>
      <w:marLeft w:val="0"/>
      <w:marRight w:val="0"/>
      <w:marTop w:val="0"/>
      <w:marBottom w:val="0"/>
      <w:divBdr>
        <w:top w:val="none" w:sz="0" w:space="0" w:color="auto"/>
        <w:left w:val="none" w:sz="0" w:space="0" w:color="auto"/>
        <w:bottom w:val="none" w:sz="0" w:space="0" w:color="auto"/>
        <w:right w:val="none" w:sz="0" w:space="0" w:color="auto"/>
      </w:divBdr>
      <w:divsChild>
        <w:div w:id="883831875">
          <w:marLeft w:val="0"/>
          <w:marRight w:val="0"/>
          <w:marTop w:val="0"/>
          <w:marBottom w:val="0"/>
          <w:divBdr>
            <w:top w:val="none" w:sz="0" w:space="0" w:color="auto"/>
            <w:left w:val="none" w:sz="0" w:space="0" w:color="auto"/>
            <w:bottom w:val="none" w:sz="0" w:space="0" w:color="auto"/>
            <w:right w:val="none" w:sz="0" w:space="0" w:color="auto"/>
          </w:divBdr>
          <w:divsChild>
            <w:div w:id="1390105360">
              <w:marLeft w:val="0"/>
              <w:marRight w:val="0"/>
              <w:marTop w:val="0"/>
              <w:marBottom w:val="0"/>
              <w:divBdr>
                <w:top w:val="none" w:sz="0" w:space="0" w:color="auto"/>
                <w:left w:val="none" w:sz="0" w:space="0" w:color="auto"/>
                <w:bottom w:val="none" w:sz="0" w:space="0" w:color="auto"/>
                <w:right w:val="none" w:sz="0" w:space="0" w:color="auto"/>
              </w:divBdr>
              <w:divsChild>
                <w:div w:id="1921939283">
                  <w:marLeft w:val="0"/>
                  <w:marRight w:val="0"/>
                  <w:marTop w:val="0"/>
                  <w:marBottom w:val="0"/>
                  <w:divBdr>
                    <w:top w:val="none" w:sz="0" w:space="0" w:color="auto"/>
                    <w:left w:val="none" w:sz="0" w:space="0" w:color="auto"/>
                    <w:bottom w:val="none" w:sz="0" w:space="0" w:color="auto"/>
                    <w:right w:val="none" w:sz="0" w:space="0" w:color="auto"/>
                  </w:divBdr>
                  <w:divsChild>
                    <w:div w:id="1428237538">
                      <w:marLeft w:val="0"/>
                      <w:marRight w:val="0"/>
                      <w:marTop w:val="0"/>
                      <w:marBottom w:val="0"/>
                      <w:divBdr>
                        <w:top w:val="none" w:sz="0" w:space="0" w:color="auto"/>
                        <w:left w:val="none" w:sz="0" w:space="0" w:color="auto"/>
                        <w:bottom w:val="none" w:sz="0" w:space="0" w:color="auto"/>
                        <w:right w:val="none" w:sz="0" w:space="0" w:color="auto"/>
                      </w:divBdr>
                      <w:divsChild>
                        <w:div w:id="1356224871">
                          <w:marLeft w:val="0"/>
                          <w:marRight w:val="0"/>
                          <w:marTop w:val="0"/>
                          <w:marBottom w:val="0"/>
                          <w:divBdr>
                            <w:top w:val="none" w:sz="0" w:space="0" w:color="auto"/>
                            <w:left w:val="none" w:sz="0" w:space="0" w:color="auto"/>
                            <w:bottom w:val="none" w:sz="0" w:space="0" w:color="auto"/>
                            <w:right w:val="none" w:sz="0" w:space="0" w:color="auto"/>
                          </w:divBdr>
                        </w:div>
                      </w:divsChild>
                    </w:div>
                    <w:div w:id="313990996">
                      <w:marLeft w:val="0"/>
                      <w:marRight w:val="0"/>
                      <w:marTop w:val="0"/>
                      <w:marBottom w:val="0"/>
                      <w:divBdr>
                        <w:top w:val="none" w:sz="0" w:space="0" w:color="auto"/>
                        <w:left w:val="none" w:sz="0" w:space="0" w:color="auto"/>
                        <w:bottom w:val="none" w:sz="0" w:space="0" w:color="auto"/>
                        <w:right w:val="none" w:sz="0" w:space="0" w:color="auto"/>
                      </w:divBdr>
                      <w:divsChild>
                        <w:div w:id="899560629">
                          <w:marLeft w:val="0"/>
                          <w:marRight w:val="0"/>
                          <w:marTop w:val="0"/>
                          <w:marBottom w:val="0"/>
                          <w:divBdr>
                            <w:top w:val="none" w:sz="0" w:space="0" w:color="auto"/>
                            <w:left w:val="none" w:sz="0" w:space="0" w:color="auto"/>
                            <w:bottom w:val="none" w:sz="0" w:space="0" w:color="auto"/>
                            <w:right w:val="none" w:sz="0" w:space="0" w:color="auto"/>
                          </w:divBdr>
                          <w:divsChild>
                            <w:div w:id="15965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071080">
          <w:marLeft w:val="0"/>
          <w:marRight w:val="0"/>
          <w:marTop w:val="0"/>
          <w:marBottom w:val="0"/>
          <w:divBdr>
            <w:top w:val="none" w:sz="0" w:space="0" w:color="auto"/>
            <w:left w:val="none" w:sz="0" w:space="0" w:color="auto"/>
            <w:bottom w:val="none" w:sz="0" w:space="0" w:color="auto"/>
            <w:right w:val="none" w:sz="0" w:space="0" w:color="auto"/>
          </w:divBdr>
          <w:divsChild>
            <w:div w:id="988364968">
              <w:marLeft w:val="0"/>
              <w:marRight w:val="0"/>
              <w:marTop w:val="0"/>
              <w:marBottom w:val="0"/>
              <w:divBdr>
                <w:top w:val="none" w:sz="0" w:space="0" w:color="auto"/>
                <w:left w:val="none" w:sz="0" w:space="0" w:color="auto"/>
                <w:bottom w:val="none" w:sz="0" w:space="0" w:color="auto"/>
                <w:right w:val="none" w:sz="0" w:space="0" w:color="auto"/>
              </w:divBdr>
              <w:divsChild>
                <w:div w:id="648637456">
                  <w:marLeft w:val="0"/>
                  <w:marRight w:val="0"/>
                  <w:marTop w:val="0"/>
                  <w:marBottom w:val="0"/>
                  <w:divBdr>
                    <w:top w:val="none" w:sz="0" w:space="0" w:color="auto"/>
                    <w:left w:val="none" w:sz="0" w:space="0" w:color="auto"/>
                    <w:bottom w:val="none" w:sz="0" w:space="0" w:color="auto"/>
                    <w:right w:val="none" w:sz="0" w:space="0" w:color="auto"/>
                  </w:divBdr>
                  <w:divsChild>
                    <w:div w:id="1657564182">
                      <w:marLeft w:val="0"/>
                      <w:marRight w:val="0"/>
                      <w:marTop w:val="0"/>
                      <w:marBottom w:val="0"/>
                      <w:divBdr>
                        <w:top w:val="none" w:sz="0" w:space="0" w:color="auto"/>
                        <w:left w:val="none" w:sz="0" w:space="0" w:color="auto"/>
                        <w:bottom w:val="none" w:sz="0" w:space="0" w:color="auto"/>
                        <w:right w:val="none" w:sz="0" w:space="0" w:color="auto"/>
                      </w:divBdr>
                      <w:divsChild>
                        <w:div w:id="212318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875326">
          <w:marLeft w:val="0"/>
          <w:marRight w:val="0"/>
          <w:marTop w:val="0"/>
          <w:marBottom w:val="0"/>
          <w:divBdr>
            <w:top w:val="none" w:sz="0" w:space="0" w:color="auto"/>
            <w:left w:val="none" w:sz="0" w:space="0" w:color="auto"/>
            <w:bottom w:val="none" w:sz="0" w:space="0" w:color="auto"/>
            <w:right w:val="none" w:sz="0" w:space="0" w:color="auto"/>
          </w:divBdr>
          <w:divsChild>
            <w:div w:id="1921407818">
              <w:marLeft w:val="0"/>
              <w:marRight w:val="0"/>
              <w:marTop w:val="0"/>
              <w:marBottom w:val="0"/>
              <w:divBdr>
                <w:top w:val="none" w:sz="0" w:space="0" w:color="auto"/>
                <w:left w:val="none" w:sz="0" w:space="0" w:color="auto"/>
                <w:bottom w:val="none" w:sz="0" w:space="0" w:color="auto"/>
                <w:right w:val="none" w:sz="0" w:space="0" w:color="auto"/>
              </w:divBdr>
              <w:divsChild>
                <w:div w:id="429620145">
                  <w:marLeft w:val="0"/>
                  <w:marRight w:val="0"/>
                  <w:marTop w:val="0"/>
                  <w:marBottom w:val="0"/>
                  <w:divBdr>
                    <w:top w:val="none" w:sz="0" w:space="0" w:color="auto"/>
                    <w:left w:val="none" w:sz="0" w:space="0" w:color="auto"/>
                    <w:bottom w:val="none" w:sz="0" w:space="0" w:color="auto"/>
                    <w:right w:val="none" w:sz="0" w:space="0" w:color="auto"/>
                  </w:divBdr>
                  <w:divsChild>
                    <w:div w:id="1938824039">
                      <w:marLeft w:val="0"/>
                      <w:marRight w:val="0"/>
                      <w:marTop w:val="0"/>
                      <w:marBottom w:val="0"/>
                      <w:divBdr>
                        <w:top w:val="none" w:sz="0" w:space="0" w:color="auto"/>
                        <w:left w:val="none" w:sz="0" w:space="0" w:color="auto"/>
                        <w:bottom w:val="none" w:sz="0" w:space="0" w:color="auto"/>
                        <w:right w:val="none" w:sz="0" w:space="0" w:color="auto"/>
                      </w:divBdr>
                      <w:divsChild>
                        <w:div w:id="1056978607">
                          <w:marLeft w:val="0"/>
                          <w:marRight w:val="0"/>
                          <w:marTop w:val="0"/>
                          <w:marBottom w:val="0"/>
                          <w:divBdr>
                            <w:top w:val="none" w:sz="0" w:space="0" w:color="auto"/>
                            <w:left w:val="none" w:sz="0" w:space="0" w:color="auto"/>
                            <w:bottom w:val="none" w:sz="0" w:space="0" w:color="auto"/>
                            <w:right w:val="none" w:sz="0" w:space="0" w:color="auto"/>
                          </w:divBdr>
                        </w:div>
                      </w:divsChild>
                    </w:div>
                    <w:div w:id="13128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748</Words>
  <Characters>4117</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cp:revision>
  <dcterms:created xsi:type="dcterms:W3CDTF">2026-06-09T20:17:00Z</dcterms:created>
  <dcterms:modified xsi:type="dcterms:W3CDTF">2026-06-09T20:47:00Z</dcterms:modified>
</cp:coreProperties>
</file>