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提现模块：</w:t>
            </w:r>
            <w:bookmarkStart w:id="0" w:name="_GoBack"/>
            <w:bookmarkEnd w:id="0"/>
            <w:r>
              <w:rPr>
                <w:rFonts w:hint="eastAsia" w:cstheme="minorHAnsi"/>
                <w:sz w:val="18"/>
                <w:szCs w:val="18"/>
                <w:vertAlign w:val="baseline"/>
                <w:lang w:val="en-US" w:eastAsia="zh-CN"/>
              </w:rPr>
              <w:t>当投资者要求提现，将借款资金转至指定银行账户时，会发生转账费用。提现金额1元一笔。</w:t>
            </w:r>
          </w:p>
          <w:p>
            <w:pPr>
              <w:numPr>
                <w:ilvl w:val="0"/>
                <w:numId w:val="0"/>
              </w:numPr>
              <w:ind w:leftChars="0"/>
              <w:rPr>
                <w:rFonts w:hint="default"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widowControl w:val="0"/>
              <w:numPr>
                <w:ilvl w:val="0"/>
                <w:numId w:val="0"/>
              </w:numPr>
              <w:jc w:val="both"/>
              <w:rPr>
                <w:rFonts w:hint="default" w:cstheme="minorHAnsi"/>
                <w:sz w:val="28"/>
                <w:szCs w:val="28"/>
                <w:vertAlign w:val="baseline"/>
                <w:lang w:val="en-US" w:eastAsia="zh-CN"/>
              </w:rPr>
            </w:pPr>
          </w:p>
          <w:p>
            <w:pPr>
              <w:widowControl w:val="0"/>
              <w:numPr>
                <w:ilvl w:val="0"/>
                <w:numId w:val="0"/>
              </w:numPr>
              <w:jc w:val="both"/>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w:t>
            </w:r>
            <w:r>
              <w:rPr>
                <w:rFonts w:hint="eastAsia" w:cstheme="minorHAnsi"/>
                <w:b/>
                <w:bCs/>
                <w:sz w:val="21"/>
                <w:szCs w:val="21"/>
                <w:vertAlign w:val="baseline"/>
                <w:lang w:val="en-US" w:eastAsia="zh-CN"/>
              </w:rPr>
              <w:t>spring boot+springcloud</w:t>
            </w:r>
            <w:r>
              <w:rPr>
                <w:rFonts w:hint="eastAsia" w:cstheme="minorHAnsi"/>
                <w:sz w:val="21"/>
                <w:szCs w:val="21"/>
                <w:vertAlign w:val="baseline"/>
                <w:lang w:val="en-US" w:eastAsia="zh-CN"/>
              </w:rPr>
              <w:t>微服务框架，好处是......</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：项目中模块使用到redis了，具体是这样使用的.......</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9CE247F"/>
    <w:rsid w:val="0BBF5BE9"/>
    <w:rsid w:val="10D945DA"/>
    <w:rsid w:val="16B91699"/>
    <w:rsid w:val="24EF6A4A"/>
    <w:rsid w:val="26090FC5"/>
    <w:rsid w:val="2AB27F4F"/>
    <w:rsid w:val="2D581994"/>
    <w:rsid w:val="2DE90384"/>
    <w:rsid w:val="328A3BAC"/>
    <w:rsid w:val="3769174C"/>
    <w:rsid w:val="3C525C5F"/>
    <w:rsid w:val="411E761C"/>
    <w:rsid w:val="42936906"/>
    <w:rsid w:val="4645294D"/>
    <w:rsid w:val="48955C81"/>
    <w:rsid w:val="4B986EAD"/>
    <w:rsid w:val="524E3674"/>
    <w:rsid w:val="53351CAB"/>
    <w:rsid w:val="59AC77D5"/>
    <w:rsid w:val="5A3F6274"/>
    <w:rsid w:val="5B13077C"/>
    <w:rsid w:val="5F5A5BCD"/>
    <w:rsid w:val="6256315A"/>
    <w:rsid w:val="6CB15541"/>
    <w:rsid w:val="6D4C000D"/>
    <w:rsid w:val="7960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2019-04-23T07:51:12Z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