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0"/>
          <w:szCs w:val="22"/>
          <w:lang w:val="en-US" w:eastAsia="zh-CN"/>
        </w:rPr>
      </w:pPr>
      <w:r>
        <w:rPr>
          <w:rFonts w:hint="eastAsia"/>
          <w:sz w:val="40"/>
          <w:szCs w:val="22"/>
          <w:lang w:val="en-US" w:eastAsia="zh-CN"/>
        </w:rPr>
        <w:t xml:space="preserve">云计算   1607C   徐强 </w:t>
      </w:r>
    </w:p>
    <w:p>
      <w:pPr>
        <w:pStyle w:val="2"/>
        <w:bidi w:val="0"/>
        <w:jc w:val="center"/>
        <w:rPr>
          <w:rFonts w:hint="default"/>
          <w:sz w:val="40"/>
          <w:szCs w:val="22"/>
          <w:lang w:val="en-US" w:eastAsia="zh-CN"/>
        </w:rPr>
      </w:pPr>
      <w:r>
        <w:rPr>
          <w:rFonts w:hint="eastAsia"/>
          <w:sz w:val="40"/>
          <w:szCs w:val="22"/>
          <w:lang w:val="en-US" w:eastAsia="zh-CN"/>
        </w:rPr>
        <w:t>JAVA工程师</w:t>
      </w:r>
    </w:p>
    <w:p>
      <w:pPr>
        <w:numPr>
          <w:ilvl w:val="0"/>
          <w:numId w:val="1"/>
        </w:numPr>
        <w:ind w:left="0" w:leftChars="0" w:firstLine="420" w:firstLineChars="0"/>
        <w:rPr>
          <w:rFonts w:hint="eastAsia"/>
          <w:sz w:val="24"/>
          <w:szCs w:val="24"/>
          <w:lang w:val="en-US" w:eastAsia="zh-CN"/>
        </w:rPr>
      </w:pPr>
      <w:r>
        <w:rPr>
          <w:rFonts w:hint="eastAsia"/>
          <w:sz w:val="24"/>
          <w:szCs w:val="24"/>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这个项目是关于P2P个人借贷的金融项目,采用的框架是SSM框架,前后端分离,前端主要用户使用主要账户信息管理，借贷管理，资产管理等，后端由平台管理人员使用，主要有用户管理，审核管理，平台管理，安全管理等。</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主要模块包括借款和投资模块，信息认证及审核模块。用户在平台中可以投资或者借款，借款有三种类型，信用贷，车贷和房贷，首先对于信用贷，是通过认证风控资料之后，后台累计一个积分数值，达到一定分值之后，并且认证了实名，基本信息以及视频认证之后，才能发起借贷。</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对于信用贷来说，风控资料是最核心部分，这是证明一个人是否有偿还能力的根本。其次如果达到了借贷条件，可以申请借款，借款人发起招标，数据库生成当前申请标的信息，标的信息包括总借款金额，偿还利息，最低投标金额，标的描述信息等，发起申请之后不是立即发布到平台上，后台审核通过后，才能被所有前台用户可见可投。</w:t>
            </w:r>
          </w:p>
          <w:p>
            <w:pPr>
              <w:numPr>
                <w:ilvl w:val="0"/>
                <w:numId w:val="0"/>
              </w:numPr>
              <w:ind w:firstLine="480" w:firstLineChars="200"/>
              <w:rPr>
                <w:rFonts w:hint="default"/>
                <w:sz w:val="24"/>
                <w:szCs w:val="24"/>
                <w:vertAlign w:val="baseline"/>
                <w:lang w:val="en-US" w:eastAsia="zh-CN"/>
              </w:rPr>
            </w:pPr>
            <w:r>
              <w:rPr>
                <w:rFonts w:hint="eastAsia"/>
                <w:sz w:val="24"/>
                <w:szCs w:val="24"/>
                <w:vertAlign w:val="baseline"/>
                <w:lang w:val="en-US" w:eastAsia="zh-CN"/>
              </w:rPr>
              <w:t>对于未登陆用户，只能看到此标的的介绍信息，更详细的内容需要登录之后才能查看，已登录用户可以在标的界面查看关于招标人基本信息，认证信息，风控信息，以及当前投标人的信息等，投标人投标后账户冻结投标金额，满标后投标人和招标人也不会立即形成借贷关系，后台需要经过两次审核，如果审核不通过，投标人所投金额会解冻，招标人则可以发起下一次投标，如果两次审核都通过，则扣投标人冻结金额，增加招标人账户资金，平台从中收取手续费，并为招标人生成分期还款的信息，投标人可查看自己受益，招标人可查看自己当前账户分期偿还信息，直至还清借款后才能发起下一次借款。</w:t>
            </w:r>
          </w:p>
        </w:tc>
      </w:tr>
    </w:tbl>
    <w:p>
      <w:pPr>
        <w:numPr>
          <w:ilvl w:val="0"/>
          <w:numId w:val="0"/>
        </w:numPr>
        <w:ind w:left="420" w:leftChars="0"/>
        <w:rPr>
          <w:rFonts w:hint="eastAsia"/>
          <w:sz w:val="24"/>
          <w:szCs w:val="24"/>
          <w:lang w:val="en-US" w:eastAsia="zh-CN"/>
        </w:rPr>
      </w:pPr>
    </w:p>
    <w:p>
      <w:pPr>
        <w:numPr>
          <w:ilvl w:val="0"/>
          <w:numId w:val="1"/>
        </w:numPr>
        <w:ind w:left="0" w:leftChars="0" w:firstLine="420" w:firstLineChars="0"/>
        <w:rPr>
          <w:rFonts w:hint="eastAsia" w:cstheme="minorHAnsi"/>
          <w:sz w:val="24"/>
          <w:szCs w:val="24"/>
        </w:rPr>
      </w:pPr>
      <w:r>
        <w:rPr>
          <w:rFonts w:hint="eastAsia" w:cstheme="minorHAnsi"/>
          <w:sz w:val="24"/>
          <w:szCs w:val="24"/>
        </w:rPr>
        <w:t>功能模块介绍</w:t>
      </w:r>
      <w:r>
        <w:rPr>
          <w:rFonts w:hint="eastAsia" w:cstheme="minorHAnsi"/>
          <w:sz w:val="24"/>
          <w:szCs w:val="24"/>
          <w:lang w:val="en-US" w:eastAsia="zh-CN"/>
        </w:rPr>
        <w:t>(按照自己得实际项目写)  功能,技术点,流程</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前端:</w:t>
            </w:r>
          </w:p>
          <w:p>
            <w:pPr>
              <w:numPr>
                <w:ilvl w:val="0"/>
                <w:numId w:val="2"/>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发标前审核:</w:t>
            </w:r>
          </w:p>
          <w:p>
            <w:pPr>
              <w:numPr>
                <w:ilvl w:val="0"/>
                <w:numId w:val="0"/>
              </w:numPr>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后台获取未审核的标的记录，查看申请人的相关信息和资格，包括实名认证信息，基本信息，风控信息，以及此前借贷偿还信息，然后提交审核结果，数据提交后台，在标的审核记录表生成新的审核记录，因为标的存在待审状态，招标状态，满标和流标等多种状态，所以不再原记录添加审核人审核时间等参数。如果审核通过，此标进入招标状态，将被所有人在前台可见，如果审核失败，则标的进入审核失败状态，用户恢复借贷资格。</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(2)满标一审及二审:</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满标之后需要两次审核才能形成实际借贷关系，一审和二审业务逻辑大部分相同，都是前台传递审核结果，标的的id以及审核备注信息，后台判断此标信息是否有效，以及借款人的账户资金情况，在审核结果记录表中添加审核记录，包括标的信息，审核人信息等，在根据审核结果是否通过再执行相关业务逻辑。审核不通过，将投标用户的账户资金解冻，增加可用金额，账户流水记录添加记录，满标一审二审的逻辑都一样，不一样的的是一审通过后，标的信息变为等待二审，而二审通过后，则扣除投标人账户资金，即扣除冻结金额，然后平台从借款金额中收取手续费，为借款人生成还款对象以及</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(3)借款审核:</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tc>
      </w:tr>
    </w:tbl>
    <w:p>
      <w:pPr>
        <w:numPr>
          <w:ilvl w:val="0"/>
          <w:numId w:val="0"/>
        </w:numPr>
        <w:rPr>
          <w:rFonts w:hint="default" w:eastAsiaTheme="minorEastAsia" w:cstheme="minorHAnsi"/>
          <w:sz w:val="24"/>
          <w:szCs w:val="24"/>
          <w:lang w:val="en-US" w:eastAsia="zh-CN"/>
        </w:rPr>
      </w:pPr>
    </w:p>
    <w:p>
      <w:pPr>
        <w:numPr>
          <w:ilvl w:val="0"/>
          <w:numId w:val="1"/>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开发中遇到的</w:t>
      </w:r>
      <w:r>
        <w:rPr>
          <w:rFonts w:hint="eastAsia" w:asciiTheme="minorEastAsia" w:hAnsiTheme="minorEastAsia" w:eastAsiaTheme="minorEastAsia" w:cstheme="minorEastAsia"/>
          <w:sz w:val="24"/>
          <w:szCs w:val="24"/>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lang w:val="en-US" w:eastAsia="zh-CN"/>
              </w:rPr>
              <w:t>：当前项目是分布式项目，如何使用事物</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方案</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的全称是：Try、Confirm、Cancel。</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Try 阶段：这个阶段说的是对各个服务的资源做检测以及对资源进行锁定或者预留。</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Confirm 阶段：这个阶段说的是在各个服务中执行实际的操作。</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Cancel 阶段：如果任何一个服务的业务方法执行出错，那么这里就需要进行补偿，就是执行已经执行成功的业务逻辑的回滚操作。（把那些执行成功的回滚）</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难点2：</w:t>
            </w:r>
            <w:r>
              <w:rPr>
                <w:rFonts w:hint="eastAsia" w:asciiTheme="minorEastAsia" w:hAnsiTheme="minorEastAsia" w:eastAsiaTheme="minorEastAsia" w:cstheme="minorEastAsia"/>
                <w:sz w:val="24"/>
                <w:szCs w:val="24"/>
                <w:vertAlign w:val="baseline"/>
                <w:lang w:val="en-US" w:eastAsia="zh-CN"/>
              </w:rPr>
              <w:t>问题：session共享问题</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解决1： tomcat + redis</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这个其实还挺方便的，就是使用 session 的代码，跟以前一样，还是基于 tomcat 原生的 session 支持即可，然后就是用一个叫做 Tomcat RedisSessionManager 的东西，让所有我们部署的 tomcat 都将 session 数据存储到 redis 即可。</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解决2：给 sping session 配置基于 redis 来存储 session 数据，然后配置了一个 spring session 的过滤器，这样的话，session 相关操作都会交给 spring session 来管了。接着在代码中，就用原生的 session 操作，就是直接基于 spring sesion 从 redis 中获取数据了。</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lang w:val="en-US" w:eastAsia="zh-CN"/>
              </w:rPr>
              <w:t>：跨域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olor w:val="333333"/>
                <w:spacing w:val="0"/>
                <w:sz w:val="24"/>
                <w:szCs w:val="24"/>
                <w:shd w:val="clear" w:fill="FFFFFF"/>
                <w:lang w:val="en-US" w:eastAsia="zh-CN"/>
              </w:rPr>
              <w:t>H</w:t>
            </w:r>
            <w:r>
              <w:rPr>
                <w:rFonts w:hint="eastAsia" w:asciiTheme="minorEastAsia" w:hAnsiTheme="minorEastAsia" w:cstheme="minorEastAsia"/>
                <w:i w:val="0"/>
                <w:caps w:val="0"/>
                <w:color w:val="333333"/>
                <w:spacing w:val="0"/>
                <w:sz w:val="24"/>
                <w:szCs w:val="24"/>
                <w:shd w:val="clear" w:fill="FFFFFF"/>
                <w:lang w:val="en-US" w:eastAsia="zh-CN"/>
              </w:rPr>
              <w:t>ttpClient</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通过jsonp跨域</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跨域资源共享（CORS）</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bookmarkStart w:id="0" w:name="_GoBack"/>
            <w:bookmarkEnd w:id="0"/>
            <w:r>
              <w:rPr>
                <w:rFonts w:hint="eastAsia" w:asciiTheme="minorEastAsia" w:hAnsiTheme="minorEastAsia" w:eastAsiaTheme="minorEastAsia" w:cstheme="minorEastAsia"/>
                <w:i w:val="0"/>
                <w:caps w:val="0"/>
                <w:color w:val="333333"/>
                <w:spacing w:val="0"/>
                <w:sz w:val="24"/>
                <w:szCs w:val="24"/>
                <w:shd w:val="clear" w:fill="FFFFFF"/>
                <w:lang w:val="en-US" w:eastAsia="zh-CN"/>
              </w:rPr>
              <w:t>nginx代理跨域</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nodejs中间件代理跨域</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WebSocket协议跨域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ascii="Verdana" w:hAnsi="Verdana" w:eastAsia="宋体" w:cs="Verdana"/>
                <w:i w:val="0"/>
                <w:caps w:val="0"/>
                <w:color w:val="333333"/>
                <w:spacing w:val="0"/>
                <w:sz w:val="20"/>
                <w:szCs w:val="20"/>
                <w:shd w:val="clear" w:fill="FFFFFF"/>
                <w:lang w:val="en-US" w:eastAsia="zh-CN"/>
              </w:rPr>
            </w:pPr>
          </w:p>
        </w:tc>
      </w:tr>
    </w:tbl>
    <w:p>
      <w:pPr>
        <w:numPr>
          <w:ilvl w:val="0"/>
          <w:numId w:val="0"/>
        </w:numPr>
        <w:ind w:left="420" w:leftChars="0"/>
        <w:rPr>
          <w:rFonts w:hint="eastAsia"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项目技术亮点分析</w:t>
      </w:r>
      <w:r>
        <w:rPr>
          <w:rFonts w:hint="eastAsia" w:cstheme="minorHAnsi"/>
          <w:sz w:val="24"/>
          <w:szCs w:val="24"/>
          <w:lang w:val="en-US" w:eastAsia="zh-CN"/>
        </w:rPr>
        <w:t xml:space="preserve">  字体加粗</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w:t>
            </w:r>
          </w:p>
          <w:p>
            <w:pPr>
              <w:numPr>
                <w:ilvl w:val="0"/>
                <w:numId w:val="0"/>
              </w:numPr>
              <w:tabs>
                <w:tab w:val="left" w:pos="1694"/>
              </w:tabs>
              <w:ind w:leftChars="-500"/>
              <w:rPr>
                <w:rFonts w:hint="eastAsia" w:asciiTheme="minorEastAsia" w:hAnsiTheme="minorEastAsia" w:cstheme="minorEastAsia"/>
                <w:sz w:val="24"/>
                <w:szCs w:val="24"/>
                <w:vertAlign w:val="baseline"/>
                <w:lang w:val="en-US" w:eastAsia="zh-CN"/>
              </w:rPr>
            </w:pPr>
            <w:r>
              <w:rPr>
                <w:rFonts w:hint="eastAsia" w:cstheme="minorHAnsi"/>
                <w:sz w:val="20"/>
                <w:szCs w:val="20"/>
                <w:vertAlign w:val="baseline"/>
                <w:lang w:val="en-US" w:eastAsia="zh-CN"/>
              </w:rPr>
              <w:t xml:space="preserve">     </w:t>
            </w:r>
            <w:r>
              <w:rPr>
                <w:rFonts w:hint="eastAsia" w:asciiTheme="minorEastAsia" w:hAnsiTheme="minorEastAsia" w:cstheme="minorEastAsia"/>
                <w:sz w:val="24"/>
                <w:szCs w:val="24"/>
                <w:vertAlign w:val="baseline"/>
                <w:lang w:val="en-US" w:eastAsia="zh-CN"/>
              </w:rPr>
              <w:t xml:space="preserve"> 的  亮点</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1.分布式架构CAS单点登录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访问服务： SSO 客户端发送请求访问应用系统提供的服务资源。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2160" w:firstLineChars="9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定向认证： SSO 客户端会重定向用户请求到 SSO 服务器。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用户认证：用户身份认证。</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发放票据： SSO 服务器会产生一个随机的 Service Ticket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验证票据： SSO 服务器验证票据 Service Ticket 的合法性，验证通过后，允许客户端访问服务。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传输用户信息： SSO 服务器验证票据通过后，传输用户认证结果信息给客户端。</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2.redis</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在项目中，我们使用了redis缓存热点数据，将页面展示的</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借贷信息进行缓存，因为这部分数据在每个访问网站的人都可以看到，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所以缓存在redis中，采用hash的数据结构，同时，如果后台审核</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通过了新的借款流程，redis也会追加最新数据，同时，我们也在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Redis缓存短信验证码，在用户改密码或者注册，短信的验证码是存</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在Redis中。</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3.)JWT技术:因为我们的端口是暴露在公网中，会出现一些安全问题，</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所以在当时我们项目中用Jwt实现Tonken验证机制的,jwt包括头部、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载荷与签名,头部描述的是关于该JWT的最基本的信息，类似于一个</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json对象,在头部指明了签名算法是HS256算法,我们进行BASE64编</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码得到jwt的第一部分,载荷就是存放有效信息的地方,利用自己的一</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些规则进行第二部分的加密(过期时间必须要大于签发时间),第三步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是通过前两部分进行加盐加密实现的中,将这三部分组成则就生成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一个大的字符串这就是我们的Token.在进行测试时我们利用Postman</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工具进行测试,在测试的时候我们按照之前前后端的约定有一个头信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息Authorization然后在加上自己设定的简单密钥进行测试,这样</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就保证我们后台的安全了。</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4.dubbo六种容错策略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r>
              <w:rPr>
                <w:rFonts w:hint="default" w:asciiTheme="minorEastAsia" w:hAnsiTheme="minorEastAsia" w:cstheme="minorEastAsia"/>
                <w:sz w:val="24"/>
                <w:szCs w:val="24"/>
                <w:vertAlign w:val="baseline"/>
                <w:lang w:val="en-US" w:eastAsia="zh-CN"/>
              </w:rPr>
              <w:t>1</w:t>
            </w:r>
            <w:r>
              <w:rPr>
                <w:rFonts w:hint="eastAsia" w:asciiTheme="minorEastAsia" w:hAnsiTheme="minorEastAsia" w:cstheme="minorEastAsia"/>
                <w:sz w:val="24"/>
                <w:szCs w:val="24"/>
                <w:vertAlign w:val="baseline"/>
                <w:lang w:val="en-US" w:eastAsia="zh-CN"/>
              </w:rPr>
              <w:t>．Failover Cluster 模式</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失败自动切换，当出现失败，重试其它服务器。(缺省) 通常用于读操作，但重试会带来更长延迟。 可通过retries=”2”来设置重试次数(不含第一次)。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2</w:t>
            </w:r>
            <w:r>
              <w:rPr>
                <w:rFonts w:hint="eastAsia" w:asciiTheme="minorEastAsia" w:hAnsiTheme="minorEastAsia" w:cstheme="minorEastAsia"/>
                <w:sz w:val="24"/>
                <w:szCs w:val="24"/>
                <w:vertAlign w:val="baseline"/>
                <w:lang w:val="en-US" w:eastAsia="zh-CN"/>
              </w:rPr>
              <w:t>．Failfast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快速失败，只发起一次调用，失败立即报错。通常用于非幂等性的写操作，比如新增记录。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3</w:t>
            </w:r>
            <w:r>
              <w:rPr>
                <w:rFonts w:hint="eastAsia" w:asciiTheme="minorEastAsia" w:hAnsiTheme="minorEastAsia" w:cstheme="minorEastAsia"/>
                <w:sz w:val="24"/>
                <w:szCs w:val="24"/>
                <w:vertAlign w:val="baseline"/>
                <w:lang w:val="en-US" w:eastAsia="zh-CN"/>
              </w:rPr>
              <w:t>．Failsafe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失败安全，出现异常时，直接忽略。通常用于写入审计日志等操作。</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4</w:t>
            </w:r>
            <w:r>
              <w:rPr>
                <w:rFonts w:hint="eastAsia" w:asciiTheme="minorEastAsia" w:hAnsiTheme="minorEastAsia" w:cstheme="minorEastAsia"/>
                <w:sz w:val="24"/>
                <w:szCs w:val="24"/>
                <w:vertAlign w:val="baseline"/>
                <w:lang w:val="en-US" w:eastAsia="zh-CN"/>
              </w:rPr>
              <w:t>．Failback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失败自动恢复，后台记录失败请求，定时重发。通常用于消息通知操作。</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5</w:t>
            </w:r>
            <w:r>
              <w:rPr>
                <w:rFonts w:hint="eastAsia" w:asciiTheme="minorEastAsia" w:hAnsiTheme="minorEastAsia" w:cstheme="minorEastAsia"/>
                <w:sz w:val="24"/>
                <w:szCs w:val="24"/>
                <w:vertAlign w:val="baseline"/>
                <w:lang w:val="en-US" w:eastAsia="zh-CN"/>
              </w:rPr>
              <w:t>．Forking(fo gen)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1.并行调用多个服务器，只要一个成功即返回。通常用于实时性要求较高的读操作，但需要浪费更多服务资源。 可通过forks=”2”来设置最大并行数。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6</w:t>
            </w:r>
            <w:r>
              <w:rPr>
                <w:rFonts w:hint="eastAsia" w:asciiTheme="minorEastAsia" w:hAnsiTheme="minorEastAsia" w:cstheme="minorEastAsia"/>
                <w:sz w:val="24"/>
                <w:szCs w:val="24"/>
                <w:vertAlign w:val="baseline"/>
                <w:lang w:val="en-US" w:eastAsia="zh-CN"/>
              </w:rPr>
              <w:t>．Broadcast(bu ruo ka si te)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广播调用所有提供者，逐个调用，任意一台报错则报错。(2.1.0开始支持)通常用于通知所有提供者更新缓存或日志等本地资源信息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w:t>
            </w:r>
            <w:r>
              <w:rPr>
                <w:rFonts w:hint="eastAsia" w:ascii="微软雅黑" w:hAnsi="微软雅黑" w:eastAsia="微软雅黑" w:cs="微软雅黑"/>
                <w:b/>
                <w:bCs/>
                <w:color w:val="333333"/>
                <w:sz w:val="16"/>
                <w:szCs w:val="16"/>
                <w:shd w:val="clear" w:color="auto" w:fill="FFFFFF"/>
                <w:lang w:val="en-US" w:eastAsia="zh-CN"/>
              </w:rPr>
              <w:t>难点</w:t>
            </w:r>
            <w:r>
              <w:rPr>
                <w:rFonts w:hint="eastAsia" w:ascii="微软雅黑" w:hAnsi="微软雅黑" w:eastAsia="微软雅黑" w:cs="微软雅黑"/>
                <w:b/>
                <w:bCs/>
                <w:color w:val="333333"/>
                <w:sz w:val="16"/>
                <w:szCs w:val="16"/>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60" w:hangingChars="100"/>
              <w:jc w:val="both"/>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w:t>
            </w:r>
            <w:r>
              <w:rPr>
                <w:rFonts w:hint="eastAsia" w:ascii="微软雅黑" w:hAnsi="微软雅黑" w:eastAsia="微软雅黑" w:cs="微软雅黑"/>
                <w:b/>
                <w:bCs/>
                <w:color w:val="333333"/>
                <w:sz w:val="16"/>
                <w:szCs w:val="16"/>
                <w:shd w:val="clear" w:color="auto" w:fill="FFFFFF"/>
                <w:lang w:val="en-US" w:eastAsia="zh-CN"/>
              </w:rPr>
              <w:t xml:space="preserve"> </w:t>
            </w:r>
            <w:r>
              <w:rPr>
                <w:rFonts w:hint="eastAsia" w:ascii="微软雅黑" w:hAnsi="微软雅黑" w:eastAsia="微软雅黑" w:cs="微软雅黑"/>
                <w:b/>
                <w:bCs/>
                <w:color w:val="333333"/>
                <w:sz w:val="16"/>
                <w:szCs w:val="16"/>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6"/>
                <w:szCs w:val="16"/>
                <w:shd w:val="clear" w:color="auto" w:fill="FFFFFF"/>
                <w:lang w:val="en-US" w:eastAsia="zh-CN"/>
              </w:rPr>
            </w:pPr>
            <w:r>
              <w:rPr>
                <w:rFonts w:hint="eastAsia" w:ascii="微软雅黑" w:hAnsi="微软雅黑" w:eastAsia="微软雅黑" w:cs="微软雅黑"/>
                <w:color w:val="333333"/>
                <w:sz w:val="16"/>
                <w:szCs w:val="16"/>
                <w:shd w:val="clear" w:color="auto" w:fill="FFFFFF"/>
                <w:lang w:val="en-US" w:eastAsia="zh-CN"/>
              </w:rPr>
              <w:t>不合格</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default" w:cstheme="minorHAnsi"/>
          <w:sz w:val="24"/>
          <w:szCs w:val="24"/>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276"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亮点简历与项目</w:t>
            </w:r>
            <w:r>
              <w:rPr>
                <w:rFonts w:hint="eastAsia" w:ascii="微软雅黑" w:hAnsi="微软雅黑" w:eastAsia="微软雅黑" w:cs="微软雅黑"/>
                <w:b/>
                <w:bCs/>
                <w:color w:val="333333"/>
                <w:sz w:val="16"/>
                <w:szCs w:val="16"/>
                <w:shd w:val="clear" w:color="auto" w:fill="FFFFFF"/>
                <w:lang w:val="en-US" w:eastAsia="zh-CN"/>
              </w:rPr>
              <w:t>描述</w:t>
            </w:r>
            <w:r>
              <w:rPr>
                <w:rFonts w:hint="eastAsia" w:ascii="微软雅黑" w:hAnsi="微软雅黑" w:eastAsia="微软雅黑" w:cs="微软雅黑"/>
                <w:b/>
                <w:bCs/>
                <w:color w:val="333333"/>
                <w:sz w:val="16"/>
                <w:szCs w:val="16"/>
                <w:shd w:val="clear" w:color="auto" w:fill="FFFFFF"/>
              </w:rPr>
              <w:t>是否匹配</w:t>
            </w:r>
          </w:p>
        </w:tc>
        <w:tc>
          <w:tcPr>
            <w:tcW w:w="1417"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60" w:hangingChars="100"/>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 （评定）</w:t>
            </w:r>
          </w:p>
        </w:tc>
        <w:tc>
          <w:tcPr>
            <w:tcW w:w="1276" w:type="dxa"/>
          </w:tcPr>
          <w:p>
            <w:pPr>
              <w:spacing w:line="360" w:lineRule="auto"/>
              <w:rPr>
                <w:rFonts w:ascii="微软雅黑" w:hAnsi="微软雅黑" w:eastAsia="微软雅黑" w:cs="微软雅黑"/>
                <w:b/>
                <w:bCs/>
                <w:color w:val="333333"/>
                <w:sz w:val="16"/>
                <w:szCs w:val="16"/>
                <w:shd w:val="clear" w:color="auto" w:fill="FFFFFF"/>
              </w:rPr>
            </w:pPr>
          </w:p>
        </w:tc>
        <w:tc>
          <w:tcPr>
            <w:tcW w:w="1417"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395" w:type="dxa"/>
          </w:tcPr>
          <w:p>
            <w:pPr>
              <w:spacing w:line="360" w:lineRule="auto"/>
              <w:rPr>
                <w:rFonts w:ascii="微软雅黑" w:hAnsi="微软雅黑" w:eastAsia="微软雅黑" w:cs="微软雅黑"/>
                <w:b/>
                <w:bCs/>
                <w:color w:val="333333"/>
                <w:sz w:val="16"/>
                <w:szCs w:val="16"/>
                <w:shd w:val="clear" w:color="auto" w:fill="FFFFFF"/>
              </w:rPr>
            </w:pPr>
          </w:p>
        </w:tc>
        <w:tc>
          <w:tcPr>
            <w:tcW w:w="1204" w:type="dxa"/>
          </w:tcPr>
          <w:p>
            <w:pPr>
              <w:spacing w:line="360" w:lineRule="auto"/>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276" w:type="dxa"/>
          </w:tcPr>
          <w:p>
            <w:pPr>
              <w:spacing w:line="360" w:lineRule="auto"/>
              <w:rPr>
                <w:rFonts w:ascii="微软雅黑" w:hAnsi="微软雅黑" w:eastAsia="微软雅黑" w:cs="微软雅黑"/>
                <w:color w:val="333333"/>
                <w:sz w:val="16"/>
                <w:szCs w:val="16"/>
                <w:shd w:val="clear" w:color="auto" w:fill="FFFFFF"/>
              </w:rPr>
            </w:pPr>
          </w:p>
        </w:tc>
        <w:tc>
          <w:tcPr>
            <w:tcW w:w="1417"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395" w:type="dxa"/>
          </w:tcPr>
          <w:p>
            <w:pPr>
              <w:spacing w:line="360" w:lineRule="auto"/>
              <w:rPr>
                <w:rFonts w:ascii="微软雅黑" w:hAnsi="微软雅黑" w:eastAsia="微软雅黑" w:cs="微软雅黑"/>
                <w:color w:val="333333"/>
                <w:sz w:val="16"/>
                <w:szCs w:val="16"/>
                <w:shd w:val="clear" w:color="auto" w:fill="FFFFFF"/>
              </w:rPr>
            </w:pPr>
          </w:p>
        </w:tc>
        <w:tc>
          <w:tcPr>
            <w:tcW w:w="1204" w:type="dxa"/>
          </w:tcPr>
          <w:p>
            <w:pPr>
              <w:spacing w:line="360" w:lineRule="auto"/>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lang w:eastAsia="zh-CN"/>
              </w:rPr>
              <w:t>项目答辩</w:t>
            </w:r>
            <w:r>
              <w:rPr>
                <w:rFonts w:hint="eastAsia" w:ascii="微软雅黑" w:hAnsi="微软雅黑" w:eastAsia="微软雅黑" w:cs="微软雅黑"/>
                <w:color w:val="333333"/>
                <w:sz w:val="16"/>
                <w:szCs w:val="16"/>
                <w:shd w:val="clear" w:color="auto" w:fill="FFFFFF"/>
              </w:rPr>
              <w:t>是否合格</w:t>
            </w:r>
          </w:p>
        </w:tc>
        <w:tc>
          <w:tcPr>
            <w:tcW w:w="113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5"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不合格</w:t>
            </w:r>
          </w:p>
        </w:tc>
        <w:tc>
          <w:tcPr>
            <w:tcW w:w="120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 xml:space="preserve">      </w:t>
            </w:r>
          </w:p>
        </w:tc>
      </w:tr>
    </w:tbl>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50"/>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E63B5"/>
    <w:multiLevelType w:val="singleLevel"/>
    <w:tmpl w:val="A3AE63B5"/>
    <w:lvl w:ilvl="0" w:tentative="0">
      <w:start w:val="1"/>
      <w:numFmt w:val="decimal"/>
      <w:lvlText w:val="(%1)"/>
      <w:lvlJc w:val="left"/>
      <w:pPr>
        <w:tabs>
          <w:tab w:val="left" w:pos="312"/>
        </w:tabs>
      </w:pPr>
    </w:lvl>
  </w:abstractNum>
  <w:abstractNum w:abstractNumId="1">
    <w:nsid w:val="E58A82C5"/>
    <w:multiLevelType w:val="singleLevel"/>
    <w:tmpl w:val="E58A82C5"/>
    <w:lvl w:ilvl="0" w:tentative="0">
      <w:start w:val="2"/>
      <w:numFmt w:val="decimal"/>
      <w:lvlText w:val="%1."/>
      <w:lvlJc w:val="left"/>
      <w:pPr>
        <w:tabs>
          <w:tab w:val="left" w:pos="312"/>
        </w:tabs>
        <w:ind w:left="800" w:leftChars="0" w:firstLine="0" w:firstLineChars="0"/>
      </w:p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C128C7"/>
    <w:rsid w:val="019300B0"/>
    <w:rsid w:val="03075CF2"/>
    <w:rsid w:val="06347ABF"/>
    <w:rsid w:val="06D8149B"/>
    <w:rsid w:val="09642F33"/>
    <w:rsid w:val="09CE247F"/>
    <w:rsid w:val="0AE94131"/>
    <w:rsid w:val="0E07080A"/>
    <w:rsid w:val="0F421162"/>
    <w:rsid w:val="10D83BEE"/>
    <w:rsid w:val="10D945DA"/>
    <w:rsid w:val="10E76034"/>
    <w:rsid w:val="12BE39BC"/>
    <w:rsid w:val="147C2FBA"/>
    <w:rsid w:val="16017CE9"/>
    <w:rsid w:val="16B91699"/>
    <w:rsid w:val="16D54765"/>
    <w:rsid w:val="16E63AB1"/>
    <w:rsid w:val="17C91DCD"/>
    <w:rsid w:val="1A022440"/>
    <w:rsid w:val="1BC77C31"/>
    <w:rsid w:val="1C522194"/>
    <w:rsid w:val="1D3F570E"/>
    <w:rsid w:val="1DCD4203"/>
    <w:rsid w:val="1E467A86"/>
    <w:rsid w:val="24EF6A4A"/>
    <w:rsid w:val="263118DC"/>
    <w:rsid w:val="267F440E"/>
    <w:rsid w:val="271555B3"/>
    <w:rsid w:val="27F93A66"/>
    <w:rsid w:val="285E40EE"/>
    <w:rsid w:val="2AB27F4F"/>
    <w:rsid w:val="2ABB4124"/>
    <w:rsid w:val="2BBA2B4D"/>
    <w:rsid w:val="2CE26BD8"/>
    <w:rsid w:val="2D1D18E9"/>
    <w:rsid w:val="2D581994"/>
    <w:rsid w:val="2DE90384"/>
    <w:rsid w:val="2F87735D"/>
    <w:rsid w:val="338860D9"/>
    <w:rsid w:val="34812C04"/>
    <w:rsid w:val="37013631"/>
    <w:rsid w:val="384B278B"/>
    <w:rsid w:val="3C525C5F"/>
    <w:rsid w:val="403F6048"/>
    <w:rsid w:val="41082550"/>
    <w:rsid w:val="44E727D5"/>
    <w:rsid w:val="4645294D"/>
    <w:rsid w:val="479C7AA0"/>
    <w:rsid w:val="48211AF7"/>
    <w:rsid w:val="490822E4"/>
    <w:rsid w:val="497E0B5C"/>
    <w:rsid w:val="4CB1482B"/>
    <w:rsid w:val="4D4D2B47"/>
    <w:rsid w:val="4E57502F"/>
    <w:rsid w:val="524E3674"/>
    <w:rsid w:val="55C565CA"/>
    <w:rsid w:val="55D33E0A"/>
    <w:rsid w:val="59AC77D5"/>
    <w:rsid w:val="5A3F6274"/>
    <w:rsid w:val="5A582830"/>
    <w:rsid w:val="5A605191"/>
    <w:rsid w:val="5D913D90"/>
    <w:rsid w:val="5ECC6F73"/>
    <w:rsid w:val="5F6329A0"/>
    <w:rsid w:val="6256315A"/>
    <w:rsid w:val="64084188"/>
    <w:rsid w:val="654469B2"/>
    <w:rsid w:val="65EE388A"/>
    <w:rsid w:val="6AD13539"/>
    <w:rsid w:val="6C5E46D6"/>
    <w:rsid w:val="6D4C000D"/>
    <w:rsid w:val="6EF20976"/>
    <w:rsid w:val="6FA6118B"/>
    <w:rsid w:val="73CE0624"/>
    <w:rsid w:val="75821833"/>
    <w:rsid w:val="758D0596"/>
    <w:rsid w:val="79E91346"/>
    <w:rsid w:val="7A630D5C"/>
    <w:rsid w:val="7D3D0CFB"/>
    <w:rsid w:val="7F57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MrCT</cp:lastModifiedBy>
  <dcterms:modified xsi:type="dcterms:W3CDTF">2019-04-28T10:38:04Z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