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numId w:val="0"/>
              </w:numPr>
              <w:ind w:left="800" w:leftChars="0"/>
              <w:rPr>
                <w:rFonts w:hint="default"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olor w:val="333333"/>
                <w:spacing w:val="0"/>
                <w:sz w:val="24"/>
                <w:szCs w:val="24"/>
                <w:shd w:val="clear" w:fill="FFFFFF"/>
                <w:lang w:val="en-US" w:eastAsia="zh-CN"/>
              </w:rPr>
              <w:t>1.H</w:t>
            </w:r>
            <w:r>
              <w:rPr>
                <w:rFonts w:hint="eastAsia" w:asciiTheme="minorEastAsia" w:hAnsiTheme="minorEastAsia" w:cstheme="minorEastAsia"/>
                <w:i w:val="0"/>
                <w:caps w:val="0"/>
                <w:color w:val="333333"/>
                <w:spacing w:val="0"/>
                <w:sz w:val="24"/>
                <w:szCs w:val="24"/>
                <w:shd w:val="clear" w:fill="FFFFFF"/>
                <w:lang w:val="en-US" w:eastAsia="zh-CN"/>
              </w:rPr>
              <w:t xml:space="preserve">ttpClient    </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跨域资源共享（CORS）</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nginx代理跨域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bookmarkStart w:id="0" w:name="_GoBack"/>
            <w:bookmarkEnd w:id="0"/>
            <w:r>
              <w:rPr>
                <w:rFonts w:hint="eastAsia" w:asciiTheme="minorEastAsia" w:hAnsiTheme="minorEastAsia" w:cstheme="minorEastAsia"/>
                <w:sz w:val="24"/>
                <w:szCs w:val="24"/>
                <w:vertAlign w:val="baseline"/>
                <w:lang w:val="en-US" w:eastAsia="zh-CN"/>
              </w:rPr>
              <w:t xml:space="preserv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4.dubbo六种容错策略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r>
              <w:rPr>
                <w:rFonts w:hint="default" w:asciiTheme="minorEastAsia" w:hAnsiTheme="minorEastAsia" w:cstheme="minorEastAsia"/>
                <w:sz w:val="24"/>
                <w:szCs w:val="24"/>
                <w:vertAlign w:val="baseline"/>
                <w:lang w:val="en-US" w:eastAsia="zh-CN"/>
              </w:rPr>
              <w:t>1</w:t>
            </w:r>
            <w:r>
              <w:rPr>
                <w:rFonts w:hint="eastAsia" w:asciiTheme="minorEastAsia" w:hAnsiTheme="minorEastAsia" w:cstheme="minorEastAsia"/>
                <w:sz w:val="24"/>
                <w:szCs w:val="24"/>
                <w:vertAlign w:val="baseline"/>
                <w:lang w:val="en-US" w:eastAsia="zh-CN"/>
              </w:rPr>
              <w:t>．Failover Cluster 模式</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失败自动切换，当出现失败，重试其它服务器。(缺省) 通常用于读操作，但重试会带来更长延迟。 可通过retries=”2”来设置重试次数(不含第一次)。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2</w:t>
            </w:r>
            <w:r>
              <w:rPr>
                <w:rFonts w:hint="eastAsia" w:asciiTheme="minorEastAsia" w:hAnsiTheme="minorEastAsia" w:cstheme="minorEastAsia"/>
                <w:sz w:val="24"/>
                <w:szCs w:val="24"/>
                <w:vertAlign w:val="baseline"/>
                <w:lang w:val="en-US" w:eastAsia="zh-CN"/>
              </w:rPr>
              <w:t>．Failfast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快速失败，只发起一次调用，失败立即报错。通常用于非幂等性的写操作，比如新增记录。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3</w:t>
            </w:r>
            <w:r>
              <w:rPr>
                <w:rFonts w:hint="eastAsia" w:asciiTheme="minorEastAsia" w:hAnsiTheme="minorEastAsia" w:cstheme="minorEastAsia"/>
                <w:sz w:val="24"/>
                <w:szCs w:val="24"/>
                <w:vertAlign w:val="baseline"/>
                <w:lang w:val="en-US" w:eastAsia="zh-CN"/>
              </w:rPr>
              <w:t>．Failsafe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失败安全，出现异常时，直接忽略。通常用于写入审计日志等操作。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4</w:t>
            </w:r>
            <w:r>
              <w:rPr>
                <w:rFonts w:hint="eastAsia" w:asciiTheme="minorEastAsia" w:hAnsiTheme="minorEastAsia" w:cstheme="minorEastAsia"/>
                <w:sz w:val="24"/>
                <w:szCs w:val="24"/>
                <w:vertAlign w:val="baseline"/>
                <w:lang w:val="en-US" w:eastAsia="zh-CN"/>
              </w:rPr>
              <w:t>．Failback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失败自动恢复，后台记录失败请求，定时重发。通常用于消息通知操作。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5</w:t>
            </w:r>
            <w:r>
              <w:rPr>
                <w:rFonts w:hint="eastAsia" w:asciiTheme="minorEastAsia" w:hAnsiTheme="minorEastAsia" w:cstheme="minorEastAsia"/>
                <w:sz w:val="24"/>
                <w:szCs w:val="24"/>
                <w:vertAlign w:val="baseline"/>
                <w:lang w:val="en-US" w:eastAsia="zh-CN"/>
              </w:rPr>
              <w:t>．Forking(fo gen)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1.并行调用多个服务器，只要一个成功即返回。通常用于实时性要求较高的读操作，但需要浪费更多服务资源。 可通过forks=”2”来设置最大并行数。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6</w:t>
            </w:r>
            <w:r>
              <w:rPr>
                <w:rFonts w:hint="eastAsia" w:asciiTheme="minorEastAsia" w:hAnsiTheme="minorEastAsia" w:cstheme="minorEastAsia"/>
                <w:sz w:val="24"/>
                <w:szCs w:val="24"/>
                <w:vertAlign w:val="baseline"/>
                <w:lang w:val="en-US" w:eastAsia="zh-CN"/>
              </w:rPr>
              <w:t>．Broadcast(bu ruo ka si te)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广播调用所有提供者，逐个调用，任意一台报错则报错。(2.1.0开始支持)通常用于通知所有提供者更新缓存或日志等本地资源信息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E07080A"/>
    <w:rsid w:val="0F421162"/>
    <w:rsid w:val="10D83BEE"/>
    <w:rsid w:val="10D945DA"/>
    <w:rsid w:val="10E76034"/>
    <w:rsid w:val="11BC7EE2"/>
    <w:rsid w:val="12BE39BC"/>
    <w:rsid w:val="147C2FBA"/>
    <w:rsid w:val="16017CE9"/>
    <w:rsid w:val="16B91699"/>
    <w:rsid w:val="16D54765"/>
    <w:rsid w:val="16E63AB1"/>
    <w:rsid w:val="17C91DCD"/>
    <w:rsid w:val="1A022440"/>
    <w:rsid w:val="1BC77C31"/>
    <w:rsid w:val="1C522194"/>
    <w:rsid w:val="1D3F570E"/>
    <w:rsid w:val="1DCD4203"/>
    <w:rsid w:val="1E467A86"/>
    <w:rsid w:val="24002F32"/>
    <w:rsid w:val="24EF6A4A"/>
    <w:rsid w:val="263118DC"/>
    <w:rsid w:val="267F440E"/>
    <w:rsid w:val="271555B3"/>
    <w:rsid w:val="27F93A66"/>
    <w:rsid w:val="285E40EE"/>
    <w:rsid w:val="2AB27F4F"/>
    <w:rsid w:val="2ABB4124"/>
    <w:rsid w:val="2BBA2B4D"/>
    <w:rsid w:val="2CE26BD8"/>
    <w:rsid w:val="2D1D18E9"/>
    <w:rsid w:val="2D581994"/>
    <w:rsid w:val="2DE90384"/>
    <w:rsid w:val="2F87735D"/>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769569F"/>
    <w:rsid w:val="59AC77D5"/>
    <w:rsid w:val="5A3F6274"/>
    <w:rsid w:val="5A582830"/>
    <w:rsid w:val="5A605191"/>
    <w:rsid w:val="5D913D90"/>
    <w:rsid w:val="5ECC6F73"/>
    <w:rsid w:val="5F6329A0"/>
    <w:rsid w:val="6256315A"/>
    <w:rsid w:val="64084188"/>
    <w:rsid w:val="654469B2"/>
    <w:rsid w:val="656D6F2C"/>
    <w:rsid w:val="65EE388A"/>
    <w:rsid w:val="677B72FD"/>
    <w:rsid w:val="6AD13539"/>
    <w:rsid w:val="6C5E46D6"/>
    <w:rsid w:val="6D4C000D"/>
    <w:rsid w:val="6EF20976"/>
    <w:rsid w:val="6FA6118B"/>
    <w:rsid w:val="71096F48"/>
    <w:rsid w:val="73CE0624"/>
    <w:rsid w:val="75821833"/>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2019-04-29T00:28:11Z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