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模块包括借款和投资模块，信息认证及审核模块。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</w:rPr>
      </w:pPr>
      <w:r>
        <w:rPr>
          <w:rFonts w:hint="eastAsia" w:cstheme="minorHAnsi"/>
          <w:sz w:val="24"/>
          <w:szCs w:val="24"/>
        </w:rPr>
        <w:t>功能模块介绍</w:t>
      </w:r>
      <w:r>
        <w:rPr>
          <w:rFonts w:hint="eastAsia" w:cstheme="minorHAnsi"/>
          <w:sz w:val="24"/>
          <w:szCs w:val="24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发标前审核:</w:t>
            </w:r>
          </w:p>
          <w:p>
            <w:pPr>
              <w:numPr>
                <w:numId w:val="0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  后台获取未审核的标的记录，查看申请人的相关信息和资格，包括实名认证信息，基本信息，风控信息，以及此前借贷偿还信息，然后提交审核结果，数据提交后台，在标的审核记录表生成新的审核记录，因为标的存在待审状态，招标状态，满标和流标等多种状态，所以不再原记录添加审核人审核时间等参数。如果审核通过，此标进入招标状态，将被所有人在前台可见，如果审核失败，则标的进入审核失败状态，用户恢复借贷资格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满标之后需要两次审核才能形成实际借贷关系，一审和二审业务逻辑大部分相同，都是前台传递审核结果，标的的id以及审核备注信息，后台判断此标信息是否有效，以及借款人的账户资金情况，在审核结果记录表中添加审核记录，包括标的信息，审核人信息等，在根据审核结果是否通过再执行相关业务逻辑。审核不通过，将投标用户的账户资金解冻，增加可用金额，账户流水记录添加记录，满标一审二审的逻辑都一样，不一样的的是一审通过后，标的信息变为等待二审，而二审通过后，则扣除投标人账户资金，即扣除冻结金额，然后平台从借款金额中收取手续费，为借款人生成还款对象以及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    在页面填写相关借款信息，包括借款金额（不超过信用额度），利息，还款期限，最小投标数，借款描述信息等，其中利息和最小最大、借贷金额需要在跳转页面前从后台获取平台默认的最小最大利息值，页面填写好相关信息之后，参数通过表单传到后台，首先要去判断当前用户id是否是登录用户，资金是否正常，然后借款利息，金额，期限是否都是有效的参数，没有问题的话就在数据库生成标的记录，并将用户状态改为有一个借贷流程进行的状态，等待后台审核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开发中遇到的</w:t>
      </w:r>
      <w:r>
        <w:rPr>
          <w:rFonts w:hint="eastAsia" w:cstheme="minorHAnsi"/>
          <w:sz w:val="24"/>
          <w:szCs w:val="24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,来保证业务的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一系列操作的结果保持同步，保证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3"/>
              </w:numPr>
              <w:ind w:firstLine="40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难点3：当前项目是分布式项目，如何使用事物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难点4：dubbo+zk在项目中如何使用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难点5：跨域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项目技术亮点分析</w:t>
      </w:r>
      <w:r>
        <w:rPr>
          <w:rFonts w:hint="eastAsia" w:cstheme="minorHAnsi"/>
          <w:sz w:val="24"/>
          <w:szCs w:val="24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(1)项目框架：。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0"/>
                <w:szCs w:val="20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4"/>
              </w:numP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4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4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4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4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6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6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E63B5"/>
    <w:multiLevelType w:val="singleLevel"/>
    <w:tmpl w:val="A3AE63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3AA215"/>
    <w:multiLevelType w:val="singleLevel"/>
    <w:tmpl w:val="3A3AA21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19300B0"/>
    <w:rsid w:val="06347ABF"/>
    <w:rsid w:val="06D8149B"/>
    <w:rsid w:val="09642F33"/>
    <w:rsid w:val="09CE247F"/>
    <w:rsid w:val="0F421162"/>
    <w:rsid w:val="10D945DA"/>
    <w:rsid w:val="147C2FBA"/>
    <w:rsid w:val="16017CE9"/>
    <w:rsid w:val="16B91699"/>
    <w:rsid w:val="16D54765"/>
    <w:rsid w:val="1C522194"/>
    <w:rsid w:val="1D3F570E"/>
    <w:rsid w:val="1E467A86"/>
    <w:rsid w:val="24EF6A4A"/>
    <w:rsid w:val="267F440E"/>
    <w:rsid w:val="285E40EE"/>
    <w:rsid w:val="2AB27F4F"/>
    <w:rsid w:val="2BBA2B4D"/>
    <w:rsid w:val="2CE26BD8"/>
    <w:rsid w:val="2D581994"/>
    <w:rsid w:val="2DE90384"/>
    <w:rsid w:val="2F87735D"/>
    <w:rsid w:val="37013631"/>
    <w:rsid w:val="3C525C5F"/>
    <w:rsid w:val="403F6048"/>
    <w:rsid w:val="4645294D"/>
    <w:rsid w:val="479C7AA0"/>
    <w:rsid w:val="48211AF7"/>
    <w:rsid w:val="497E0B5C"/>
    <w:rsid w:val="4CB1482B"/>
    <w:rsid w:val="4E57502F"/>
    <w:rsid w:val="524E3674"/>
    <w:rsid w:val="55C565CA"/>
    <w:rsid w:val="55D33E0A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  <w:rsid w:val="7A63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2019-04-25T11:19:38Z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