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田常平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6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bidi w:val="0"/>
              <w:ind w:firstLine="88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当时主要做的是一个p2p金融平台，由借贷双方自由竞价，撮合成交。资金借出人获取利息收益。资金借入人到期偿还本金。平台不吸储不放贷，仅收取平台手续费，比如提现手续费、还款利息管理费等通过该平台，让用户更安全同时也更快的进行资金的借款和还款。后台系统主要包括登录模块、用户管理、借款资质审核、初审、复审、满标一审、满标二审、线下充值审核、提现审核以及平台管理</w:t>
            </w:r>
            <w:r>
              <w:rPr>
                <w:rFonts w:hint="eastAsia"/>
                <w:lang w:val="en-US" w:eastAsia="zh-CN"/>
              </w:rPr>
              <w:t>等，其中最重要的是审核管理，它是对借款人资质审核，以及对账户资金变动的相关审核，比如发标前审核、满标一审、满标二审等。技术架构采用的是前后端分离开发。技术栈主要采用ssm框架开发，持久层采用的是mysql。数据访问层采用mybatis，控制层采用的是springmvc和springcecurity，前端技术采用的是freemarker和bootstrap技术。</w:t>
            </w:r>
          </w:p>
          <w:p>
            <w:pPr>
              <w:bidi w:val="0"/>
              <w:ind w:firstLine="883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6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80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满标一审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对于借款主要包括几个重要的对象：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bidrequest：借款信息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bid：投资人每次的投标记录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Accountflow：账户流水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说您想要在我这里借款，我是投资人，当我投资的金额达到您的借款金额时，就进入了满标一审的状态，在满标一审审核时，首先后台要对您的信息再次核对，是否存在当前借款信息，是否处于满标一审状态，如果不满足条件，前台提示用户不满足条件，进行资质审核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如果都没有问题，当管理员点击审核通过按钮时，借款对象(bidrequest)的state状态就变成了满标二审状态。同时生成审核历史对象。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管理员点击审核拒绝时，说明该借款进入了满标拒绝的状态，需要退换投资人的钱，因为涉及到了钱的变动，我们在这里有一个账户的流水对象accountflow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满标二审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借款进入满标二审审核时，也要对信息进行审核，判断是否有该借款对象以及该标是否是满标二审状态，当后台管理员点击的是审核通过，此时借款人借款成功，那么我们需要修改借款状态为还款中、增加借款人的账户余额、增加借款人账户待还本息、减少借款人可用信用额度、移除借款人借款状态码、支付借款手续费，平台账户的可用余额增加，我们平台当时是对于不足6个月的借款，将会收取借款金额的2%作为服务费用，至于6个月及6个月到12个月的借款，收取的是4%的服务费用，生成平台账户收取手续费流水。对于投资人来说待收本金和待收利息增加，生成成功投资流水，同时我们考虑到后续借款人需要分期还款，所以在成功借款之后生成每一期还款对象(Paymentschedule)和回款对象：还款明细PaymentscheduleDetail：回款明细，还款对象是针对与借款人的，回款对象是针对投资人的，还款对象包含每一期借款人需要还款金额，而回款对象包含投资人每一笔投资生成的本金和利息，这样便于投资人查看每一笔资金的收益情况（生成还款和回款对象）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管理员点击审核拒绝时，说明该借款进入了满标拒绝的状态，需要退换投资人的钱，因为涉及到了钱的变动，我们在这里有一个账户的流水对象accountflow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>
            <w:pPr>
              <w:pStyle w:val="4"/>
              <w:bidi w:val="0"/>
              <w:ind w:firstLine="883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线下充值单审核</w:t>
            </w:r>
            <w:bookmarkStart w:id="0" w:name="_GoBack"/>
            <w:bookmarkEnd w:id="0"/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6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6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6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6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19240B"/>
    <w:rsid w:val="09CE247F"/>
    <w:rsid w:val="0E9B224E"/>
    <w:rsid w:val="10D945DA"/>
    <w:rsid w:val="16B91699"/>
    <w:rsid w:val="1F1864B3"/>
    <w:rsid w:val="24EF6A4A"/>
    <w:rsid w:val="26C6750F"/>
    <w:rsid w:val="2AB27F4F"/>
    <w:rsid w:val="2D581994"/>
    <w:rsid w:val="2DE90384"/>
    <w:rsid w:val="3C525C5F"/>
    <w:rsid w:val="4645294D"/>
    <w:rsid w:val="524E3674"/>
    <w:rsid w:val="59564C7C"/>
    <w:rsid w:val="59AC77D5"/>
    <w:rsid w:val="5A3F6274"/>
    <w:rsid w:val="5A5B13A0"/>
    <w:rsid w:val="6256315A"/>
    <w:rsid w:val="6D4C000D"/>
    <w:rsid w:val="703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凌落飞花雨</cp:lastModifiedBy>
  <dcterms:modified xsi:type="dcterms:W3CDTF">2019-04-22T12:58:15Z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