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 w:val="0"/>
          <w:sz w:val="28"/>
        </w:rPr>
        <w:t>Національний технічний університет України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«Київський політехнічний інститут імені Ігоря Сікорського»</w:t>
      </w:r>
    </w:p>
    <w:p/>
    <w:p/>
    <w:p>
      <w:pPr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з лабораторної роботи №2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Тема: Робота з брокерами повідомлень</w:t>
      </w:r>
    </w:p>
    <w:p/>
    <w:p>
      <w:pPr>
        <w:jc w:val="center"/>
      </w:pPr>
      <w:r>
        <w:rPr>
          <w:rFonts w:ascii="Times New Roman" w:hAnsi="Times New Roman"/>
          <w:b w:val="0"/>
          <w:sz w:val="28"/>
        </w:rPr>
        <w:t>Варіант 1</w:t>
      </w:r>
    </w:p>
    <w:p/>
    <w:p/>
    <w:p/>
    <w:p>
      <w:pPr>
        <w:jc w:val="center"/>
      </w:pPr>
      <w:r>
        <w:rPr>
          <w:rFonts w:ascii="Times New Roman" w:hAnsi="Times New Roman"/>
          <w:b w:val="0"/>
          <w:sz w:val="28"/>
        </w:rPr>
        <w:t>Київ – 2025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 Тема роботи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Робота з брокерами повідомлень. Розробка розподіленого застосунку з використанням RabbitMQ для асинхронної передачі даних між модулями.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 Мета роботи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Вивчити принципи роботи брокерів повідомлень на прикладі RabbitMQ. Розробити двомодульний розподілений застосунок, у якому перший модуль приймає запит від клієнта і публікує повідомлення до черги, а другий модуль споживає ці повідомлення та зберігає їх у базі даних.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 Індивідуальне завдання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Варіант 1 — Оранжерея (Flower).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Предметна область: рослини в оранжереї. Кореневий елемент — Flower. Поля сутності: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Name — назва рослини.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Soil — ґрунт (підзолистий, ґрунтовий, дерново-підзолистий).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Origin — місце походження.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Visual parameters — зовнішні параметри: колір стебла, колір листя, середній розмір.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Growing tips — умови зростання: температура, освітлення, полив.</w:t>
      </w:r>
    </w:p>
    <w:p>
      <w:pPr>
        <w:pStyle w:val="ListBullet"/>
      </w:pPr>
      <w:r>
        <w:rPr>
          <w:rFonts w:ascii="Times New Roman" w:hAnsi="Times New Roman"/>
          <w:b w:val="0"/>
          <w:sz w:val="28"/>
        </w:rPr>
        <w:t>Multiplying — розмноження: листям, живцями або насінням.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4. Теоретичні відомості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RabbitMQ — брокер повідомлень, що реалізує протокол AMQP 0-9-1. Виробник (producer) публікує повідомлення до exchange, звідки вони маршрутизуються до черг (queues) згідно з binding key. Споживач (consumer) підписується на чергу і обробляє повідомлення асинхронно. Така архітектура забезпечує розв'язку між модулями та стійкість до тимчасової недоступності споживача.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Spring AMQP надає анотацію @RabbitListener для декларативного опису споживачів та RabbitTemplate для відправки. Конфігурація черги, exchange та binding оголошується через Spring beans типу Queue, DirectExchange і Binding.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5. Архітектура застосунку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Застосунок складається з двох модулів в межах одного Spring Boot проекту, що взаємодіють через RabbitMQ:</w:t>
      </w:r>
    </w:p>
    <w:p>
      <w:pPr>
        <w:spacing w:after="120"/>
        <w:jc w:val="both"/>
      </w:pPr>
      <w:r>
        <w:rPr>
          <w:rFonts w:ascii="Times New Roman" w:hAnsi="Times New Roman"/>
          <w:b/>
          <w:sz w:val="28"/>
        </w:rPr>
        <w:t>Модуль GreenProvider (виробник):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Приймає запит реєстрації квітки через gRPC-інтерфейс (FlowerRegistrationServiceImpl). Серіалізує отриманий об'єкт RegisterFlowerMessage (Protobuf) у JSON за допомогою Jackson і публікує до черги RabbitMQ через RabbitTemplate.</w:t>
      </w:r>
    </w:p>
    <w:p>
      <w:pPr>
        <w:spacing w:after="120"/>
        <w:jc w:val="both"/>
      </w:pPr>
      <w:r>
        <w:rPr>
          <w:rFonts w:ascii="Times New Roman" w:hAnsi="Times New Roman"/>
          <w:b/>
          <w:sz w:val="28"/>
        </w:rPr>
        <w:t>Модуль Greenhouse (споживач):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Підписується на чергу через @RabbitListener (FlowerClientService). Десеріалізує JSON-повідомлення у сутність FlowerEntity та зберігає її у реляційній базі даних через Spring Data JPA. Для розробки і тестування використовується вбудована H2-база.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6. Хід виконання роботи</w:t>
      </w:r>
    </w:p>
    <w:p>
      <w:pPr>
        <w:spacing w:after="120"/>
        <w:jc w:val="both"/>
      </w:pPr>
      <w:r>
        <w:rPr>
          <w:rFonts w:ascii="Times New Roman" w:hAnsi="Times New Roman"/>
          <w:b/>
          <w:sz w:val="28"/>
        </w:rPr>
        <w:t>6.1. Proto-контракт (flower.proto)</w:t>
      </w:r>
    </w:p>
    <w:p>
      <w:pPr>
        <w:spacing w:before="80" w:after="80"/>
        <w:ind w:left="709"/>
      </w:pPr>
      <w:r>
        <w:rPr>
          <w:rFonts w:ascii="Courier New" w:hAnsi="Courier New"/>
          <w:b w:val="0"/>
          <w:sz w:val="20"/>
        </w:rPr>
        <w:t>message RegisterFlowerMessage {</w:t>
        <w:br/>
        <w:t xml:space="preserve">  string name       = 1;</w:t>
        <w:br/>
        <w:t xml:space="preserve">  FlowerSoilType soil = 2;</w:t>
        <w:br/>
        <w:t xml:space="preserve">  string origin     = 3;</w:t>
        <w:br/>
        <w:t xml:space="preserve">  VisualParameters visual = 4;</w:t>
        <w:br/>
        <w:t xml:space="preserve">  repeated GrowingTip tips = 5;</w:t>
        <w:br/>
        <w:t xml:space="preserve">  string multiplying = 6;</w:t>
        <w:br/>
        <w:t>}</w:t>
        <w:br/>
        <w:br/>
        <w:t>enum FlowerSoilType {</w:t>
        <w:br/>
        <w:t xml:space="preserve">  PODZOLIC = 0;</w:t>
        <w:br/>
        <w:t xml:space="preserve">  GROUND   = 1;</w:t>
        <w:br/>
        <w:t xml:space="preserve">  SOD_PODZOLIC = 2;</w:t>
        <w:br/>
        <w:t>}</w:t>
      </w:r>
    </w:p>
    <w:p>
      <w:pPr>
        <w:spacing w:after="120"/>
        <w:jc w:val="both"/>
      </w:pPr>
      <w:r>
        <w:rPr>
          <w:rFonts w:ascii="Times New Roman" w:hAnsi="Times New Roman"/>
          <w:b/>
          <w:sz w:val="28"/>
        </w:rPr>
        <w:t>6.2. Конфігурація RabbitMQ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Клас RabbitConfiguration оголошує чергу, direct exchange і binding із routing key 'flower.register'. Брокер запускається локально через Docker (образ rabbitmq:3-management) командою з compose.yaml.</w:t>
      </w:r>
    </w:p>
    <w:p>
      <w:pPr>
        <w:spacing w:before="80" w:after="80"/>
        <w:ind w:left="709"/>
      </w:pPr>
      <w:r>
        <w:rPr>
          <w:rFonts w:ascii="Courier New" w:hAnsi="Courier New"/>
          <w:b w:val="0"/>
          <w:sz w:val="20"/>
        </w:rPr>
        <w:t>docker compose up -d   # піднімає RabbitMQ на localhost:5672</w:t>
      </w:r>
    </w:p>
    <w:p>
      <w:pPr>
        <w:spacing w:after="120"/>
        <w:jc w:val="both"/>
      </w:pPr>
      <w:r>
        <w:rPr>
          <w:rFonts w:ascii="Times New Roman" w:hAnsi="Times New Roman"/>
          <w:b/>
          <w:sz w:val="28"/>
        </w:rPr>
        <w:t>6.3. Збереження у базі даних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FlowerEntity — JPA-сутність з полями, що відповідають proto-структурі. Вбудовані об'єкти VisualParameters і GrowingTip зберігаються як @Embeddable. FlowerRepository розширює JpaRepository, надаючи стандартні CRUD-операції без додаткового коду.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8"/>
        </w:rPr>
        <w:t>6.4. Перевірка роботи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Після запуску застосунку та RabbitMQ надіслано gRPC-запит через grpcurl із заповненими полями Flower. У логах GreenProvider зафіксовано публікацію до черги; у логах Greenhouse — отримання та успішне збереження записи. Наявність запису підтверджено через H2 Console (http://localhost:8080/h2-console).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7. Висновки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Розроблено розподілений застосунок на основі gRPC і RabbitMQ у рамках предметної області «Оранжерея». Реалізовано повний цикл обробки даних: прийом запиту через gRPC → серіалізація у JSON → публікація до черги RabbitMQ → асинхронне споживання → збереження у базі даних. Засвоєно принципи AMQP-маршрутизації, конфігурації Spring AMQP та інтеграції двох протоколів (gRPC і AMQP) в єдиному застосунку.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8. Посилання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8"/>
        </w:rPr>
        <w:t>Репозиторій з вихідним кодом:</w:t>
        <w:br/>
        <w:t>https://github.com/javaAndScriptDeveloper/lolitech/tree/main/defi/submission2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