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9A601" w14:textId="77777777" w:rsidR="003B2555" w:rsidRDefault="003B2555" w:rsidP="003B2555">
      <w:r>
        <w:t>Major Data Breaches and Their Impact on Privacy Regulation</w:t>
      </w:r>
    </w:p>
    <w:p w14:paraId="37724549" w14:textId="77777777" w:rsidR="003B2555" w:rsidRDefault="003B2555" w:rsidP="003B2555"/>
    <w:p w14:paraId="35D8E1F4" w14:textId="77777777" w:rsidR="003B2555" w:rsidRDefault="003B2555" w:rsidP="003B2555">
      <w:r>
        <w:t>The history of data protection has been significantly shaped by major data breaches, each contributing to evolving privacy regulations and security practices. This document examines key breaches and their lasting impact on privacy protection.</w:t>
      </w:r>
    </w:p>
    <w:p w14:paraId="5C611EB6" w14:textId="77777777" w:rsidR="003B2555" w:rsidRDefault="003B2555" w:rsidP="003B2555"/>
    <w:p w14:paraId="14E41A7D" w14:textId="77777777" w:rsidR="003B2555" w:rsidRDefault="003B2555" w:rsidP="003B2555">
      <w:r>
        <w:t>Early Notable Breaches (1984-2000):</w:t>
      </w:r>
    </w:p>
    <w:p w14:paraId="0DD8F63E" w14:textId="77777777" w:rsidR="003B2555" w:rsidRDefault="003B2555" w:rsidP="003B2555">
      <w:r>
        <w:t>The TRW Credit Data breach in 1984 exposed 90 million credit records, leading to:</w:t>
      </w:r>
    </w:p>
    <w:p w14:paraId="576B7147" w14:textId="77777777" w:rsidR="003B2555" w:rsidRDefault="003B2555" w:rsidP="003B2555">
      <w:r>
        <w:t>- Enhanced security requirements for credit reporting agencies</w:t>
      </w:r>
    </w:p>
    <w:p w14:paraId="4FE598F1" w14:textId="77777777" w:rsidR="003B2555" w:rsidRDefault="003B2555" w:rsidP="003B2555">
      <w:r>
        <w:t>- Creation of consumer protection measures</w:t>
      </w:r>
    </w:p>
    <w:p w14:paraId="362941D3" w14:textId="77777777" w:rsidR="003B2555" w:rsidRDefault="003B2555" w:rsidP="003B2555">
      <w:r>
        <w:t>- Implementation of access controls</w:t>
      </w:r>
    </w:p>
    <w:p w14:paraId="67CF012F" w14:textId="77777777" w:rsidR="003B2555" w:rsidRDefault="003B2555" w:rsidP="003B2555"/>
    <w:p w14:paraId="0B6D577F" w14:textId="77777777" w:rsidR="003B2555" w:rsidRDefault="003B2555" w:rsidP="003B2555">
      <w:r>
        <w:t>The emergence of e-commerce in the 1990s brought new vulnerabilities:</w:t>
      </w:r>
    </w:p>
    <w:p w14:paraId="7CC25A6E" w14:textId="77777777" w:rsidR="003B2555" w:rsidRDefault="003B2555" w:rsidP="003B2555">
      <w:r>
        <w:t>- CD Universe breach (1999) - 300,000 credit card numbers exposed</w:t>
      </w:r>
    </w:p>
    <w:p w14:paraId="4714301C" w14:textId="77777777" w:rsidR="003B2555" w:rsidRDefault="003B2555" w:rsidP="003B2555">
      <w:r>
        <w:t>- Egghead.com breach (2000) - 3.7 million customer records compromised</w:t>
      </w:r>
    </w:p>
    <w:p w14:paraId="6C868FA4" w14:textId="77777777" w:rsidR="003B2555" w:rsidRDefault="003B2555" w:rsidP="003B2555"/>
    <w:p w14:paraId="01416EE2" w14:textId="77777777" w:rsidR="003B2555" w:rsidRDefault="003B2555" w:rsidP="003B2555">
      <w:r>
        <w:t>These early incidents highlighted the need for:</w:t>
      </w:r>
    </w:p>
    <w:p w14:paraId="46478195" w14:textId="77777777" w:rsidR="003B2555" w:rsidRDefault="003B2555" w:rsidP="003B2555">
      <w:r>
        <w:t>- Encryption of stored data</w:t>
      </w:r>
    </w:p>
    <w:p w14:paraId="404314C9" w14:textId="77777777" w:rsidR="003B2555" w:rsidRDefault="003B2555" w:rsidP="003B2555">
      <w:r>
        <w:t>- Secure transaction processing</w:t>
      </w:r>
    </w:p>
    <w:p w14:paraId="68813849" w14:textId="77777777" w:rsidR="003B2555" w:rsidRDefault="003B2555" w:rsidP="003B2555">
      <w:r>
        <w:t>- Regular security audits</w:t>
      </w:r>
    </w:p>
    <w:p w14:paraId="40593D7C" w14:textId="77777777" w:rsidR="003B2555" w:rsidRDefault="003B2555" w:rsidP="003B2555"/>
    <w:p w14:paraId="3A988647" w14:textId="77777777" w:rsidR="003B2555" w:rsidRDefault="003B2555" w:rsidP="003B2555">
      <w:r>
        <w:t>Major Breaches of the 2000s:</w:t>
      </w:r>
    </w:p>
    <w:p w14:paraId="08642F88" w14:textId="77777777" w:rsidR="003B2555" w:rsidRDefault="003B2555" w:rsidP="003B2555"/>
    <w:p w14:paraId="068030CD" w14:textId="77777777" w:rsidR="003B2555" w:rsidRDefault="003B2555" w:rsidP="003B2555">
      <w:r>
        <w:t xml:space="preserve">2005 </w:t>
      </w:r>
      <w:proofErr w:type="spellStart"/>
      <w:r>
        <w:t>ChoicePoint</w:t>
      </w:r>
      <w:proofErr w:type="spellEnd"/>
      <w:r>
        <w:t xml:space="preserve"> Breach:</w:t>
      </w:r>
    </w:p>
    <w:p w14:paraId="7EDCEB61" w14:textId="77777777" w:rsidR="003B2555" w:rsidRDefault="003B2555" w:rsidP="003B2555">
      <w:r>
        <w:t>- 163,000 consumer records compromised</w:t>
      </w:r>
    </w:p>
    <w:p w14:paraId="7C3EF04E" w14:textId="77777777" w:rsidR="003B2555" w:rsidRDefault="003B2555" w:rsidP="003B2555">
      <w:r>
        <w:t>- $15 million in fines</w:t>
      </w:r>
    </w:p>
    <w:p w14:paraId="1595DB25" w14:textId="77777777" w:rsidR="003B2555" w:rsidRDefault="003B2555" w:rsidP="003B2555">
      <w:r>
        <w:t>- Led to first state breach notification law in California</w:t>
      </w:r>
    </w:p>
    <w:p w14:paraId="3104E931" w14:textId="77777777" w:rsidR="003B2555" w:rsidRDefault="003B2555" w:rsidP="003B2555">
      <w:r>
        <w:t>- Sparked national discussion on data broker regulation</w:t>
      </w:r>
    </w:p>
    <w:p w14:paraId="2472D2F8" w14:textId="77777777" w:rsidR="003B2555" w:rsidRDefault="003B2555" w:rsidP="003B2555"/>
    <w:p w14:paraId="64144996" w14:textId="77777777" w:rsidR="003B2555" w:rsidRDefault="003B2555" w:rsidP="003B2555">
      <w:r>
        <w:t>2007 TJX Companies Breach:</w:t>
      </w:r>
    </w:p>
    <w:p w14:paraId="7957E2FE" w14:textId="77777777" w:rsidR="003B2555" w:rsidRDefault="003B2555" w:rsidP="003B2555">
      <w:r>
        <w:t>- 45.7 million credit card numbers stolen</w:t>
      </w:r>
    </w:p>
    <w:p w14:paraId="3BAC32DE" w14:textId="77777777" w:rsidR="003B2555" w:rsidRDefault="003B2555" w:rsidP="003B2555">
      <w:r>
        <w:t>- $256 million in costs</w:t>
      </w:r>
    </w:p>
    <w:p w14:paraId="58284D95" w14:textId="77777777" w:rsidR="003B2555" w:rsidRDefault="003B2555" w:rsidP="003B2555">
      <w:r>
        <w:t>- Resulted in:</w:t>
      </w:r>
    </w:p>
    <w:p w14:paraId="1D352C4A" w14:textId="77777777" w:rsidR="003B2555" w:rsidRDefault="003B2555" w:rsidP="003B2555">
      <w:r>
        <w:lastRenderedPageBreak/>
        <w:t xml:space="preserve">  - PCI DSS compliance enhancement</w:t>
      </w:r>
    </w:p>
    <w:p w14:paraId="1BF0E096" w14:textId="77777777" w:rsidR="003B2555" w:rsidRDefault="003B2555" w:rsidP="003B2555">
      <w:r>
        <w:t xml:space="preserve">  - Improved payment security standards</w:t>
      </w:r>
    </w:p>
    <w:p w14:paraId="02E49BD5" w14:textId="77777777" w:rsidR="003B2555" w:rsidRDefault="003B2555" w:rsidP="003B2555">
      <w:r>
        <w:t xml:space="preserve">  - Increased focus on encryption</w:t>
      </w:r>
    </w:p>
    <w:p w14:paraId="173AFCD8" w14:textId="77777777" w:rsidR="003B2555" w:rsidRDefault="003B2555" w:rsidP="003B2555"/>
    <w:p w14:paraId="4D02A25E" w14:textId="77777777" w:rsidR="003B2555" w:rsidRDefault="003B2555" w:rsidP="003B2555">
      <w:r>
        <w:t>Transformative Breaches (2010-2020):</w:t>
      </w:r>
    </w:p>
    <w:p w14:paraId="791BCDF5" w14:textId="77777777" w:rsidR="003B2555" w:rsidRDefault="003B2555" w:rsidP="003B2555"/>
    <w:p w14:paraId="3AB919BA" w14:textId="77777777" w:rsidR="003B2555" w:rsidRDefault="003B2555" w:rsidP="003B2555">
      <w:r>
        <w:t>2013 Target Breach:</w:t>
      </w:r>
    </w:p>
    <w:p w14:paraId="6A1CD9CC" w14:textId="77777777" w:rsidR="003B2555" w:rsidRDefault="003B2555" w:rsidP="003B2555">
      <w:r>
        <w:t>- 40 million credit card numbers exposed</w:t>
      </w:r>
    </w:p>
    <w:p w14:paraId="6FDC5028" w14:textId="77777777" w:rsidR="003B2555" w:rsidRDefault="003B2555" w:rsidP="003B2555">
      <w:r>
        <w:t>- 70 million customer records compromised</w:t>
      </w:r>
    </w:p>
    <w:p w14:paraId="71FC01B1" w14:textId="77777777" w:rsidR="003B2555" w:rsidRDefault="003B2555" w:rsidP="003B2555">
      <w:r>
        <w:t>- $18.5 million settlement</w:t>
      </w:r>
    </w:p>
    <w:p w14:paraId="6BD9EA8B" w14:textId="77777777" w:rsidR="003B2555" w:rsidRDefault="003B2555" w:rsidP="003B2555">
      <w:r>
        <w:t>- Led to:</w:t>
      </w:r>
    </w:p>
    <w:p w14:paraId="2207D175" w14:textId="77777777" w:rsidR="003B2555" w:rsidRDefault="003B2555" w:rsidP="003B2555">
      <w:r>
        <w:t xml:space="preserve">  - Enhanced vendor security requirements</w:t>
      </w:r>
    </w:p>
    <w:p w14:paraId="20FB2BD4" w14:textId="77777777" w:rsidR="003B2555" w:rsidRDefault="003B2555" w:rsidP="003B2555">
      <w:r>
        <w:t xml:space="preserve">  - Implementation of chip card technology</w:t>
      </w:r>
    </w:p>
    <w:p w14:paraId="5ECD31F1" w14:textId="77777777" w:rsidR="003B2555" w:rsidRDefault="003B2555" w:rsidP="003B2555">
      <w:r>
        <w:t xml:space="preserve">  - Board-level security oversight</w:t>
      </w:r>
    </w:p>
    <w:p w14:paraId="0101C0CC" w14:textId="77777777" w:rsidR="003B2555" w:rsidRDefault="003B2555" w:rsidP="003B2555"/>
    <w:p w14:paraId="3B4E0835" w14:textId="77777777" w:rsidR="003B2555" w:rsidRDefault="003B2555" w:rsidP="003B2555">
      <w:r>
        <w:t>2017 Equifax Breach:</w:t>
      </w:r>
    </w:p>
    <w:p w14:paraId="3B9DB8A4" w14:textId="77777777" w:rsidR="003B2555" w:rsidRDefault="003B2555" w:rsidP="003B2555">
      <w:r>
        <w:t>- 147 million people affected</w:t>
      </w:r>
    </w:p>
    <w:p w14:paraId="2CC13349" w14:textId="77777777" w:rsidR="003B2555" w:rsidRDefault="003B2555" w:rsidP="003B2555">
      <w:r>
        <w:t>- $575 million settlement</w:t>
      </w:r>
    </w:p>
    <w:p w14:paraId="0AD94AD8" w14:textId="77777777" w:rsidR="003B2555" w:rsidRDefault="003B2555" w:rsidP="003B2555">
      <w:r>
        <w:t>- Resulted in:</w:t>
      </w:r>
    </w:p>
    <w:p w14:paraId="4D18F358" w14:textId="77777777" w:rsidR="003B2555" w:rsidRDefault="003B2555" w:rsidP="003B2555">
      <w:r>
        <w:t xml:space="preserve">  - Free credit monitoring requirements</w:t>
      </w:r>
    </w:p>
    <w:p w14:paraId="513C5D9F" w14:textId="77777777" w:rsidR="003B2555" w:rsidRDefault="003B2555" w:rsidP="003B2555">
      <w:r>
        <w:t xml:space="preserve">  - Enhanced security measures for credit agencies</w:t>
      </w:r>
    </w:p>
    <w:p w14:paraId="13E070C2" w14:textId="77777777" w:rsidR="003B2555" w:rsidRDefault="003B2555" w:rsidP="003B2555">
      <w:r>
        <w:t xml:space="preserve">  - New state cybersecurity regulations</w:t>
      </w:r>
    </w:p>
    <w:p w14:paraId="24528DB5" w14:textId="77777777" w:rsidR="003B2555" w:rsidRDefault="003B2555" w:rsidP="003B2555"/>
    <w:p w14:paraId="0E131A52" w14:textId="77777777" w:rsidR="003B2555" w:rsidRDefault="003B2555" w:rsidP="003B2555">
      <w:r>
        <w:t>Impact on Regulation and Business Practices:</w:t>
      </w:r>
    </w:p>
    <w:p w14:paraId="0DE56CCC" w14:textId="77777777" w:rsidR="003B2555" w:rsidRDefault="003B2555" w:rsidP="003B2555"/>
    <w:p w14:paraId="358B79A5" w14:textId="77777777" w:rsidR="003B2555" w:rsidRDefault="003B2555" w:rsidP="003B2555">
      <w:r>
        <w:t>Security Standards Evolution:</w:t>
      </w:r>
    </w:p>
    <w:p w14:paraId="42C676DF" w14:textId="77777777" w:rsidR="003B2555" w:rsidRDefault="003B2555" w:rsidP="003B2555">
      <w:r>
        <w:t>- Implementation of zero trust architectures</w:t>
      </w:r>
    </w:p>
    <w:p w14:paraId="52CB313C" w14:textId="77777777" w:rsidR="003B2555" w:rsidRDefault="003B2555" w:rsidP="003B2555">
      <w:r>
        <w:t>- Adoption of multi-factor authentication</w:t>
      </w:r>
    </w:p>
    <w:p w14:paraId="582CBE09" w14:textId="77777777" w:rsidR="003B2555" w:rsidRDefault="003B2555" w:rsidP="003B2555">
      <w:r>
        <w:t>- Enhanced encryption requirements</w:t>
      </w:r>
    </w:p>
    <w:p w14:paraId="4783470C" w14:textId="77777777" w:rsidR="003B2555" w:rsidRDefault="003B2555" w:rsidP="003B2555">
      <w:r>
        <w:t>- Regular penetration testing</w:t>
      </w:r>
    </w:p>
    <w:p w14:paraId="124960CB" w14:textId="77777777" w:rsidR="003B2555" w:rsidRDefault="003B2555" w:rsidP="003B2555"/>
    <w:p w14:paraId="2412FF86" w14:textId="77777777" w:rsidR="003B2555" w:rsidRDefault="003B2555" w:rsidP="003B2555">
      <w:r>
        <w:t>Regulatory Changes:</w:t>
      </w:r>
    </w:p>
    <w:p w14:paraId="07E17EDE" w14:textId="77777777" w:rsidR="003B2555" w:rsidRDefault="003B2555" w:rsidP="003B2555">
      <w:r>
        <w:t>- GDPR requirements for breach notification</w:t>
      </w:r>
    </w:p>
    <w:p w14:paraId="70CCAD30" w14:textId="77777777" w:rsidR="003B2555" w:rsidRDefault="003B2555" w:rsidP="003B2555">
      <w:r>
        <w:lastRenderedPageBreak/>
        <w:t>- State-level breach notification laws</w:t>
      </w:r>
    </w:p>
    <w:p w14:paraId="771D0085" w14:textId="77777777" w:rsidR="003B2555" w:rsidRDefault="003B2555" w:rsidP="003B2555">
      <w:r>
        <w:t>- Industry-specific security requirements</w:t>
      </w:r>
    </w:p>
    <w:p w14:paraId="2EA9F8B6" w14:textId="77777777" w:rsidR="003B2555" w:rsidRDefault="003B2555" w:rsidP="003B2555">
      <w:r>
        <w:t>- Enhanced penalties for inadequate security</w:t>
      </w:r>
    </w:p>
    <w:p w14:paraId="49B72479" w14:textId="77777777" w:rsidR="003B2555" w:rsidRDefault="003B2555" w:rsidP="003B2555"/>
    <w:p w14:paraId="11FF254E" w14:textId="77777777" w:rsidR="003B2555" w:rsidRDefault="003B2555" w:rsidP="003B2555">
      <w:r>
        <w:t>Business Practice Changes:</w:t>
      </w:r>
    </w:p>
    <w:p w14:paraId="0446D1AB" w14:textId="77777777" w:rsidR="003B2555" w:rsidRDefault="003B2555" w:rsidP="003B2555">
      <w:r>
        <w:t>- Increased cybersecurity insurance adoption</w:t>
      </w:r>
    </w:p>
    <w:p w14:paraId="2BE646AB" w14:textId="77777777" w:rsidR="003B2555" w:rsidRDefault="003B2555" w:rsidP="003B2555">
      <w:r>
        <w:t>- Regular security audits and assessments</w:t>
      </w:r>
    </w:p>
    <w:p w14:paraId="3C31D4C7" w14:textId="77777777" w:rsidR="003B2555" w:rsidRDefault="003B2555" w:rsidP="003B2555">
      <w:r>
        <w:t>- Employee security training programs</w:t>
      </w:r>
    </w:p>
    <w:p w14:paraId="5EBCBB25" w14:textId="77777777" w:rsidR="003B2555" w:rsidRDefault="003B2555" w:rsidP="003B2555">
      <w:r>
        <w:t>- Incident response planning</w:t>
      </w:r>
    </w:p>
    <w:p w14:paraId="09646704" w14:textId="77777777" w:rsidR="003B2555" w:rsidRDefault="003B2555" w:rsidP="003B2555"/>
    <w:p w14:paraId="6BD0BF7F" w14:textId="77777777" w:rsidR="003B2555" w:rsidRDefault="003B2555" w:rsidP="003B2555">
      <w:r>
        <w:t>Recent Trends and Developments:</w:t>
      </w:r>
    </w:p>
    <w:p w14:paraId="424F4A12" w14:textId="77777777" w:rsidR="003B2555" w:rsidRDefault="003B2555" w:rsidP="003B2555"/>
    <w:p w14:paraId="76D973C5" w14:textId="77777777" w:rsidR="003B2555" w:rsidRDefault="003B2555" w:rsidP="003B2555">
      <w:r>
        <w:t>Cloud Service Breaches:</w:t>
      </w:r>
    </w:p>
    <w:p w14:paraId="0F3B479A" w14:textId="77777777" w:rsidR="003B2555" w:rsidRDefault="003B2555" w:rsidP="003B2555">
      <w:r>
        <w:t>- Capital One (2019) - 100 million records</w:t>
      </w:r>
    </w:p>
    <w:p w14:paraId="70369C4F" w14:textId="77777777" w:rsidR="003B2555" w:rsidRDefault="003B2555" w:rsidP="003B2555">
      <w:r>
        <w:t>- Microsoft Exchange (2021) - 250,000 servers</w:t>
      </w:r>
    </w:p>
    <w:p w14:paraId="7A1779D5" w14:textId="77777777" w:rsidR="003B2555" w:rsidRDefault="003B2555" w:rsidP="003B2555">
      <w:r>
        <w:t>Leading to:</w:t>
      </w:r>
    </w:p>
    <w:p w14:paraId="71A9D963" w14:textId="77777777" w:rsidR="003B2555" w:rsidRDefault="003B2555" w:rsidP="003B2555">
      <w:r>
        <w:t>- Enhanced cloud security measures</w:t>
      </w:r>
    </w:p>
    <w:p w14:paraId="1C05924B" w14:textId="77777777" w:rsidR="003B2555" w:rsidRDefault="003B2555" w:rsidP="003B2555">
      <w:r>
        <w:t>- Third-party risk management</w:t>
      </w:r>
    </w:p>
    <w:p w14:paraId="1CCA0D4E" w14:textId="77777777" w:rsidR="003B2555" w:rsidRDefault="003B2555" w:rsidP="003B2555">
      <w:r>
        <w:t>- Zero trust architecture adoption</w:t>
      </w:r>
    </w:p>
    <w:p w14:paraId="0E6D3CCF" w14:textId="77777777" w:rsidR="003B2555" w:rsidRDefault="003B2555" w:rsidP="003B2555"/>
    <w:p w14:paraId="0FC29204" w14:textId="77777777" w:rsidR="003B2555" w:rsidRDefault="003B2555" w:rsidP="003B2555">
      <w:r>
        <w:t>Healthcare Sector Impacts:</w:t>
      </w:r>
    </w:p>
    <w:p w14:paraId="36685B80" w14:textId="77777777" w:rsidR="003B2555" w:rsidRDefault="003B2555" w:rsidP="003B2555">
      <w:r>
        <w:t>- Increasing ransomware attacks</w:t>
      </w:r>
    </w:p>
    <w:p w14:paraId="5C8B123E" w14:textId="77777777" w:rsidR="003B2555" w:rsidRDefault="003B2555" w:rsidP="003B2555">
      <w:r>
        <w:t>- Patient data exposure risks</w:t>
      </w:r>
    </w:p>
    <w:p w14:paraId="5E47BF12" w14:textId="77777777" w:rsidR="003B2555" w:rsidRDefault="003B2555" w:rsidP="003B2555">
      <w:r>
        <w:t>- Enhanced HIPAA enforcement</w:t>
      </w:r>
    </w:p>
    <w:p w14:paraId="0179FA9F" w14:textId="77777777" w:rsidR="003B2555" w:rsidRDefault="003B2555" w:rsidP="003B2555">
      <w:r>
        <w:t>- Telehealth security concerns</w:t>
      </w:r>
    </w:p>
    <w:p w14:paraId="3F905A83" w14:textId="77777777" w:rsidR="003B2555" w:rsidRDefault="003B2555" w:rsidP="003B2555"/>
    <w:p w14:paraId="1FED28A3" w14:textId="77777777" w:rsidR="003B2555" w:rsidRDefault="003B2555" w:rsidP="003B2555">
      <w:r>
        <w:t>Future Implications:</w:t>
      </w:r>
    </w:p>
    <w:p w14:paraId="683CBA5F" w14:textId="77777777" w:rsidR="003B2555" w:rsidRDefault="003B2555" w:rsidP="003B2555"/>
    <w:p w14:paraId="7CC6C173" w14:textId="77777777" w:rsidR="003B2555" w:rsidRDefault="003B2555" w:rsidP="003B2555">
      <w:r>
        <w:t>Emerging Concerns:</w:t>
      </w:r>
    </w:p>
    <w:p w14:paraId="6FF84B0A" w14:textId="77777777" w:rsidR="003B2555" w:rsidRDefault="003B2555" w:rsidP="003B2555">
      <w:r>
        <w:t>- IoT device security</w:t>
      </w:r>
    </w:p>
    <w:p w14:paraId="2363BEFD" w14:textId="77777777" w:rsidR="003B2555" w:rsidRDefault="003B2555" w:rsidP="003B2555">
      <w:r>
        <w:t>- AI and machine learning risks</w:t>
      </w:r>
    </w:p>
    <w:p w14:paraId="44A2A93B" w14:textId="77777777" w:rsidR="003B2555" w:rsidRDefault="003B2555" w:rsidP="003B2555">
      <w:r>
        <w:t>- Supply chain vulnerabilities</w:t>
      </w:r>
    </w:p>
    <w:p w14:paraId="2F43148D" w14:textId="77777777" w:rsidR="003B2555" w:rsidRDefault="003B2555" w:rsidP="003B2555">
      <w:r>
        <w:t>- Quantum computing threats</w:t>
      </w:r>
    </w:p>
    <w:p w14:paraId="3B783014" w14:textId="77777777" w:rsidR="003B2555" w:rsidRDefault="003B2555" w:rsidP="003B2555"/>
    <w:p w14:paraId="0CD9345A" w14:textId="77777777" w:rsidR="003B2555" w:rsidRDefault="003B2555" w:rsidP="003B2555">
      <w:r>
        <w:t>Preventive Measures:</w:t>
      </w:r>
    </w:p>
    <w:p w14:paraId="03BA264F" w14:textId="77777777" w:rsidR="003B2555" w:rsidRDefault="003B2555" w:rsidP="003B2555">
      <w:r>
        <w:t>- Privacy by design principles</w:t>
      </w:r>
    </w:p>
    <w:p w14:paraId="175C4E5D" w14:textId="77777777" w:rsidR="003B2555" w:rsidRDefault="003B2555" w:rsidP="003B2555">
      <w:r>
        <w:t>- Regular security assessments</w:t>
      </w:r>
    </w:p>
    <w:p w14:paraId="4B36F8F6" w14:textId="77777777" w:rsidR="003B2555" w:rsidRDefault="003B2555" w:rsidP="003B2555">
      <w:r>
        <w:t>- Employee training programs</w:t>
      </w:r>
    </w:p>
    <w:p w14:paraId="16F9D188" w14:textId="77777777" w:rsidR="003B2555" w:rsidRDefault="003B2555" w:rsidP="003B2555">
      <w:r>
        <w:t>- Incident response planning</w:t>
      </w:r>
    </w:p>
    <w:p w14:paraId="08E811EC" w14:textId="77777777" w:rsidR="003B2555" w:rsidRDefault="003B2555" w:rsidP="003B2555"/>
    <w:p w14:paraId="52EF5AA1" w14:textId="4A043119" w:rsidR="00CA5F4E" w:rsidRDefault="003B2555" w:rsidP="003B2555">
      <w:r>
        <w:t>The history of data breaches continues to shape privacy regulation and security practices, driving ongoing evolution in how organizations protect sensitive information.</w:t>
      </w:r>
    </w:p>
    <w:sectPr w:rsidR="00CA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55"/>
    <w:rsid w:val="003B2555"/>
    <w:rsid w:val="00425E3F"/>
    <w:rsid w:val="00510063"/>
    <w:rsid w:val="00882F55"/>
    <w:rsid w:val="00A00F83"/>
    <w:rsid w:val="00CA5F4E"/>
    <w:rsid w:val="00D4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6948"/>
  <w15:chartTrackingRefBased/>
  <w15:docId w15:val="{ECAED23C-26B3-4792-AB9C-97325BBA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00"/>
    <w:pPr>
      <w:spacing w:before="120"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8"/>
    <w:qFormat/>
    <w:rsid w:val="00D43300"/>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link w:val="Heading2Char"/>
    <w:qFormat/>
    <w:rsid w:val="00D43300"/>
    <w:pPr>
      <w:outlineLvl w:val="1"/>
    </w:pPr>
    <w:rPr>
      <w:b/>
      <w:bCs/>
      <w:sz w:val="28"/>
      <w:szCs w:val="28"/>
    </w:rPr>
  </w:style>
  <w:style w:type="paragraph" w:styleId="Heading3">
    <w:name w:val="heading 3"/>
    <w:basedOn w:val="Normal"/>
    <w:next w:val="Normal"/>
    <w:link w:val="Heading3Char"/>
    <w:qFormat/>
    <w:rsid w:val="00D43300"/>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43300"/>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25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255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255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2555"/>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2555"/>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A5F4E"/>
    <w:pPr>
      <w:widowControl w:val="0"/>
      <w:spacing w:line="264" w:lineRule="auto"/>
      <w:ind w:left="720"/>
      <w:jc w:val="both"/>
      <w:outlineLvl w:val="0"/>
    </w:pPr>
    <w:rPr>
      <w:rFonts w:ascii="Courier New" w:hAnsi="Courier New" w:cs="Courier New"/>
      <w:b/>
      <w:bCs/>
      <w:sz w:val="22"/>
      <w:szCs w:val="22"/>
    </w:rPr>
  </w:style>
  <w:style w:type="paragraph" w:customStyle="1" w:styleId="fig">
    <w:name w:val="fig"/>
    <w:basedOn w:val="Normal"/>
    <w:qFormat/>
    <w:rsid w:val="00D43300"/>
    <w:pPr>
      <w:jc w:val="center"/>
    </w:pPr>
    <w:rPr>
      <w:rFonts w:ascii="Arial Black" w:hAnsi="Arial Black"/>
      <w:sz w:val="18"/>
      <w:szCs w:val="18"/>
    </w:rPr>
  </w:style>
  <w:style w:type="paragraph" w:styleId="Caption">
    <w:name w:val="caption"/>
    <w:basedOn w:val="Normal"/>
    <w:next w:val="Normal"/>
    <w:uiPriority w:val="35"/>
    <w:semiHidden/>
    <w:unhideWhenUsed/>
    <w:qFormat/>
    <w:rsid w:val="00510063"/>
    <w:pPr>
      <w:spacing w:after="200"/>
    </w:pPr>
    <w:rPr>
      <w:i/>
      <w:iCs/>
      <w:color w:val="0E2841" w:themeColor="text2"/>
      <w:sz w:val="18"/>
      <w:szCs w:val="18"/>
    </w:rPr>
  </w:style>
  <w:style w:type="paragraph" w:styleId="Footer">
    <w:name w:val="footer"/>
    <w:basedOn w:val="Normal"/>
    <w:link w:val="FooterChar"/>
    <w:uiPriority w:val="99"/>
    <w:unhideWhenUsed/>
    <w:rsid w:val="00D43300"/>
    <w:pPr>
      <w:tabs>
        <w:tab w:val="center" w:pos="4680"/>
        <w:tab w:val="right" w:pos="9360"/>
      </w:tabs>
    </w:pPr>
  </w:style>
  <w:style w:type="character" w:customStyle="1" w:styleId="FooterChar">
    <w:name w:val="Footer Char"/>
    <w:basedOn w:val="DefaultParagraphFont"/>
    <w:link w:val="Footer"/>
    <w:uiPriority w:val="99"/>
    <w:rsid w:val="00D43300"/>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8"/>
    <w:rsid w:val="00D43300"/>
    <w:rPr>
      <w:rFonts w:asciiTheme="majorHAnsi" w:eastAsiaTheme="majorEastAsia" w:hAnsiTheme="majorHAnsi" w:cstheme="majorBidi"/>
      <w:b/>
      <w:bCs/>
      <w:kern w:val="0"/>
      <w:sz w:val="40"/>
      <w:szCs w:val="40"/>
      <w14:ligatures w14:val="none"/>
    </w:rPr>
  </w:style>
  <w:style w:type="character" w:customStyle="1" w:styleId="Heading2Char">
    <w:name w:val="Heading 2 Char"/>
    <w:basedOn w:val="DefaultParagraphFont"/>
    <w:link w:val="Heading2"/>
    <w:rsid w:val="00D43300"/>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rsid w:val="00D43300"/>
    <w:rPr>
      <w:rFonts w:asciiTheme="majorHAnsi" w:eastAsiaTheme="majorEastAsia" w:hAnsiTheme="majorHAnsi" w:cstheme="majorBidi"/>
      <w:b/>
      <w:bCs/>
      <w:kern w:val="0"/>
      <w14:ligatures w14:val="none"/>
    </w:rPr>
  </w:style>
  <w:style w:type="character" w:customStyle="1" w:styleId="Heading4Char">
    <w:name w:val="Heading 4 Char"/>
    <w:basedOn w:val="DefaultParagraphFont"/>
    <w:link w:val="Heading4"/>
    <w:uiPriority w:val="9"/>
    <w:rsid w:val="00D43300"/>
    <w:rPr>
      <w:rFonts w:asciiTheme="majorHAnsi" w:eastAsiaTheme="majorEastAsia" w:hAnsiTheme="majorHAnsi"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3B2555"/>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3B2555"/>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B2555"/>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B2555"/>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B2555"/>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B2555"/>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55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B255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55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B25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555"/>
    <w:rPr>
      <w:rFonts w:ascii="Times New Roman" w:hAnsi="Times New Roman" w:cs="Times New Roman"/>
      <w:i/>
      <w:iCs/>
      <w:color w:val="404040" w:themeColor="text1" w:themeTint="BF"/>
      <w:kern w:val="0"/>
      <w14:ligatures w14:val="none"/>
    </w:rPr>
  </w:style>
  <w:style w:type="paragraph" w:styleId="ListParagraph">
    <w:name w:val="List Paragraph"/>
    <w:basedOn w:val="Normal"/>
    <w:uiPriority w:val="34"/>
    <w:qFormat/>
    <w:rsid w:val="003B2555"/>
    <w:pPr>
      <w:ind w:left="720"/>
      <w:contextualSpacing/>
    </w:pPr>
  </w:style>
  <w:style w:type="character" w:styleId="IntenseEmphasis">
    <w:name w:val="Intense Emphasis"/>
    <w:basedOn w:val="DefaultParagraphFont"/>
    <w:uiPriority w:val="21"/>
    <w:qFormat/>
    <w:rsid w:val="003B2555"/>
    <w:rPr>
      <w:i/>
      <w:iCs/>
      <w:color w:val="0F4761" w:themeColor="accent1" w:themeShade="BF"/>
    </w:rPr>
  </w:style>
  <w:style w:type="paragraph" w:styleId="IntenseQuote">
    <w:name w:val="Intense Quote"/>
    <w:basedOn w:val="Normal"/>
    <w:next w:val="Normal"/>
    <w:link w:val="IntenseQuoteChar"/>
    <w:uiPriority w:val="30"/>
    <w:qFormat/>
    <w:rsid w:val="003B2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555"/>
    <w:rPr>
      <w:rFonts w:ascii="Times New Roman" w:hAnsi="Times New Roman" w:cs="Times New Roman"/>
      <w:i/>
      <w:iCs/>
      <w:color w:val="0F4761" w:themeColor="accent1" w:themeShade="BF"/>
      <w:kern w:val="0"/>
      <w14:ligatures w14:val="none"/>
    </w:rPr>
  </w:style>
  <w:style w:type="character" w:styleId="IntenseReference">
    <w:name w:val="Intense Reference"/>
    <w:basedOn w:val="DefaultParagraphFont"/>
    <w:uiPriority w:val="32"/>
    <w:qFormat/>
    <w:rsid w:val="003B2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Coyle, Frank</dc:creator>
  <cp:keywords/>
  <dc:description/>
  <cp:lastModifiedBy>Coyle, Frank</cp:lastModifiedBy>
  <cp:revision>1</cp:revision>
  <dcterms:created xsi:type="dcterms:W3CDTF">2025-02-22T14:43:00Z</dcterms:created>
  <dcterms:modified xsi:type="dcterms:W3CDTF">2025-02-22T14:44:00Z</dcterms:modified>
</cp:coreProperties>
</file>