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Governments worldwide are taking different approaches to regulate and mitigate bias in AI. This document explores key regulatory efforts.</w:t>
      </w:r>
    </w:p>
    <w:p>
      <w:r>
        <w:t>The European Union has introduced the AI Act (2021), which classifies AI systems based on risk levels. High-risk systems must meet strict fairness and transparency requirements.</w:t>
      </w:r>
    </w:p>
    <w:p>
      <w:r>
        <w:t>The United States lacks a comprehensive AI bias law but relies on the Federal Trade Commission (FTC) to enforce fairness under consumer protection laws. States like Illinois have passed biometric data regulations.</w:t>
      </w:r>
    </w:p>
    <w:p>
      <w:r>
        <w:t>China has implemented AI governance guidelines emphasizing fairness and transparency. Companies deploying AI must ensure non-discrimination in algorithms.</w:t>
      </w:r>
    </w:p>
    <w:p>
      <w:r>
        <w:t>Global organizations like UNESCO and OECD advocate for ethical AI principles focusing on non-discrimination, transparency, and fairness.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