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1E97A" w14:textId="77777777" w:rsidR="000C2084" w:rsidRDefault="000C2084" w:rsidP="000C2084">
      <w:r>
        <w:t>The Development of Privacy Protection in the United States: A Sectoral Approach</w:t>
      </w:r>
    </w:p>
    <w:p w14:paraId="3EF6F192" w14:textId="77777777" w:rsidR="000C2084" w:rsidRDefault="000C2084" w:rsidP="000C2084"/>
    <w:p w14:paraId="229E3872" w14:textId="77777777" w:rsidR="000C2084" w:rsidRDefault="000C2084" w:rsidP="000C2084">
      <w:r>
        <w:t>The United States has historically taken a markedly different approach to privacy protection compared to Europe, developing a patchwork of sector-specific laws rather than comprehensive federal legislation. This sectoral approach reflects American values of free market economics and limited government intervention.</w:t>
      </w:r>
    </w:p>
    <w:p w14:paraId="2AE82F0E" w14:textId="77777777" w:rsidR="000C2084" w:rsidRDefault="000C2084" w:rsidP="000C2084"/>
    <w:p w14:paraId="2861E40F" w14:textId="77777777" w:rsidR="000C2084" w:rsidRDefault="000C2084" w:rsidP="000C2084">
      <w:r>
        <w:t>Early Privacy Developments (1960s-1970s):</w:t>
      </w:r>
    </w:p>
    <w:p w14:paraId="4E76E139" w14:textId="77777777" w:rsidR="000C2084" w:rsidRDefault="000C2084" w:rsidP="000C2084">
      <w:r>
        <w:t>The Fair Credit Reporting Act of 1970 was one of the first federal laws addressing privacy concerns, focusing specifically on the collection and use of consumer credit information. This law established important principles including:</w:t>
      </w:r>
    </w:p>
    <w:p w14:paraId="41AB3660" w14:textId="77777777" w:rsidR="000C2084" w:rsidRDefault="000C2084" w:rsidP="000C2084">
      <w:r>
        <w:t>- Consumer right to access their credit reports</w:t>
      </w:r>
    </w:p>
    <w:p w14:paraId="6051E594" w14:textId="77777777" w:rsidR="000C2084" w:rsidRDefault="000C2084" w:rsidP="000C2084">
      <w:r>
        <w:t>- Requirement for accurate reporting</w:t>
      </w:r>
    </w:p>
    <w:p w14:paraId="40E13D66" w14:textId="77777777" w:rsidR="000C2084" w:rsidRDefault="000C2084" w:rsidP="000C2084">
      <w:r>
        <w:t>- Time limits on negative information</w:t>
      </w:r>
    </w:p>
    <w:p w14:paraId="1BFD5BB5" w14:textId="77777777" w:rsidR="000C2084" w:rsidRDefault="000C2084" w:rsidP="000C2084">
      <w:r>
        <w:t>- Procedures for disputing incorrect information</w:t>
      </w:r>
    </w:p>
    <w:p w14:paraId="61B3E693" w14:textId="77777777" w:rsidR="000C2084" w:rsidRDefault="000C2084" w:rsidP="000C2084"/>
    <w:p w14:paraId="4DA17B9B" w14:textId="77777777" w:rsidR="000C2084" w:rsidRDefault="000C2084" w:rsidP="000C2084">
      <w:r>
        <w:t>The Privacy Act of 1974 represented another significant step, though limited to government agencies. It established:</w:t>
      </w:r>
    </w:p>
    <w:p w14:paraId="470FB9DB" w14:textId="77777777" w:rsidR="000C2084" w:rsidRDefault="000C2084" w:rsidP="000C2084">
      <w:r>
        <w:t>- Rules for government collection and use of personal data</w:t>
      </w:r>
    </w:p>
    <w:p w14:paraId="4159EA83" w14:textId="77777777" w:rsidR="000C2084" w:rsidRDefault="000C2084" w:rsidP="000C2084">
      <w:r>
        <w:t>- Individual rights to access and correct records</w:t>
      </w:r>
    </w:p>
    <w:p w14:paraId="31868945" w14:textId="77777777" w:rsidR="000C2084" w:rsidRDefault="000C2084" w:rsidP="000C2084">
      <w:r>
        <w:t>- Restrictions on sharing between agencies</w:t>
      </w:r>
    </w:p>
    <w:p w14:paraId="114CE234" w14:textId="77777777" w:rsidR="000C2084" w:rsidRDefault="000C2084" w:rsidP="000C2084">
      <w:r>
        <w:t>- Civil and criminal penalties for violations</w:t>
      </w:r>
    </w:p>
    <w:p w14:paraId="4D8E98F7" w14:textId="77777777" w:rsidR="000C2084" w:rsidRDefault="000C2084" w:rsidP="000C2084"/>
    <w:p w14:paraId="728F1EC8" w14:textId="77777777" w:rsidR="000C2084" w:rsidRDefault="000C2084" w:rsidP="000C2084">
      <w:r>
        <w:t>The Evolution of Sectoral Privacy Laws:</w:t>
      </w:r>
    </w:p>
    <w:p w14:paraId="779CE3CD" w14:textId="77777777" w:rsidR="000C2084" w:rsidRDefault="000C2084" w:rsidP="000C2084">
      <w:r>
        <w:t>Different industries received specific privacy regulations over time:</w:t>
      </w:r>
    </w:p>
    <w:p w14:paraId="58DC2722" w14:textId="77777777" w:rsidR="000C2084" w:rsidRDefault="000C2084" w:rsidP="000C2084"/>
    <w:p w14:paraId="10D62057" w14:textId="77777777" w:rsidR="000C2084" w:rsidRDefault="000C2084" w:rsidP="000C2084">
      <w:r>
        <w:t>Healthcare:</w:t>
      </w:r>
    </w:p>
    <w:p w14:paraId="01A36D0C" w14:textId="77777777" w:rsidR="000C2084" w:rsidRDefault="000C2084" w:rsidP="000C2084">
      <w:r>
        <w:t>The Health Insurance Portability and Accountability Act (HIPAA) of 1996 created comprehensive privacy rules for medical information, including:</w:t>
      </w:r>
    </w:p>
    <w:p w14:paraId="759B04C0" w14:textId="77777777" w:rsidR="000C2084" w:rsidRDefault="000C2084" w:rsidP="000C2084">
      <w:r>
        <w:t>- Patient rights to access medical records</w:t>
      </w:r>
    </w:p>
    <w:p w14:paraId="57123E13" w14:textId="77777777" w:rsidR="000C2084" w:rsidRDefault="000C2084" w:rsidP="000C2084">
      <w:r>
        <w:t>- Restrictions on information sharing</w:t>
      </w:r>
    </w:p>
    <w:p w14:paraId="71E43BBC" w14:textId="77777777" w:rsidR="000C2084" w:rsidRDefault="000C2084" w:rsidP="000C2084">
      <w:r>
        <w:t>- Security requirements for health data</w:t>
      </w:r>
    </w:p>
    <w:p w14:paraId="5BD49D85" w14:textId="77777777" w:rsidR="000C2084" w:rsidRDefault="000C2084" w:rsidP="000C2084">
      <w:r>
        <w:t>- Breach notification requirements</w:t>
      </w:r>
    </w:p>
    <w:p w14:paraId="06ABEBD5" w14:textId="77777777" w:rsidR="000C2084" w:rsidRDefault="000C2084" w:rsidP="000C2084">
      <w:r>
        <w:t>- Substantial penalties for violations</w:t>
      </w:r>
    </w:p>
    <w:p w14:paraId="0C830F2B" w14:textId="77777777" w:rsidR="000C2084" w:rsidRDefault="000C2084" w:rsidP="000C2084"/>
    <w:p w14:paraId="1AE98E5C" w14:textId="77777777" w:rsidR="000C2084" w:rsidRDefault="000C2084" w:rsidP="000C2084">
      <w:r>
        <w:t>Financial Services:</w:t>
      </w:r>
    </w:p>
    <w:p w14:paraId="0D071992" w14:textId="77777777" w:rsidR="000C2084" w:rsidRDefault="000C2084" w:rsidP="000C2084">
      <w:r>
        <w:t>The Gramm-Leach-Bliley Act of 1999 established privacy rules for financial institutions:</w:t>
      </w:r>
    </w:p>
    <w:p w14:paraId="646CA7B7" w14:textId="77777777" w:rsidR="000C2084" w:rsidRDefault="000C2084" w:rsidP="000C2084">
      <w:r>
        <w:t>- Required privacy notices to customers</w:t>
      </w:r>
    </w:p>
    <w:p w14:paraId="376B01BB" w14:textId="77777777" w:rsidR="000C2084" w:rsidRDefault="000C2084" w:rsidP="000C2084">
      <w:r>
        <w:t>- Opt-out rights for information sharing</w:t>
      </w:r>
    </w:p>
    <w:p w14:paraId="1F2E2C24" w14:textId="77777777" w:rsidR="000C2084" w:rsidRDefault="000C2084" w:rsidP="000C2084">
      <w:r>
        <w:t>- Security standards for financial data</w:t>
      </w:r>
    </w:p>
    <w:p w14:paraId="49602650" w14:textId="77777777" w:rsidR="000C2084" w:rsidRDefault="000C2084" w:rsidP="000C2084">
      <w:r>
        <w:t>- State enforcement mechanisms</w:t>
      </w:r>
    </w:p>
    <w:p w14:paraId="08AA9E9C" w14:textId="77777777" w:rsidR="000C2084" w:rsidRDefault="000C2084" w:rsidP="000C2084"/>
    <w:p w14:paraId="14938E75" w14:textId="77777777" w:rsidR="000C2084" w:rsidRDefault="000C2084" w:rsidP="000C2084">
      <w:r>
        <w:t>Children's Privacy:</w:t>
      </w:r>
    </w:p>
    <w:p w14:paraId="7BCCD26D" w14:textId="77777777" w:rsidR="000C2084" w:rsidRDefault="000C2084" w:rsidP="000C2084">
      <w:r>
        <w:t>The Children's Online Privacy Protection Act (COPPA) of 1998 specifically addressed children's privacy online:</w:t>
      </w:r>
    </w:p>
    <w:p w14:paraId="7BB19B13" w14:textId="77777777" w:rsidR="000C2084" w:rsidRDefault="000C2084" w:rsidP="000C2084">
      <w:r>
        <w:t>- Parental consent requirements</w:t>
      </w:r>
    </w:p>
    <w:p w14:paraId="6797354A" w14:textId="77777777" w:rsidR="000C2084" w:rsidRDefault="000C2084" w:rsidP="000C2084">
      <w:r>
        <w:t>- Restrictions on data collection from children under 13</w:t>
      </w:r>
    </w:p>
    <w:p w14:paraId="2EE44ECC" w14:textId="77777777" w:rsidR="000C2084" w:rsidRDefault="000C2084" w:rsidP="000C2084">
      <w:r>
        <w:t>- Requirements for privacy policies</w:t>
      </w:r>
    </w:p>
    <w:p w14:paraId="07AFA5B4" w14:textId="77777777" w:rsidR="000C2084" w:rsidRDefault="000C2084" w:rsidP="000C2084">
      <w:r>
        <w:t>- Limits on marketing to children</w:t>
      </w:r>
    </w:p>
    <w:p w14:paraId="7874A9B4" w14:textId="77777777" w:rsidR="000C2084" w:rsidRDefault="000C2084" w:rsidP="000C2084"/>
    <w:p w14:paraId="2E9F4AE3" w14:textId="77777777" w:rsidR="000C2084" w:rsidRDefault="000C2084" w:rsidP="000C2084">
      <w:r>
        <w:t>Education:</w:t>
      </w:r>
    </w:p>
    <w:p w14:paraId="3008C0E8" w14:textId="77777777" w:rsidR="000C2084" w:rsidRDefault="000C2084" w:rsidP="000C2084">
      <w:r>
        <w:t>The Family Educational Rights and Privacy Act (FERPA) protects student education records:</w:t>
      </w:r>
    </w:p>
    <w:p w14:paraId="5ADD40F9" w14:textId="77777777" w:rsidR="000C2084" w:rsidRDefault="000C2084" w:rsidP="000C2084">
      <w:r>
        <w:t>- Parent/student rights to access records</w:t>
      </w:r>
    </w:p>
    <w:p w14:paraId="75126F3D" w14:textId="77777777" w:rsidR="000C2084" w:rsidRDefault="000C2084" w:rsidP="000C2084">
      <w:r>
        <w:t>- Limitations on disclosure without consent</w:t>
      </w:r>
    </w:p>
    <w:p w14:paraId="5F426EBE" w14:textId="77777777" w:rsidR="000C2084" w:rsidRDefault="000C2084" w:rsidP="000C2084">
      <w:r>
        <w:t>- Requirements for schools' privacy practices</w:t>
      </w:r>
    </w:p>
    <w:p w14:paraId="129F6B55" w14:textId="77777777" w:rsidR="000C2084" w:rsidRDefault="000C2084" w:rsidP="000C2084"/>
    <w:p w14:paraId="08E55C79" w14:textId="77777777" w:rsidR="000C2084" w:rsidRDefault="000C2084" w:rsidP="000C2084">
      <w:r>
        <w:t>The Digital Age and New Challenges:</w:t>
      </w:r>
    </w:p>
    <w:p w14:paraId="62193119" w14:textId="77777777" w:rsidR="000C2084" w:rsidRDefault="000C2084" w:rsidP="000C2084">
      <w:r>
        <w:t>The rise of internet companies in the 1990s and 2000s exposed gaps in U.S. privacy protection. The Federal Trade Commission (FTC) became the de facto privacy regulator, using its authority to:</w:t>
      </w:r>
    </w:p>
    <w:p w14:paraId="7B7D6D30" w14:textId="77777777" w:rsidR="000C2084" w:rsidRDefault="000C2084" w:rsidP="000C2084">
      <w:r>
        <w:t>- Enforce company privacy promises</w:t>
      </w:r>
    </w:p>
    <w:p w14:paraId="15D2B3DD" w14:textId="77777777" w:rsidR="000C2084" w:rsidRDefault="000C2084" w:rsidP="000C2084">
      <w:r>
        <w:t>- Investigate data breaches</w:t>
      </w:r>
    </w:p>
    <w:p w14:paraId="4F4AEEA4" w14:textId="77777777" w:rsidR="000C2084" w:rsidRDefault="000C2084" w:rsidP="000C2084">
      <w:r>
        <w:t>- Issue privacy guidelines</w:t>
      </w:r>
    </w:p>
    <w:p w14:paraId="08B1DCC1" w14:textId="77777777" w:rsidR="000C2084" w:rsidRDefault="000C2084" w:rsidP="000C2084">
      <w:r>
        <w:t>- Impose fines for privacy violations</w:t>
      </w:r>
    </w:p>
    <w:p w14:paraId="2A6E7D0E" w14:textId="77777777" w:rsidR="000C2084" w:rsidRDefault="000C2084" w:rsidP="000C2084"/>
    <w:p w14:paraId="6BC04A9D" w14:textId="77777777" w:rsidR="000C2084" w:rsidRDefault="000C2084" w:rsidP="000C2084">
      <w:r>
        <w:t>Notable FTC actions included:</w:t>
      </w:r>
    </w:p>
    <w:p w14:paraId="4AFB62A5" w14:textId="77777777" w:rsidR="000C2084" w:rsidRDefault="000C2084" w:rsidP="000C2084">
      <w:r>
        <w:t>- 2011 Facebook settlement requiring privacy audits</w:t>
      </w:r>
    </w:p>
    <w:p w14:paraId="2904264A" w14:textId="77777777" w:rsidR="000C2084" w:rsidRDefault="000C2084" w:rsidP="000C2084">
      <w:r>
        <w:lastRenderedPageBreak/>
        <w:t>- 2012 Google privacy violation fine ($22.5 million)</w:t>
      </w:r>
    </w:p>
    <w:p w14:paraId="1F3DB043" w14:textId="77777777" w:rsidR="000C2084" w:rsidRDefault="000C2084" w:rsidP="000C2084">
      <w:proofErr w:type="gramStart"/>
      <w:r>
        <w:t>- 2019</w:t>
      </w:r>
      <w:proofErr w:type="gramEnd"/>
      <w:r>
        <w:t xml:space="preserve"> Facebook fine ($5 billion) for privacy violations</w:t>
      </w:r>
    </w:p>
    <w:p w14:paraId="1C9FC9D7" w14:textId="77777777" w:rsidR="000C2084" w:rsidRDefault="000C2084" w:rsidP="000C2084"/>
    <w:p w14:paraId="390F0C3B" w14:textId="77777777" w:rsidR="000C2084" w:rsidRDefault="000C2084" w:rsidP="000C2084">
      <w:r>
        <w:t>State-Level Innovation:</w:t>
      </w:r>
    </w:p>
    <w:p w14:paraId="11550615" w14:textId="77777777" w:rsidR="000C2084" w:rsidRDefault="000C2084" w:rsidP="000C2084">
      <w:r>
        <w:t>In the absence of comprehensive federal legislation, states have taken the lead:</w:t>
      </w:r>
    </w:p>
    <w:p w14:paraId="05D71485" w14:textId="77777777" w:rsidR="000C2084" w:rsidRDefault="000C2084" w:rsidP="000C2084"/>
    <w:p w14:paraId="273AF155" w14:textId="77777777" w:rsidR="000C2084" w:rsidRDefault="000C2084" w:rsidP="000C2084">
      <w:r>
        <w:t>California's Leadership:</w:t>
      </w:r>
    </w:p>
    <w:p w14:paraId="1B491A81" w14:textId="77777777" w:rsidR="000C2084" w:rsidRDefault="000C2084" w:rsidP="000C2084">
      <w:r>
        <w:t>- 2003 Security Breach Notification Law (first in the nation)</w:t>
      </w:r>
    </w:p>
    <w:p w14:paraId="5E8A8B6C" w14:textId="77777777" w:rsidR="000C2084" w:rsidRDefault="000C2084" w:rsidP="000C2084">
      <w:r>
        <w:t>- 2018 California Consumer Privacy Act (CCPA)</w:t>
      </w:r>
    </w:p>
    <w:p w14:paraId="04138FCC" w14:textId="77777777" w:rsidR="000C2084" w:rsidRDefault="000C2084" w:rsidP="000C2084">
      <w:r>
        <w:t>- 2020 California Privacy Rights Act (CPRA)</w:t>
      </w:r>
    </w:p>
    <w:p w14:paraId="7D802540" w14:textId="77777777" w:rsidR="000C2084" w:rsidRDefault="000C2084" w:rsidP="000C2084">
      <w:r>
        <w:t>These laws have influenced other states and national privacy discussions.</w:t>
      </w:r>
    </w:p>
    <w:p w14:paraId="38220588" w14:textId="77777777" w:rsidR="000C2084" w:rsidRDefault="000C2084" w:rsidP="000C2084"/>
    <w:p w14:paraId="0C3B00DC" w14:textId="77777777" w:rsidR="000C2084" w:rsidRDefault="000C2084" w:rsidP="000C2084">
      <w:r>
        <w:t>Recent Developments:</w:t>
      </w:r>
    </w:p>
    <w:p w14:paraId="4E9CB237" w14:textId="77777777" w:rsidR="000C2084" w:rsidRDefault="000C2084" w:rsidP="000C2084">
      <w:r>
        <w:t>- Growing number of state privacy laws (Virginia, Colorado, Utah)</w:t>
      </w:r>
    </w:p>
    <w:p w14:paraId="6C6DCDF5" w14:textId="77777777" w:rsidR="000C2084" w:rsidRDefault="000C2084" w:rsidP="000C2084">
      <w:r>
        <w:t>- Increased focus on biometric privacy protection</w:t>
      </w:r>
    </w:p>
    <w:p w14:paraId="4B831202" w14:textId="77777777" w:rsidR="000C2084" w:rsidRDefault="000C2084" w:rsidP="000C2084">
      <w:r>
        <w:t>- Emerging regulations for artificial intelligence</w:t>
      </w:r>
    </w:p>
    <w:p w14:paraId="7E56C70A" w14:textId="77777777" w:rsidR="000C2084" w:rsidRDefault="000C2084" w:rsidP="000C2084">
      <w:r>
        <w:t>- Ongoing debates about federal privacy legislation</w:t>
      </w:r>
    </w:p>
    <w:p w14:paraId="621ED58C" w14:textId="77777777" w:rsidR="000C2084" w:rsidRDefault="000C2084" w:rsidP="000C2084"/>
    <w:p w14:paraId="1469C315" w14:textId="53F35312" w:rsidR="00CA5F4E" w:rsidRDefault="000C2084" w:rsidP="000C2084">
      <w:r>
        <w:t>The U.S. approach continues to evolve, with calls for comprehensive federal privacy legislation growing stronger. However, the sectoral approach remains deeply embedded in the American legal framework, creating ongoing challenges for businesses operating across state lines and internationally.</w:t>
      </w:r>
    </w:p>
    <w:sectPr w:rsidR="00CA5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84"/>
    <w:rsid w:val="000C2084"/>
    <w:rsid w:val="00425E3F"/>
    <w:rsid w:val="00510063"/>
    <w:rsid w:val="00882F55"/>
    <w:rsid w:val="00A00F83"/>
    <w:rsid w:val="00CA5F4E"/>
    <w:rsid w:val="00D4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3B31"/>
  <w15:chartTrackingRefBased/>
  <w15:docId w15:val="{D0905BE2-5568-4009-B1AA-572D002D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300"/>
    <w:pPr>
      <w:spacing w:before="120"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8"/>
    <w:qFormat/>
    <w:rsid w:val="00D43300"/>
    <w:pPr>
      <w:keepNext/>
      <w:keepLines/>
      <w:spacing w:before="480"/>
      <w:outlineLvl w:val="0"/>
    </w:pPr>
    <w:rPr>
      <w:rFonts w:asciiTheme="majorHAnsi" w:eastAsiaTheme="majorEastAsia" w:hAnsiTheme="majorHAnsi" w:cstheme="majorBidi"/>
      <w:b/>
      <w:bCs/>
      <w:sz w:val="40"/>
      <w:szCs w:val="40"/>
    </w:rPr>
  </w:style>
  <w:style w:type="paragraph" w:styleId="Heading2">
    <w:name w:val="heading 2"/>
    <w:basedOn w:val="Normal"/>
    <w:link w:val="Heading2Char"/>
    <w:qFormat/>
    <w:rsid w:val="00D43300"/>
    <w:pPr>
      <w:outlineLvl w:val="1"/>
    </w:pPr>
    <w:rPr>
      <w:b/>
      <w:bCs/>
      <w:sz w:val="28"/>
      <w:szCs w:val="28"/>
    </w:rPr>
  </w:style>
  <w:style w:type="paragraph" w:styleId="Heading3">
    <w:name w:val="heading 3"/>
    <w:basedOn w:val="Normal"/>
    <w:next w:val="Normal"/>
    <w:link w:val="Heading3Char"/>
    <w:qFormat/>
    <w:rsid w:val="00D43300"/>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43300"/>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208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208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208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2084"/>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2084"/>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A5F4E"/>
    <w:pPr>
      <w:widowControl w:val="0"/>
      <w:spacing w:line="264" w:lineRule="auto"/>
      <w:ind w:left="720"/>
      <w:jc w:val="both"/>
      <w:outlineLvl w:val="0"/>
    </w:pPr>
    <w:rPr>
      <w:rFonts w:ascii="Courier New" w:hAnsi="Courier New" w:cs="Courier New"/>
      <w:b/>
      <w:bCs/>
      <w:sz w:val="22"/>
      <w:szCs w:val="22"/>
    </w:rPr>
  </w:style>
  <w:style w:type="paragraph" w:customStyle="1" w:styleId="fig">
    <w:name w:val="fig"/>
    <w:basedOn w:val="Normal"/>
    <w:qFormat/>
    <w:rsid w:val="00D43300"/>
    <w:pPr>
      <w:jc w:val="center"/>
    </w:pPr>
    <w:rPr>
      <w:rFonts w:ascii="Arial Black" w:hAnsi="Arial Black"/>
      <w:sz w:val="18"/>
      <w:szCs w:val="18"/>
    </w:rPr>
  </w:style>
  <w:style w:type="paragraph" w:styleId="Caption">
    <w:name w:val="caption"/>
    <w:basedOn w:val="Normal"/>
    <w:next w:val="Normal"/>
    <w:uiPriority w:val="35"/>
    <w:semiHidden/>
    <w:unhideWhenUsed/>
    <w:qFormat/>
    <w:rsid w:val="00510063"/>
    <w:pPr>
      <w:spacing w:after="200"/>
    </w:pPr>
    <w:rPr>
      <w:i/>
      <w:iCs/>
      <w:color w:val="0E2841" w:themeColor="text2"/>
      <w:sz w:val="18"/>
      <w:szCs w:val="18"/>
    </w:rPr>
  </w:style>
  <w:style w:type="paragraph" w:styleId="Footer">
    <w:name w:val="footer"/>
    <w:basedOn w:val="Normal"/>
    <w:link w:val="FooterChar"/>
    <w:uiPriority w:val="99"/>
    <w:unhideWhenUsed/>
    <w:rsid w:val="00D43300"/>
    <w:pPr>
      <w:tabs>
        <w:tab w:val="center" w:pos="4680"/>
        <w:tab w:val="right" w:pos="9360"/>
      </w:tabs>
    </w:pPr>
  </w:style>
  <w:style w:type="character" w:customStyle="1" w:styleId="FooterChar">
    <w:name w:val="Footer Char"/>
    <w:basedOn w:val="DefaultParagraphFont"/>
    <w:link w:val="Footer"/>
    <w:uiPriority w:val="99"/>
    <w:rsid w:val="00D43300"/>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8"/>
    <w:rsid w:val="00D43300"/>
    <w:rPr>
      <w:rFonts w:asciiTheme="majorHAnsi" w:eastAsiaTheme="majorEastAsia" w:hAnsiTheme="majorHAnsi" w:cstheme="majorBidi"/>
      <w:b/>
      <w:bCs/>
      <w:kern w:val="0"/>
      <w:sz w:val="40"/>
      <w:szCs w:val="40"/>
      <w14:ligatures w14:val="none"/>
    </w:rPr>
  </w:style>
  <w:style w:type="character" w:customStyle="1" w:styleId="Heading2Char">
    <w:name w:val="Heading 2 Char"/>
    <w:basedOn w:val="DefaultParagraphFont"/>
    <w:link w:val="Heading2"/>
    <w:rsid w:val="00D43300"/>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rsid w:val="00D43300"/>
    <w:rPr>
      <w:rFonts w:asciiTheme="majorHAnsi" w:eastAsiaTheme="majorEastAsia" w:hAnsiTheme="majorHAnsi" w:cstheme="majorBidi"/>
      <w:b/>
      <w:bCs/>
      <w:kern w:val="0"/>
      <w14:ligatures w14:val="none"/>
    </w:rPr>
  </w:style>
  <w:style w:type="character" w:customStyle="1" w:styleId="Heading4Char">
    <w:name w:val="Heading 4 Char"/>
    <w:basedOn w:val="DefaultParagraphFont"/>
    <w:link w:val="Heading4"/>
    <w:uiPriority w:val="9"/>
    <w:rsid w:val="00D43300"/>
    <w:rPr>
      <w:rFonts w:asciiTheme="majorHAnsi" w:eastAsiaTheme="majorEastAsia" w:hAnsiTheme="majorHAnsi"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0C2084"/>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0C2084"/>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0C2084"/>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0C2084"/>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0C2084"/>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0C2084"/>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08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C208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08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C20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2084"/>
    <w:rPr>
      <w:rFonts w:ascii="Times New Roman" w:hAnsi="Times New Roman" w:cs="Times New Roman"/>
      <w:i/>
      <w:iCs/>
      <w:color w:val="404040" w:themeColor="text1" w:themeTint="BF"/>
      <w:kern w:val="0"/>
      <w14:ligatures w14:val="none"/>
    </w:rPr>
  </w:style>
  <w:style w:type="paragraph" w:styleId="ListParagraph">
    <w:name w:val="List Paragraph"/>
    <w:basedOn w:val="Normal"/>
    <w:uiPriority w:val="34"/>
    <w:qFormat/>
    <w:rsid w:val="000C2084"/>
    <w:pPr>
      <w:ind w:left="720"/>
      <w:contextualSpacing/>
    </w:pPr>
  </w:style>
  <w:style w:type="character" w:styleId="IntenseEmphasis">
    <w:name w:val="Intense Emphasis"/>
    <w:basedOn w:val="DefaultParagraphFont"/>
    <w:uiPriority w:val="21"/>
    <w:qFormat/>
    <w:rsid w:val="000C2084"/>
    <w:rPr>
      <w:i/>
      <w:iCs/>
      <w:color w:val="0F4761" w:themeColor="accent1" w:themeShade="BF"/>
    </w:rPr>
  </w:style>
  <w:style w:type="paragraph" w:styleId="IntenseQuote">
    <w:name w:val="Intense Quote"/>
    <w:basedOn w:val="Normal"/>
    <w:next w:val="Normal"/>
    <w:link w:val="IntenseQuoteChar"/>
    <w:uiPriority w:val="30"/>
    <w:qFormat/>
    <w:rsid w:val="000C2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084"/>
    <w:rPr>
      <w:rFonts w:ascii="Times New Roman" w:hAnsi="Times New Roman" w:cs="Times New Roman"/>
      <w:i/>
      <w:iCs/>
      <w:color w:val="0F4761" w:themeColor="accent1" w:themeShade="BF"/>
      <w:kern w:val="0"/>
      <w14:ligatures w14:val="none"/>
    </w:rPr>
  </w:style>
  <w:style w:type="character" w:styleId="IntenseReference">
    <w:name w:val="Intense Reference"/>
    <w:basedOn w:val="DefaultParagraphFont"/>
    <w:uiPriority w:val="32"/>
    <w:qFormat/>
    <w:rsid w:val="000C20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Coyle, Frank</dc:creator>
  <cp:keywords/>
  <dc:description/>
  <cp:lastModifiedBy>Coyle, Frank</cp:lastModifiedBy>
  <cp:revision>1</cp:revision>
  <dcterms:created xsi:type="dcterms:W3CDTF">2025-02-21T15:39:00Z</dcterms:created>
  <dcterms:modified xsi:type="dcterms:W3CDTF">2025-02-21T15:40:00Z</dcterms:modified>
</cp:coreProperties>
</file>