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5A06" w14:textId="77777777" w:rsidR="00955FDD" w:rsidRDefault="00955FDD" w:rsidP="00955FDD">
      <w:r>
        <w:t>Global Approaches to Data Protection: A Comparative Analysis</w:t>
      </w:r>
    </w:p>
    <w:p w14:paraId="4E28825A" w14:textId="77777777" w:rsidR="00955FDD" w:rsidRDefault="00955FDD" w:rsidP="00955FDD"/>
    <w:p w14:paraId="031D9F4D" w14:textId="77777777" w:rsidR="00955FDD" w:rsidRDefault="00955FDD" w:rsidP="00955FDD">
      <w:r>
        <w:t>Data protection approaches vary significantly across different regions of the world, reflecting diverse cultural, political, and economic priorities. This document examines how different regions approach privacy and data protection.</w:t>
      </w:r>
    </w:p>
    <w:p w14:paraId="2274EFF7" w14:textId="77777777" w:rsidR="00955FDD" w:rsidRDefault="00955FDD" w:rsidP="00955FDD"/>
    <w:p w14:paraId="7B26A9E6" w14:textId="77777777" w:rsidR="00955FDD" w:rsidRDefault="00955FDD" w:rsidP="00955FDD">
      <w:r>
        <w:t>European Union Approach:</w:t>
      </w:r>
    </w:p>
    <w:p w14:paraId="1550E53A" w14:textId="77777777" w:rsidR="00955FDD" w:rsidRDefault="00955FDD" w:rsidP="00955FDD"/>
    <w:p w14:paraId="5B76A189" w14:textId="77777777" w:rsidR="00955FDD" w:rsidRDefault="00955FDD" w:rsidP="00955FDD">
      <w:r>
        <w:t>Comprehensive Protection:</w:t>
      </w:r>
    </w:p>
    <w:p w14:paraId="711FD8D6" w14:textId="77777777" w:rsidR="00955FDD" w:rsidRDefault="00955FDD" w:rsidP="00955FDD">
      <w:r>
        <w:t>- GDPR as global standard</w:t>
      </w:r>
    </w:p>
    <w:p w14:paraId="6DCE824D" w14:textId="77777777" w:rsidR="00955FDD" w:rsidRDefault="00955FDD" w:rsidP="00955FDD">
      <w:r>
        <w:t>- Privacy as fundamental right</w:t>
      </w:r>
    </w:p>
    <w:p w14:paraId="2669A7DB" w14:textId="77777777" w:rsidR="00955FDD" w:rsidRDefault="00955FDD" w:rsidP="00955FDD">
      <w:r>
        <w:t>- Strict consent requirements</w:t>
      </w:r>
    </w:p>
    <w:p w14:paraId="3E5934FB" w14:textId="77777777" w:rsidR="00955FDD" w:rsidRDefault="00955FDD" w:rsidP="00955FDD">
      <w:r>
        <w:t>- Significant penalties</w:t>
      </w:r>
    </w:p>
    <w:p w14:paraId="7F525267" w14:textId="77777777" w:rsidR="00955FDD" w:rsidRDefault="00955FDD" w:rsidP="00955FDD">
      <w:r>
        <w:t>- Data Protection Authorities</w:t>
      </w:r>
    </w:p>
    <w:p w14:paraId="143035BA" w14:textId="77777777" w:rsidR="00955FDD" w:rsidRDefault="00955FDD" w:rsidP="00955FDD"/>
    <w:p w14:paraId="1889E13C" w14:textId="77777777" w:rsidR="00955FDD" w:rsidRDefault="00955FDD" w:rsidP="00955FDD">
      <w:r>
        <w:t>Key Features:</w:t>
      </w:r>
    </w:p>
    <w:p w14:paraId="7C928B44" w14:textId="77777777" w:rsidR="00955FDD" w:rsidRDefault="00955FDD" w:rsidP="00955FDD">
      <w:r>
        <w:t>- Data minimization principles</w:t>
      </w:r>
    </w:p>
    <w:p w14:paraId="1CF5B30E" w14:textId="77777777" w:rsidR="00955FDD" w:rsidRDefault="00955FDD" w:rsidP="00955FDD">
      <w:r>
        <w:t xml:space="preserve">- Purpose </w:t>
      </w:r>
      <w:proofErr w:type="gramStart"/>
      <w:r>
        <w:t>limitation</w:t>
      </w:r>
      <w:proofErr w:type="gramEnd"/>
    </w:p>
    <w:p w14:paraId="18E2E399" w14:textId="77777777" w:rsidR="00955FDD" w:rsidRDefault="00955FDD" w:rsidP="00955FDD">
      <w:r>
        <w:t>- Storage limitations</w:t>
      </w:r>
    </w:p>
    <w:p w14:paraId="5342314F" w14:textId="77777777" w:rsidR="00955FDD" w:rsidRDefault="00955FDD" w:rsidP="00955FDD">
      <w:r>
        <w:t>- Individual rights emphasis</w:t>
      </w:r>
    </w:p>
    <w:p w14:paraId="2D6A7D8A" w14:textId="77777777" w:rsidR="00955FDD" w:rsidRDefault="00955FDD" w:rsidP="00955FDD">
      <w:r>
        <w:t>- Cross-border transfer restrictions</w:t>
      </w:r>
    </w:p>
    <w:p w14:paraId="695EE8CD" w14:textId="77777777" w:rsidR="00955FDD" w:rsidRDefault="00955FDD" w:rsidP="00955FDD"/>
    <w:p w14:paraId="79160039" w14:textId="77777777" w:rsidR="00955FDD" w:rsidRDefault="00955FDD" w:rsidP="00955FDD">
      <w:r>
        <w:t>United States Approach:</w:t>
      </w:r>
    </w:p>
    <w:p w14:paraId="5C137F4B" w14:textId="77777777" w:rsidR="00955FDD" w:rsidRDefault="00955FDD" w:rsidP="00955FDD"/>
    <w:p w14:paraId="7307525C" w14:textId="77777777" w:rsidR="00955FDD" w:rsidRDefault="00955FDD" w:rsidP="00955FDD">
      <w:r>
        <w:t>Sectoral Regulation:</w:t>
      </w:r>
    </w:p>
    <w:p w14:paraId="7AEF85C2" w14:textId="77777777" w:rsidR="00955FDD" w:rsidRDefault="00955FDD" w:rsidP="00955FDD">
      <w:r>
        <w:t>- Industry-specific laws</w:t>
      </w:r>
    </w:p>
    <w:p w14:paraId="51EB6ADF" w14:textId="77777777" w:rsidR="00955FDD" w:rsidRDefault="00955FDD" w:rsidP="00955FDD">
      <w:r>
        <w:t>- State-level legislation</w:t>
      </w:r>
    </w:p>
    <w:p w14:paraId="4F6FCF8B" w14:textId="77777777" w:rsidR="00955FDD" w:rsidRDefault="00955FDD" w:rsidP="00955FDD">
      <w:r>
        <w:t>- FTC enforcement</w:t>
      </w:r>
    </w:p>
    <w:p w14:paraId="0F79DBDE" w14:textId="77777777" w:rsidR="00955FDD" w:rsidRDefault="00955FDD" w:rsidP="00955FDD">
      <w:r>
        <w:t>- Market-driven solutions</w:t>
      </w:r>
    </w:p>
    <w:p w14:paraId="50F49B5B" w14:textId="77777777" w:rsidR="00955FDD" w:rsidRDefault="00955FDD" w:rsidP="00955FDD">
      <w:r>
        <w:t>- Limited federal oversight</w:t>
      </w:r>
    </w:p>
    <w:p w14:paraId="52F8C561" w14:textId="77777777" w:rsidR="00955FDD" w:rsidRDefault="00955FDD" w:rsidP="00955FDD"/>
    <w:p w14:paraId="2CB8F37B" w14:textId="77777777" w:rsidR="00955FDD" w:rsidRDefault="00955FDD" w:rsidP="00955FDD">
      <w:r>
        <w:t>Key Features:</w:t>
      </w:r>
    </w:p>
    <w:p w14:paraId="4E6175F9" w14:textId="77777777" w:rsidR="00955FDD" w:rsidRDefault="00955FDD" w:rsidP="00955FDD">
      <w:r>
        <w:t>- Consumer protection focus</w:t>
      </w:r>
    </w:p>
    <w:p w14:paraId="0BF7A575" w14:textId="77777777" w:rsidR="00955FDD" w:rsidRDefault="00955FDD" w:rsidP="00955FDD">
      <w:r>
        <w:lastRenderedPageBreak/>
        <w:t>- Industry self-regulation</w:t>
      </w:r>
    </w:p>
    <w:p w14:paraId="36931E5F" w14:textId="77777777" w:rsidR="00955FDD" w:rsidRDefault="00955FDD" w:rsidP="00955FDD">
      <w:r>
        <w:t>- State-level innovation</w:t>
      </w:r>
    </w:p>
    <w:p w14:paraId="4500E413" w14:textId="77777777" w:rsidR="00955FDD" w:rsidRDefault="00955FDD" w:rsidP="00955FDD">
      <w:r>
        <w:t>- Breach notification requirements</w:t>
      </w:r>
    </w:p>
    <w:p w14:paraId="4E3A8445" w14:textId="77777777" w:rsidR="00955FDD" w:rsidRDefault="00955FDD" w:rsidP="00955FDD">
      <w:r>
        <w:t>- Sectoral compliance frameworks</w:t>
      </w:r>
    </w:p>
    <w:p w14:paraId="35F11CF7" w14:textId="77777777" w:rsidR="00955FDD" w:rsidRDefault="00955FDD" w:rsidP="00955FDD"/>
    <w:p w14:paraId="7DF0F7A8" w14:textId="77777777" w:rsidR="00955FDD" w:rsidRDefault="00955FDD" w:rsidP="00955FDD">
      <w:r>
        <w:t>Asia-Pacific Approaches:</w:t>
      </w:r>
    </w:p>
    <w:p w14:paraId="2059F69F" w14:textId="77777777" w:rsidR="00955FDD" w:rsidRDefault="00955FDD" w:rsidP="00955FDD"/>
    <w:p w14:paraId="3656FEB7" w14:textId="77777777" w:rsidR="00955FDD" w:rsidRDefault="00955FDD" w:rsidP="00955FDD">
      <w:r>
        <w:t>China:</w:t>
      </w:r>
    </w:p>
    <w:p w14:paraId="42767ADD" w14:textId="77777777" w:rsidR="00955FDD" w:rsidRDefault="00955FDD" w:rsidP="00955FDD">
      <w:r>
        <w:t>- Personal Information Protection Law (2021)</w:t>
      </w:r>
    </w:p>
    <w:p w14:paraId="56543598" w14:textId="77777777" w:rsidR="00955FDD" w:rsidRDefault="00955FDD" w:rsidP="00955FDD">
      <w:r>
        <w:t>- Cybersecurity Law (2017)</w:t>
      </w:r>
    </w:p>
    <w:p w14:paraId="7798E2BB" w14:textId="77777777" w:rsidR="00955FDD" w:rsidRDefault="00955FDD" w:rsidP="00955FDD">
      <w:r>
        <w:t>- Data localization requirements</w:t>
      </w:r>
    </w:p>
    <w:p w14:paraId="3F3F09F5" w14:textId="77777777" w:rsidR="00955FDD" w:rsidRDefault="00955FDD" w:rsidP="00955FDD">
      <w:r>
        <w:t>- State security emphasis</w:t>
      </w:r>
    </w:p>
    <w:p w14:paraId="706DD6BD" w14:textId="77777777" w:rsidR="00955FDD" w:rsidRDefault="00955FDD" w:rsidP="00955FDD">
      <w:r>
        <w:t>- Strict cross-border data rules</w:t>
      </w:r>
    </w:p>
    <w:p w14:paraId="40D40F97" w14:textId="77777777" w:rsidR="00955FDD" w:rsidRDefault="00955FDD" w:rsidP="00955FDD"/>
    <w:p w14:paraId="2266E24F" w14:textId="77777777" w:rsidR="00955FDD" w:rsidRDefault="00955FDD" w:rsidP="00955FDD">
      <w:r>
        <w:t>Japan:</w:t>
      </w:r>
    </w:p>
    <w:p w14:paraId="6004AAFE" w14:textId="77777777" w:rsidR="00955FDD" w:rsidRDefault="00955FDD" w:rsidP="00955FDD">
      <w:r>
        <w:t>- Act on Protection of Personal Information</w:t>
      </w:r>
    </w:p>
    <w:p w14:paraId="2E20B841" w14:textId="77777777" w:rsidR="00955FDD" w:rsidRDefault="00955FDD" w:rsidP="00955FDD">
      <w:r>
        <w:t>- GDPR adequacy decision</w:t>
      </w:r>
    </w:p>
    <w:p w14:paraId="38495142" w14:textId="77777777" w:rsidR="00955FDD" w:rsidRDefault="00955FDD" w:rsidP="00955FDD">
      <w:r>
        <w:t>- Balanced approach</w:t>
      </w:r>
    </w:p>
    <w:p w14:paraId="6FBF1AEE" w14:textId="77777777" w:rsidR="00955FDD" w:rsidRDefault="00955FDD" w:rsidP="00955FDD">
      <w:r>
        <w:t>- Cultural privacy norms</w:t>
      </w:r>
    </w:p>
    <w:p w14:paraId="11790105" w14:textId="77777777" w:rsidR="00955FDD" w:rsidRDefault="00955FDD" w:rsidP="00955FDD">
      <w:r>
        <w:t>- International cooperation focus</w:t>
      </w:r>
    </w:p>
    <w:p w14:paraId="6A28C74C" w14:textId="77777777" w:rsidR="00955FDD" w:rsidRDefault="00955FDD" w:rsidP="00955FDD"/>
    <w:p w14:paraId="3972AE70" w14:textId="77777777" w:rsidR="00955FDD" w:rsidRDefault="00955FDD" w:rsidP="00955FDD">
      <w:r>
        <w:t>South Korea:</w:t>
      </w:r>
    </w:p>
    <w:p w14:paraId="7F9AD3E1" w14:textId="77777777" w:rsidR="00955FDD" w:rsidRDefault="00955FDD" w:rsidP="00955FDD">
      <w:r>
        <w:t>- Personal Information Protection Act</w:t>
      </w:r>
    </w:p>
    <w:p w14:paraId="71BF4CBB" w14:textId="77777777" w:rsidR="00955FDD" w:rsidRDefault="00955FDD" w:rsidP="00955FDD">
      <w:r>
        <w:t>- Strict consent requirements</w:t>
      </w:r>
    </w:p>
    <w:p w14:paraId="52EF94A6" w14:textId="77777777" w:rsidR="00955FDD" w:rsidRDefault="00955FDD" w:rsidP="00955FDD">
      <w:r>
        <w:t>- Criminal penalties</w:t>
      </w:r>
    </w:p>
    <w:p w14:paraId="4C2681BD" w14:textId="77777777" w:rsidR="00955FDD" w:rsidRDefault="00955FDD" w:rsidP="00955FDD">
      <w:r>
        <w:t>- Comprehensive protection</w:t>
      </w:r>
    </w:p>
    <w:p w14:paraId="7C4C1CE7" w14:textId="77777777" w:rsidR="00955FDD" w:rsidRDefault="00955FDD" w:rsidP="00955FDD">
      <w:r>
        <w:t>- Technical security standards</w:t>
      </w:r>
    </w:p>
    <w:p w14:paraId="0EFDC3AE" w14:textId="77777777" w:rsidR="00955FDD" w:rsidRDefault="00955FDD" w:rsidP="00955FDD"/>
    <w:p w14:paraId="3848A422" w14:textId="77777777" w:rsidR="00955FDD" w:rsidRDefault="00955FDD" w:rsidP="00955FDD">
      <w:r>
        <w:t>Emerging Market Approaches:</w:t>
      </w:r>
    </w:p>
    <w:p w14:paraId="55CD6F7C" w14:textId="77777777" w:rsidR="00955FDD" w:rsidRDefault="00955FDD" w:rsidP="00955FDD"/>
    <w:p w14:paraId="453ADEA9" w14:textId="77777777" w:rsidR="00955FDD" w:rsidRDefault="00955FDD" w:rsidP="00955FDD">
      <w:r>
        <w:t>Brazil (LGPD):</w:t>
      </w:r>
    </w:p>
    <w:p w14:paraId="7E7CC179" w14:textId="77777777" w:rsidR="00955FDD" w:rsidRDefault="00955FDD" w:rsidP="00955FDD">
      <w:r>
        <w:t>- GDPR-influenced framework</w:t>
      </w:r>
    </w:p>
    <w:p w14:paraId="1317351F" w14:textId="77777777" w:rsidR="00955FDD" w:rsidRDefault="00955FDD" w:rsidP="00955FDD">
      <w:r>
        <w:t>- National DPA establishment</w:t>
      </w:r>
    </w:p>
    <w:p w14:paraId="26460017" w14:textId="7C5DAAF8" w:rsidR="00CA5F4E" w:rsidRDefault="00955FDD" w:rsidP="00955FDD">
      <w:r>
        <w:lastRenderedPageBreak/>
        <w:t>- Consent requirements</w:t>
      </w:r>
    </w:p>
    <w:sectPr w:rsidR="00CA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DD"/>
    <w:rsid w:val="00425E3F"/>
    <w:rsid w:val="00510063"/>
    <w:rsid w:val="00882F55"/>
    <w:rsid w:val="00955FDD"/>
    <w:rsid w:val="00A00F83"/>
    <w:rsid w:val="00CA5F4E"/>
    <w:rsid w:val="00D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BD63"/>
  <w15:chartTrackingRefBased/>
  <w15:docId w15:val="{BBDCA276-5124-4B96-B8DA-68E79810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300"/>
    <w:pPr>
      <w:spacing w:before="120"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8"/>
    <w:qFormat/>
    <w:rsid w:val="00D433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link w:val="Heading2Char"/>
    <w:qFormat/>
    <w:rsid w:val="00D4330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433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3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F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F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DD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DD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A5F4E"/>
    <w:pPr>
      <w:widowControl w:val="0"/>
      <w:spacing w:line="264" w:lineRule="auto"/>
      <w:ind w:left="720"/>
      <w:jc w:val="both"/>
      <w:outlineLvl w:val="0"/>
    </w:pPr>
    <w:rPr>
      <w:rFonts w:ascii="Courier New" w:hAnsi="Courier New" w:cs="Courier New"/>
      <w:b/>
      <w:bCs/>
      <w:sz w:val="22"/>
      <w:szCs w:val="22"/>
    </w:rPr>
  </w:style>
  <w:style w:type="paragraph" w:customStyle="1" w:styleId="fig">
    <w:name w:val="fig"/>
    <w:basedOn w:val="Normal"/>
    <w:qFormat/>
    <w:rsid w:val="00D43300"/>
    <w:pPr>
      <w:jc w:val="center"/>
    </w:pPr>
    <w:rPr>
      <w:rFonts w:ascii="Arial Black" w:hAnsi="Arial Black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063"/>
    <w:pPr>
      <w:spacing w:after="200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300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8"/>
    <w:rsid w:val="00D43300"/>
    <w:rPr>
      <w:rFonts w:asciiTheme="majorHAnsi" w:eastAsiaTheme="majorEastAsia" w:hAnsiTheme="majorHAnsi" w:cstheme="majorBidi"/>
      <w:b/>
      <w:bCs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rsid w:val="00D4330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D43300"/>
    <w:rPr>
      <w:rFonts w:asciiTheme="majorHAnsi" w:eastAsiaTheme="majorEastAsia" w:hAnsiTheme="majorHAnsi" w:cstheme="majorBidi"/>
      <w:b/>
      <w:b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43300"/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FDD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FDD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FDD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FDD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FDD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55FD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D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D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FD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55F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FDD"/>
    <w:rPr>
      <w:rFonts w:ascii="Times New Roman" w:hAnsi="Times New Roman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55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FDD"/>
    <w:rPr>
      <w:rFonts w:ascii="Times New Roman" w:hAnsi="Times New Roman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55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Coyle, Frank</dc:creator>
  <cp:keywords/>
  <dc:description/>
  <cp:lastModifiedBy>Coyle, Frank</cp:lastModifiedBy>
  <cp:revision>1</cp:revision>
  <dcterms:created xsi:type="dcterms:W3CDTF">2025-02-22T14:45:00Z</dcterms:created>
  <dcterms:modified xsi:type="dcterms:W3CDTF">2025-02-22T14:46:00Z</dcterms:modified>
</cp:coreProperties>
</file>