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fairness and ethics are global concerns. This document examines different international approaches to bias mitigation in AI.</w:t>
      </w:r>
    </w:p>
    <w:p>
      <w:r>
        <w:t>The United Nations advocates for human rights-based AI governance, emphasizing the importance of fairness and transparency in automated decision-making.</w:t>
      </w:r>
    </w:p>
    <w:p>
      <w:r>
        <w:t>The European Union enforces transparency and fairness in AI through GDPR and the AI Act, setting strict compliance standards for AI developers.</w:t>
      </w:r>
    </w:p>
    <w:p>
      <w:r>
        <w:t>The United States relies on industry standards and sector-specific regulations rather than a centralized AI fairness law. Federal agencies oversee AI ethics enforcement.</w:t>
      </w:r>
    </w:p>
    <w:p>
      <w:r>
        <w:t>China's government-led AI ethics guidelines focus on fairness, transparency, and security. These policies shape the development of ethical AI frameworks.</w:t>
      </w:r>
    </w:p>
    <w:p>
      <w:r>
        <w:t>The private sector, including companies like Google, IBM, and Microsoft, invests in AI fairness research, developing frameworks for responsible AI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