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2A4A"/>
          <w:spacing w:val="200"/>
          <w:sz w:val="64"/>
          <w:szCs w:val="64"/>
        </w:rPr>
        <w:t xml:space="preserve">GROWTHOSS</w:t>
      </w:r>
    </w:p>
    <w:p>
      <w:pPr>
        <w:spacing w:after="100"/>
        <w:jc w:val="center"/>
      </w:pPr>
      <w:r>
        <w:rPr>
          <w:rFonts w:ascii="Arial" w:cs="Arial" w:eastAsia="Arial" w:hAnsi="Arial"/>
          <w:color w:val="2E75B6"/>
          <w:spacing w:val="100"/>
          <w:sz w:val="28"/>
          <w:szCs w:val="28"/>
        </w:rPr>
        <w:t xml:space="preserve">THE GROWTH OPERATING SYSTEM</w:t>
      </w:r>
    </w:p>
    <w:p>
      <w:pPr>
        <w:spacing w:after="200"/>
      </w:pPr>
    </w:p>
    <w:p>
      <w:pPr>
        <w:pBdr>
          <w:top w:val="single" w:color="2E75B6" w:sz="2" w:space="1"/>
        </w:pBdr>
        <w:spacing w:after="80"/>
        <w:jc w:val="center"/>
      </w:pPr>
    </w:p>
    <w:p>
      <w:pPr>
        <w:spacing w:after="100"/>
      </w:pPr>
    </w:p>
    <w:p>
      <w:pPr>
        <w:spacing w:after="120"/>
        <w:jc w:val="center"/>
      </w:pPr>
      <w:r>
        <w:rPr>
          <w:rFonts w:ascii="Arial" w:cs="Arial" w:eastAsia="Arial" w:hAnsi="Arial"/>
          <w:color w:val="2C3E50"/>
          <w:sz w:val="32"/>
          <w:szCs w:val="32"/>
        </w:rPr>
        <w:t xml:space="preserve">A Complete Lifecycle Playbook for Growth &amp; Marketing Teams</w:t>
      </w:r>
    </w:p>
    <w:p>
      <w:pPr>
        <w:spacing w:after="80"/>
        <w:jc w:val="center"/>
      </w:pPr>
      <w:r>
        <w:rPr>
          <w:rFonts w:ascii="Arial" w:cs="Arial" w:eastAsia="Arial" w:hAnsi="Arial"/>
          <w:color w:val="5D6D7E"/>
          <w:sz w:val="26"/>
          <w:szCs w:val="26"/>
        </w:rPr>
        <w:t xml:space="preserve">Across SaaS, Fintech, and E-Commerce</w:t>
      </w:r>
    </w:p>
    <w:p>
      <w:pPr>
        <w:spacing w:after="600"/>
      </w:pPr>
    </w:p>
    <w:p>
      <w:pPr>
        <w:spacing w:after="80"/>
        <w:jc w:val="center"/>
      </w:pPr>
      <w:r>
        <w:rPr>
          <w:rFonts w:ascii="Arial" w:cs="Arial" w:eastAsia="Arial" w:hAnsi="Arial"/>
          <w:b/>
          <w:bCs/>
          <w:color w:val="0E918C"/>
          <w:sz w:val="24"/>
          <w:szCs w:val="24"/>
        </w:rPr>
        <w:t xml:space="preserve">Enable · Disable · Ignore</w:t>
      </w:r>
    </w:p>
    <w:p>
      <w:pPr>
        <w:spacing w:after="80"/>
        <w:jc w:val="center"/>
      </w:pPr>
      <w:r>
        <w:rPr>
          <w:rFonts w:ascii="Arial" w:cs="Arial" w:eastAsia="Arial" w:hAnsi="Arial"/>
          <w:color w:val="5D6D7E"/>
          <w:sz w:val="20"/>
          <w:szCs w:val="20"/>
        </w:rPr>
        <w:t xml:space="preserve">A decision framework for choosing growth modules at every stage of the customer lifecycle</w:t>
      </w:r>
    </w:p>
    <w:p>
      <w:pPr>
        <w:spacing w:after="1200"/>
      </w:pPr>
    </w:p>
    <w:p>
      <w:pPr>
        <w:jc w:val="center"/>
      </w:pPr>
      <w:r>
        <w:rPr>
          <w:rFonts w:ascii="Arial" w:cs="Arial" w:eastAsia="Arial" w:hAnsi="Arial"/>
          <w:color w:val="5D6D7E"/>
          <w:sz w:val="20"/>
          <w:szCs w:val="20"/>
        </w:rPr>
        <w:t xml:space="preserve">February 2026</w:t>
      </w:r>
    </w:p>
    <w:p>
      <w:r>
        <w:br w:type="page"/>
      </w:r>
    </w:p>
    <w:p>
      <w:pPr>
        <w:pStyle w:val="Heading1"/>
      </w:pPr>
      <w:r>
        <w:t xml:space="preserve">How to Read This Document</w:t>
      </w:r>
    </w:p>
    <w:p>
      <w:pPr>
        <w:spacing w:after="80"/>
      </w:pPr>
    </w:p>
    <w:p>
      <w:pPr>
        <w:spacing w:after="160" w:before="0"/>
      </w:pPr>
      <w:r>
        <w:rPr>
          <w:rFonts w:ascii="Arial" w:cs="Arial" w:eastAsia="Arial" w:hAnsi="Arial"/>
          <w:color w:val="2C3E50"/>
          <w:sz w:val="22"/>
          <w:szCs w:val="22"/>
        </w:rPr>
        <w:t xml:space="preserve">This playbook is organised around the five stages of the customer lifecycle: Acquire, Activate, Engage, Monetise, and Advocate. At each stage, we list every growth module available in the GrowthOS platform and provide a clear recommendation for three verticals: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22"/>
                <w:szCs w:val="22"/>
              </w:rPr>
              <w:t xml:space="preserve">ENABLE</w:t>
            </w:r>
          </w:p>
        </w:tc>
        <w:tc>
          <w:tcPr>
            <w:tcW w:type="dxa" w:w="75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r>
              <w:rPr>
                <w:rFonts w:ascii="Arial" w:cs="Arial" w:eastAsia="Arial" w:hAnsi="Arial"/>
                <w:color w:val="2C3E50"/>
                <w:sz w:val="20"/>
                <w:szCs w:val="20"/>
              </w:rPr>
              <w:t xml:space="preserve">This module is a high-impact, near-universal play for your vertical. Turn it on.</w:t>
            </w:r>
          </w:p>
        </w:tc>
      </w:tr>
      <w:tr>
        <w:tc>
          <w:tcPr>
            <w:tcW w:type="dxa" w:w="180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22"/>
                <w:szCs w:val="22"/>
              </w:rPr>
              <w:t xml:space="preserve">CONSIDER</w:t>
            </w:r>
          </w:p>
        </w:tc>
        <w:tc>
          <w:tcPr>
            <w:tcW w:type="dxa" w:w="75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r>
              <w:rPr>
                <w:rFonts w:ascii="Arial" w:cs="Arial" w:eastAsia="Arial" w:hAnsi="Arial"/>
                <w:color w:val="2C3E50"/>
                <w:sz w:val="20"/>
                <w:szCs w:val="20"/>
              </w:rPr>
              <w:t xml:space="preserve">Situationally valuable. Depends on your product, audience, and growth stage.</w:t>
            </w:r>
          </w:p>
        </w:tc>
      </w:tr>
      <w:tr>
        <w:tc>
          <w:tcPr>
            <w:tcW w:type="dxa" w:w="1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5D6D7E"/>
                <w:sz w:val="22"/>
                <w:szCs w:val="22"/>
              </w:rPr>
              <w:t xml:space="preserve">IGNORE</w:t>
            </w:r>
          </w:p>
        </w:tc>
        <w:tc>
          <w:tcPr>
            <w:tcW w:type="dxa" w:w="756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color w:val="2C3E50"/>
                <w:sz w:val="20"/>
                <w:szCs w:val="20"/>
              </w:rPr>
              <w:t xml:space="preserve">Low relevance for your vertical. Skip it and focus resources elsewhere.</w:t>
            </w:r>
          </w:p>
        </w:tc>
      </w:tr>
    </w:tbl>
    <w:p>
      <w:pPr>
        <w:spacing w:after="200"/>
      </w:pPr>
    </w:p>
    <w:p>
      <w:pPr>
        <w:spacing w:after="160" w:before="0"/>
      </w:pPr>
      <w:r>
        <w:rPr>
          <w:rFonts w:ascii="Arial" w:cs="Arial" w:eastAsia="Arial" w:hAnsi="Arial"/>
          <w:color w:val="2C3E50"/>
          <w:sz w:val="22"/>
          <w:szCs w:val="22"/>
        </w:rPr>
        <w:t xml:space="preserve">Each module also includes a detailed rationale explaining why we recommend that stance for each vertical, grounded in real-world examples from companies like Zerodha, CRED, Groww, Meesho, Nykaa, Spotify, Notion, HubSpot, and others.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Pr>
          <w:p/>
        </w:tc>
        <w:tc>
          <w:tcPr>
            <w:tcW w:type="dxa" w:w="9280"/>
            <w:tcBorders>
              <w:top w:val="none" w:color="FFFFFF" w:sz="0"/>
              <w:left w:val="none" w:color="FFFFFF" w:sz="0"/>
              <w:bottom w:val="none" w:color="FFFFFF" w:sz="0"/>
              <w:right w:val="none" w:color="FFFFFF" w:sz="0"/>
            </w:tcBorders>
            <w:shd w:fill="E8F4F8" w:val="clear"/>
            <w:tcMar>
              <w:top w:type="dxa" w:w="100"/>
              <w:left w:type="dxa" w:w="160"/>
              <w:bottom w:type="dxa" w:w="100"/>
              <w:right w:type="dxa" w:w="160"/>
            </w:tcMar>
          </w:tcPr>
          <w:p>
            <w:pPr>
              <w:spacing w:after="80"/>
            </w:pPr>
            <w:r>
              <w:rPr>
                <w:rFonts w:ascii="Arial" w:cs="Arial" w:eastAsia="Arial" w:hAnsi="Arial"/>
                <w:b/>
                <w:bCs/>
                <w:color w:val="2E75B6"/>
                <w:sz w:val="22"/>
                <w:szCs w:val="22"/>
              </w:rPr>
              <w:t xml:space="preserve">Who is this for?</w:t>
            </w:r>
          </w:p>
          <w:p>
            <w:r>
              <w:rPr>
                <w:rFonts w:ascii="Arial" w:cs="Arial" w:eastAsia="Arial" w:hAnsi="Arial"/>
                <w:color w:val="2C3E50"/>
                <w:sz w:val="20"/>
                <w:szCs w:val="20"/>
              </w:rPr>
              <w:t xml:space="preserve">First-time or seasoned growth and marketing teams evaluating which growth levers to pull at each lifecycle stage. Product engineers deciding what to build. Founders deciding what to prioritise. The recommendations are opinionated but flexible — your context always wins.</w:t>
            </w:r>
          </w:p>
        </w:tc>
      </w:tr>
    </w:tbl>
    <w:p>
      <w:r>
        <w:br w:type="page"/>
      </w:r>
    </w:p>
    <w:p>
      <w:pPr>
        <w:pStyle w:val="Heading1"/>
      </w:pPr>
      <w:r>
        <w:t xml:space="preserve">The Growth Loop</w:t>
      </w:r>
    </w:p>
    <w:p>
      <w:pPr>
        <w:spacing w:after="80"/>
      </w:pPr>
    </w:p>
    <w:p>
      <w:pPr>
        <w:spacing w:after="160" w:before="0"/>
      </w:pPr>
      <w:r>
        <w:rPr>
          <w:rFonts w:ascii="Arial" w:cs="Arial" w:eastAsia="Arial" w:hAnsi="Arial"/>
          <w:color w:val="2C3E50"/>
          <w:sz w:val="22"/>
          <w:szCs w:val="22"/>
        </w:rPr>
        <w:t xml:space="preserve">Every growth team, across every vertical, executes some version of the same loop:</w:t>
      </w:r>
    </w:p>
    <w:p>
      <w:pPr>
        <w:spacing w:after="80"/>
      </w:pPr>
    </w:p>
    <w:p>
      <w:pPr>
        <w:spacing w:after="200"/>
        <w:jc w:val="center"/>
      </w:pPr>
      <w:r>
        <w:rPr>
          <w:rFonts w:ascii="Arial" w:cs="Arial" w:eastAsia="Arial" w:hAnsi="Arial"/>
          <w:b/>
          <w:bCs/>
          <w:color w:val="1B2A4A"/>
          <w:sz w:val="26"/>
          <w:szCs w:val="26"/>
        </w:rPr>
        <w:t xml:space="preserve">ACQUIRE  →  ACTIVATE  →  ENGAGE  →  MONETISE  →  ADVOCATE</w:t>
      </w:r>
    </w:p>
    <w:p>
      <w:pPr>
        <w:spacing w:after="200"/>
        <w:jc w:val="center"/>
      </w:pPr>
      <w:r>
        <w:rPr>
          <w:rFonts w:ascii="Arial" w:cs="Arial" w:eastAsia="Arial" w:hAnsi="Arial"/>
          <w:color w:val="2E75B6"/>
          <w:sz w:val="26"/>
          <w:szCs w:val="26"/>
        </w:rPr>
        <w:t xml:space="preserve">↑                                                                                                          ↓</w:t>
      </w:r>
    </w:p>
    <w:p>
      <w:pPr>
        <w:spacing w:after="200"/>
        <w:jc w:val="center"/>
      </w:pPr>
      <w:r>
        <w:rPr>
          <w:rFonts w:ascii="Arial" w:cs="Arial" w:eastAsia="Arial" w:hAnsi="Arial"/>
          <w:color w:val="0E918C"/>
          <w:sz w:val="20"/>
          <w:szCs w:val="20"/>
        </w:rPr>
        <w:t xml:space="preserve">← ────────── Advocacy drives new Acquisition ────────── ←</w:t>
      </w:r>
    </w:p>
    <w:p>
      <w:pPr>
        <w:spacing w:after="80"/>
      </w:pPr>
    </w:p>
    <w:p>
      <w:pPr>
        <w:spacing w:after="160" w:before="0"/>
      </w:pPr>
      <w:r>
        <w:rPr>
          <w:rFonts w:ascii="Arial" w:cs="Arial" w:eastAsia="Arial" w:hAnsi="Arial"/>
          <w:color w:val="2C3E50"/>
          <w:sz w:val="22"/>
          <w:szCs w:val="22"/>
        </w:rPr>
        <w:t xml:space="preserve">When these tools are siloed, each one operates at its local maximum. Integrated on a single platform with a shared user identity, event stream, and campaign engine, they create feedback loops. The output of one module becomes the input signal for another. The platform compounds.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F4845F" w:val="clear"/>
          </w:tcPr>
          <w:p/>
        </w:tc>
        <w:tc>
          <w:tcPr>
            <w:tcW w:type="dxa" w:w="9280"/>
            <w:tcBorders>
              <w:top w:val="none" w:color="FFFFFF" w:sz="0"/>
              <w:left w:val="none" w:color="FFFFFF" w:sz="0"/>
              <w:bottom w:val="none" w:color="FFFFFF" w:sz="0"/>
              <w:right w:val="none" w:color="FFFFFF" w:sz="0"/>
            </w:tcBorders>
            <w:shd w:fill="FFF8F0" w:val="clear"/>
            <w:tcMar>
              <w:top w:type="dxa" w:w="100"/>
              <w:left w:type="dxa" w:w="160"/>
              <w:bottom w:type="dxa" w:w="100"/>
              <w:right w:type="dxa" w:w="160"/>
            </w:tcMar>
          </w:tcPr>
          <w:p>
            <w:pPr>
              <w:spacing w:after="80"/>
            </w:pPr>
            <w:r>
              <w:rPr>
                <w:rFonts w:ascii="Arial" w:cs="Arial" w:eastAsia="Arial" w:hAnsi="Arial"/>
                <w:b/>
                <w:bCs/>
                <w:color w:val="F4845F"/>
                <w:sz w:val="22"/>
                <w:szCs w:val="22"/>
              </w:rPr>
              <w:t xml:space="preserve">The Interoperability Advantage</w:t>
            </w:r>
          </w:p>
          <w:p>
            <w:r>
              <w:rPr>
                <w:rFonts w:ascii="Arial" w:cs="Arial" w:eastAsia="Arial" w:hAnsi="Arial"/>
                <w:color w:val="2C3E50"/>
                <w:sz w:val="20"/>
                <w:szCs w:val="20"/>
              </w:rPr>
              <w:t xml:space="preserve">A gated report download (Acquire) feeds a contact into the waitlist (Acquire), who receives a personalised welcome sequence (Activate), completes onboarding (Activate), hits a usage milestone (Engage), receives a Wrapped-style card (Engage), shares it on social media (Advocate), which drives 3 new signups (Acquire). This closed loop is impossible with disconnected tools. It is trivial with a unified platform.</w:t>
            </w:r>
          </w:p>
        </w:tc>
      </w:tr>
    </w:tbl>
    <w:p>
      <w:r>
        <w:br w:type="page"/>
      </w:r>
    </w:p>
    <w:p>
      <w:pPr>
        <w:pStyle w:val="Heading1"/>
      </w:pPr>
      <w:r>
        <w:t xml:space="preserve">Why Each Vertical Needs Different Levers</w:t>
      </w:r>
    </w:p>
    <w:p>
      <w:pPr>
        <w:spacing w:after="80"/>
      </w:pPr>
    </w:p>
    <w:p>
      <w:pPr>
        <w:spacing w:after="120"/>
      </w:pPr>
      <w:r>
        <w:rPr>
          <w:rFonts w:ascii="Arial" w:cs="Arial" w:eastAsia="Arial" w:hAnsi="Arial"/>
          <w:b/>
          <w:bCs/>
          <w:color w:val="2E75B6"/>
          <w:sz w:val="26"/>
          <w:szCs w:val="26"/>
        </w:rPr>
        <w:t xml:space="preserve">SaaS (B2B &amp; B2C)</w:t>
      </w:r>
    </w:p>
    <w:p>
      <w:pPr>
        <w:spacing w:after="100"/>
        <w:ind w:left="360"/>
      </w:pPr>
      <w:r>
        <w:rPr>
          <w:rFonts w:ascii="Arial" w:cs="Arial" w:eastAsia="Arial" w:hAnsi="Arial"/>
          <w:color w:val="2E75B6"/>
          <w:sz w:val="20"/>
          <w:szCs w:val="20"/>
        </w:rPr>
        <w:t xml:space="preserve">• </w:t>
      </w:r>
      <w:r>
        <w:rPr>
          <w:rFonts w:ascii="Arial" w:cs="Arial" w:eastAsia="Arial" w:hAnsi="Arial"/>
          <w:color w:val="2C3E50"/>
          <w:sz w:val="20"/>
          <w:szCs w:val="20"/>
        </w:rPr>
        <w:t xml:space="preserve">Longer sales cycles, especially B2B. Activation is the hardest stage — if users don’t reach the “aha moment” in the first session, they churn.</w:t>
      </w:r>
    </w:p>
    <w:p>
      <w:pPr>
        <w:spacing w:after="100"/>
        <w:ind w:left="360"/>
      </w:pPr>
      <w:r>
        <w:rPr>
          <w:rFonts w:ascii="Arial" w:cs="Arial" w:eastAsia="Arial" w:hAnsi="Arial"/>
          <w:color w:val="2E75B6"/>
          <w:sz w:val="20"/>
          <w:szCs w:val="20"/>
        </w:rPr>
        <w:t xml:space="preserve">• </w:t>
      </w:r>
      <w:r>
        <w:rPr>
          <w:rFonts w:ascii="Arial" w:cs="Arial" w:eastAsia="Arial" w:hAnsi="Arial"/>
          <w:color w:val="2C3E50"/>
          <w:sz w:val="20"/>
          <w:szCs w:val="20"/>
        </w:rPr>
        <w:t xml:space="preserve">Product-led growth (PLG) dominates: free trials, freemium tiers, and in-product upgrade nudges are the primary revenue drivers.</w:t>
      </w:r>
    </w:p>
    <w:p>
      <w:pPr>
        <w:spacing w:after="100"/>
        <w:ind w:left="360"/>
      </w:pPr>
      <w:r>
        <w:rPr>
          <w:rFonts w:ascii="Arial" w:cs="Arial" w:eastAsia="Arial" w:hAnsi="Arial"/>
          <w:color w:val="2E75B6"/>
          <w:sz w:val="20"/>
          <w:szCs w:val="20"/>
        </w:rPr>
        <w:t xml:space="preserve">• </w:t>
      </w:r>
      <w:r>
        <w:rPr>
          <w:rFonts w:ascii="Arial" w:cs="Arial" w:eastAsia="Arial" w:hAnsi="Arial"/>
          <w:color w:val="2C3E50"/>
          <w:sz w:val="20"/>
          <w:szCs w:val="20"/>
        </w:rPr>
        <w:t xml:space="preserve">Content and community are acquisition moats. HubSpot built a $30B company on gated content and educational resources.</w:t>
      </w:r>
    </w:p>
    <w:p>
      <w:pPr>
        <w:spacing w:after="100"/>
        <w:ind w:left="360"/>
      </w:pPr>
      <w:r>
        <w:rPr>
          <w:rFonts w:ascii="Arial" w:cs="Arial" w:eastAsia="Arial" w:hAnsi="Arial"/>
          <w:color w:val="2E75B6"/>
          <w:sz w:val="20"/>
          <w:szCs w:val="20"/>
        </w:rPr>
        <w:t xml:space="preserve">• </w:t>
      </w:r>
      <w:r>
        <w:rPr>
          <w:rFonts w:ascii="Arial" w:cs="Arial" w:eastAsia="Arial" w:hAnsi="Arial"/>
          <w:color w:val="2C3E50"/>
          <w:sz w:val="20"/>
          <w:szCs w:val="20"/>
        </w:rPr>
        <w:t xml:space="preserve">Referrals work but differently — B2B referrals are trust-based, not incentive-driven.</w:t>
      </w:r>
    </w:p>
    <w:p>
      <w:pPr>
        <w:spacing w:after="100"/>
        <w:ind w:left="360"/>
      </w:pPr>
      <w:r>
        <w:rPr>
          <w:rFonts w:ascii="Arial" w:cs="Arial" w:eastAsia="Arial" w:hAnsi="Arial"/>
          <w:color w:val="2E75B6"/>
          <w:sz w:val="20"/>
          <w:szCs w:val="20"/>
        </w:rPr>
        <w:t xml:space="preserve">• </w:t>
      </w:r>
      <w:r>
        <w:rPr>
          <w:rFonts w:ascii="Arial" w:cs="Arial" w:eastAsia="Arial" w:hAnsi="Arial"/>
          <w:color w:val="2C3E50"/>
          <w:sz w:val="20"/>
          <w:szCs w:val="20"/>
        </w:rPr>
        <w:t xml:space="preserve">Key metric: Time-to-value. Every module should reduce it.</w:t>
      </w:r>
    </w:p>
    <w:p>
      <w:pPr>
        <w:spacing w:after="120"/>
      </w:pPr>
    </w:p>
    <w:p>
      <w:pPr>
        <w:spacing w:after="120"/>
      </w:pPr>
      <w:r>
        <w:rPr>
          <w:rFonts w:ascii="Arial" w:cs="Arial" w:eastAsia="Arial" w:hAnsi="Arial"/>
          <w:b/>
          <w:bCs/>
          <w:color w:val="0E918C"/>
          <w:sz w:val="26"/>
          <w:szCs w:val="26"/>
        </w:rPr>
        <w:t xml:space="preserve">Fintech</w:t>
      </w:r>
    </w:p>
    <w:p>
      <w:pPr>
        <w:spacing w:after="100"/>
        <w:ind w:left="360"/>
      </w:pPr>
      <w:r>
        <w:rPr>
          <w:rFonts w:ascii="Arial" w:cs="Arial" w:eastAsia="Arial" w:hAnsi="Arial"/>
          <w:color w:val="0E918C"/>
          <w:sz w:val="20"/>
          <w:szCs w:val="20"/>
        </w:rPr>
        <w:t xml:space="preserve">• </w:t>
      </w:r>
      <w:r>
        <w:rPr>
          <w:rFonts w:ascii="Arial" w:cs="Arial" w:eastAsia="Arial" w:hAnsi="Arial"/>
          <w:color w:val="2C3E50"/>
          <w:sz w:val="20"/>
          <w:szCs w:val="20"/>
        </w:rPr>
        <w:t xml:space="preserve">Trust is the product. Regulatory compliance, transparent communication, and data security are non-negotiable.</w:t>
      </w:r>
    </w:p>
    <w:p>
      <w:pPr>
        <w:spacing w:after="100"/>
        <w:ind w:left="360"/>
      </w:pPr>
      <w:r>
        <w:rPr>
          <w:rFonts w:ascii="Arial" w:cs="Arial" w:eastAsia="Arial" w:hAnsi="Arial"/>
          <w:color w:val="0E918C"/>
          <w:sz w:val="20"/>
          <w:szCs w:val="20"/>
        </w:rPr>
        <w:t xml:space="preserve">• </w:t>
      </w:r>
      <w:r>
        <w:rPr>
          <w:rFonts w:ascii="Arial" w:cs="Arial" w:eastAsia="Arial" w:hAnsi="Arial"/>
          <w:color w:val="2C3E50"/>
          <w:sz w:val="20"/>
          <w:szCs w:val="20"/>
        </w:rPr>
        <w:t xml:space="preserve">India-specific context: UPI, Aadhaar e-KYC, and WhatsApp-first communication make India fintechs uniquely positioned for mobile-native growth hacks.</w:t>
      </w:r>
    </w:p>
    <w:p>
      <w:pPr>
        <w:spacing w:after="100"/>
        <w:ind w:left="360"/>
      </w:pPr>
      <w:r>
        <w:rPr>
          <w:rFonts w:ascii="Arial" w:cs="Arial" w:eastAsia="Arial" w:hAnsi="Arial"/>
          <w:color w:val="0E918C"/>
          <w:sz w:val="20"/>
          <w:szCs w:val="20"/>
        </w:rPr>
        <w:t xml:space="preserve">• </w:t>
      </w:r>
      <w:r>
        <w:rPr>
          <w:rFonts w:ascii="Arial" w:cs="Arial" w:eastAsia="Arial" w:hAnsi="Arial"/>
          <w:color w:val="2C3E50"/>
          <w:sz w:val="20"/>
          <w:szCs w:val="20"/>
        </w:rPr>
        <w:t xml:space="preserve">Referrals are king. Groww, CRED, Zerodha, PhonePe, and Paytm all run significant referral programs because financial products spread through trusted networks.</w:t>
      </w:r>
    </w:p>
    <w:p>
      <w:pPr>
        <w:spacing w:after="100"/>
        <w:ind w:left="360"/>
      </w:pPr>
      <w:r>
        <w:rPr>
          <w:rFonts w:ascii="Arial" w:cs="Arial" w:eastAsia="Arial" w:hAnsi="Arial"/>
          <w:color w:val="0E918C"/>
          <w:sz w:val="20"/>
          <w:szCs w:val="20"/>
        </w:rPr>
        <w:t xml:space="preserve">• </w:t>
      </w:r>
      <w:r>
        <w:rPr>
          <w:rFonts w:ascii="Arial" w:cs="Arial" w:eastAsia="Arial" w:hAnsi="Arial"/>
          <w:color w:val="2C3E50"/>
          <w:sz w:val="20"/>
          <w:szCs w:val="20"/>
        </w:rPr>
        <w:t xml:space="preserve">Zerodha grew to 1.6 crore registered users almost entirely through word-of-mouth and community (TradingQnA, Varsity) — zero ad spend for years.</w:t>
      </w:r>
    </w:p>
    <w:p>
      <w:pPr>
        <w:spacing w:after="100"/>
        <w:ind w:left="360"/>
      </w:pPr>
      <w:r>
        <w:rPr>
          <w:rFonts w:ascii="Arial" w:cs="Arial" w:eastAsia="Arial" w:hAnsi="Arial"/>
          <w:color w:val="0E918C"/>
          <w:sz w:val="20"/>
          <w:szCs w:val="20"/>
        </w:rPr>
        <w:t xml:space="preserve">• </w:t>
      </w:r>
      <w:r>
        <w:rPr>
          <w:rFonts w:ascii="Arial" w:cs="Arial" w:eastAsia="Arial" w:hAnsi="Arial"/>
          <w:color w:val="2C3E50"/>
          <w:sz w:val="20"/>
          <w:szCs w:val="20"/>
        </w:rPr>
        <w:t xml:space="preserve">Key metric: KYC completion rate. The biggest drop-off in Indian fintech is between signup and KYC completion.</w:t>
      </w:r>
    </w:p>
    <w:p>
      <w:pPr>
        <w:spacing w:after="120"/>
      </w:pPr>
    </w:p>
    <w:p>
      <w:pPr>
        <w:spacing w:after="120"/>
      </w:pPr>
      <w:r>
        <w:rPr>
          <w:rFonts w:ascii="Arial" w:cs="Arial" w:eastAsia="Arial" w:hAnsi="Arial"/>
          <w:b/>
          <w:bCs/>
          <w:color w:val="F4845F"/>
          <w:sz w:val="26"/>
          <w:szCs w:val="26"/>
        </w:rPr>
        <w:t xml:space="preserve">E-Commerce / D2C</w:t>
      </w:r>
    </w:p>
    <w:p>
      <w:pPr>
        <w:spacing w:after="100"/>
        <w:ind w:left="360"/>
      </w:pPr>
      <w:r>
        <w:rPr>
          <w:rFonts w:ascii="Arial" w:cs="Arial" w:eastAsia="Arial" w:hAnsi="Arial"/>
          <w:color w:val="F4845F"/>
          <w:sz w:val="20"/>
          <w:szCs w:val="20"/>
        </w:rPr>
        <w:t xml:space="preserve">• </w:t>
      </w:r>
      <w:r>
        <w:rPr>
          <w:rFonts w:ascii="Arial" w:cs="Arial" w:eastAsia="Arial" w:hAnsi="Arial"/>
          <w:color w:val="2C3E50"/>
          <w:sz w:val="20"/>
          <w:szCs w:val="20"/>
        </w:rPr>
        <w:t xml:space="preserve">Transaction frequency defines everything. Unlike SaaS (monthly subscription) or fintech (periodic trades), e-commerce depends on repeat purchases.</w:t>
      </w:r>
    </w:p>
    <w:p>
      <w:pPr>
        <w:spacing w:after="100"/>
        <w:ind w:left="360"/>
      </w:pPr>
      <w:r>
        <w:rPr>
          <w:rFonts w:ascii="Arial" w:cs="Arial" w:eastAsia="Arial" w:hAnsi="Arial"/>
          <w:color w:val="F4845F"/>
          <w:sz w:val="20"/>
          <w:szCs w:val="20"/>
        </w:rPr>
        <w:t xml:space="preserve">• </w:t>
      </w:r>
      <w:r>
        <w:rPr>
          <w:rFonts w:ascii="Arial" w:cs="Arial" w:eastAsia="Arial" w:hAnsi="Arial"/>
          <w:color w:val="2C3E50"/>
          <w:sz w:val="20"/>
          <w:szCs w:val="20"/>
        </w:rPr>
        <w:t xml:space="preserve">Loyalty programs, gamification, and personalised recommendations drive retention. Nykaa’s Privé loyalty program, Myntra Insider, and AJIO SuperCoin all follow tiered reward models.</w:t>
      </w:r>
    </w:p>
    <w:p>
      <w:pPr>
        <w:spacing w:after="100"/>
        <w:ind w:left="360"/>
      </w:pPr>
      <w:r>
        <w:rPr>
          <w:rFonts w:ascii="Arial" w:cs="Arial" w:eastAsia="Arial" w:hAnsi="Arial"/>
          <w:color w:val="F4845F"/>
          <w:sz w:val="20"/>
          <w:szCs w:val="20"/>
        </w:rPr>
        <w:t xml:space="preserve">• </w:t>
      </w:r>
      <w:r>
        <w:rPr>
          <w:rFonts w:ascii="Arial" w:cs="Arial" w:eastAsia="Arial" w:hAnsi="Arial"/>
          <w:color w:val="2C3E50"/>
          <w:sz w:val="20"/>
          <w:szCs w:val="20"/>
        </w:rPr>
        <w:t xml:space="preserve">Social commerce is a massive lever in India. Meesho’s zero-commission reseller model built 145 million annual transacting users through WhatsApp-based social selling.</w:t>
      </w:r>
    </w:p>
    <w:p>
      <w:pPr>
        <w:spacing w:after="100"/>
        <w:ind w:left="360"/>
      </w:pPr>
      <w:r>
        <w:rPr>
          <w:rFonts w:ascii="Arial" w:cs="Arial" w:eastAsia="Arial" w:hAnsi="Arial"/>
          <w:color w:val="F4845F"/>
          <w:sz w:val="20"/>
          <w:szCs w:val="20"/>
        </w:rPr>
        <w:t xml:space="preserve">• </w:t>
      </w:r>
      <w:r>
        <w:rPr>
          <w:rFonts w:ascii="Arial" w:cs="Arial" w:eastAsia="Arial" w:hAnsi="Arial"/>
          <w:color w:val="2C3E50"/>
          <w:sz w:val="20"/>
          <w:szCs w:val="20"/>
        </w:rPr>
        <w:t xml:space="preserve">Creator-led commerce is the next frontier. Myntra’s UGC program has 3.5M shopper-creators. Nykaa works with 10,000+ creators driving 400M impressions/month.</w:t>
      </w:r>
    </w:p>
    <w:p>
      <w:pPr>
        <w:spacing w:after="100"/>
        <w:ind w:left="360"/>
      </w:pPr>
      <w:r>
        <w:rPr>
          <w:rFonts w:ascii="Arial" w:cs="Arial" w:eastAsia="Arial" w:hAnsi="Arial"/>
          <w:color w:val="F4845F"/>
          <w:sz w:val="20"/>
          <w:szCs w:val="20"/>
        </w:rPr>
        <w:t xml:space="preserve">• </w:t>
      </w:r>
      <w:r>
        <w:rPr>
          <w:rFonts w:ascii="Arial" w:cs="Arial" w:eastAsia="Arial" w:hAnsi="Arial"/>
          <w:color w:val="2C3E50"/>
          <w:sz w:val="20"/>
          <w:szCs w:val="20"/>
        </w:rPr>
        <w:t xml:space="preserve">Key metric: Repeat purchase rate and customer lifetime value (CLV).</w:t>
      </w:r>
    </w:p>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spacing w:after="40"/>
            </w:pPr>
            <w:r>
              <w:rPr>
                <w:rFonts w:ascii="Arial" w:cs="Arial" w:eastAsia="Arial" w:hAnsi="Arial"/>
                <w:color w:val="C8D6E5"/>
                <w:spacing w:val="200"/>
                <w:sz w:val="18"/>
                <w:szCs w:val="18"/>
              </w:rPr>
              <w:t xml:space="preserve">STAGE 1</w:t>
            </w:r>
          </w:p>
          <w:p>
            <w:r>
              <w:rPr>
                <w:rFonts w:ascii="Arial" w:cs="Arial" w:eastAsia="Arial" w:hAnsi="Arial"/>
                <w:b/>
                <w:bCs/>
                <w:color w:val="FFFFFF"/>
                <w:sz w:val="40"/>
                <w:szCs w:val="40"/>
              </w:rPr>
              <w:t xml:space="preserve">ACQUIRE</w:t>
            </w:r>
          </w:p>
          <w:p>
            <w:r>
              <w:rPr>
                <w:rFonts w:ascii="Arial" w:cs="Arial" w:eastAsia="Arial" w:hAnsi="Arial"/>
                <w:color w:val="D5E8D4"/>
                <w:sz w:val="24"/>
                <w:szCs w:val="24"/>
              </w:rPr>
              <w:t xml:space="preserve">Get People to Your Door</w:t>
            </w:r>
          </w:p>
        </w:tc>
      </w:tr>
    </w:tbl>
    <w:p>
      <w:pPr>
        <w:spacing w:after="200"/>
      </w:pPr>
    </w:p>
    <w:p>
      <w:pPr>
        <w:spacing w:after="120"/>
      </w:pPr>
      <w:r>
        <w:rPr>
          <w:rFonts w:ascii="Arial" w:cs="Arial" w:eastAsia="Arial" w:hAnsi="Arial"/>
          <w:b/>
          <w:bCs/>
          <w:color w:val="2C3E50"/>
          <w:sz w:val="24"/>
          <w:szCs w:val="24"/>
        </w:rPr>
        <w:t xml:space="preserve">Quick-Reference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60"/>
        <w:gridCol w:w="1660"/>
        <w:gridCol w:w="1680"/>
      </w:tblGrid>
      <w:tr>
        <w:tc>
          <w:tcPr>
            <w:tcW w:type="dxa" w:w="4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Module</w:t>
            </w:r>
          </w:p>
        </w:tc>
        <w:tc>
          <w:tcPr>
            <w:tcW w:type="dxa" w:w="1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SaaS</w:t>
            </w:r>
          </w:p>
        </w:tc>
        <w:tc>
          <w:tcPr>
            <w:tcW w:type="dxa" w:w="1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Fintech</w:t>
            </w:r>
          </w:p>
        </w:tc>
        <w:tc>
          <w:tcPr>
            <w:tcW w:type="dxa" w:w="1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E-Com</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Waitlist with Viral Position</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Referral-Boosted Signup</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Missed-Call / WhatsApp Trigger</w:t>
            </w:r>
          </w:p>
        </w:tc>
        <w:tc>
          <w:tcPr>
            <w:tcW w:type="dxa" w:w="166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5D6D7E"/>
                <w:sz w:val="18"/>
                <w:szCs w:val="18"/>
              </w:rPr>
              <w:t xml:space="preserve">IGNORE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Gated Content / Lead Magnets</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Smart Landing Pages + UTM Tracking</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QR Code Engine</w:t>
            </w:r>
          </w:p>
        </w:tc>
        <w:tc>
          <w:tcPr>
            <w:tcW w:type="dxa" w:w="16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Contest / Giveaway Engine</w:t>
            </w:r>
          </w:p>
        </w:tc>
        <w:tc>
          <w:tcPr>
            <w:tcW w:type="dxa" w:w="16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c>
          <w:tcPr>
            <w:tcW w:type="dxa" w:w="16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Embed Widgets (Popups, Banners, Countdown)</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Link-in-Bio Page</w:t>
            </w:r>
          </w:p>
        </w:tc>
        <w:tc>
          <w:tcPr>
            <w:tcW w:type="dxa" w:w="16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c>
          <w:tcPr>
            <w:tcW w:type="dxa" w:w="16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bl>
    <w:p>
      <w:pPr>
        <w:spacing w:after="300"/>
      </w:pPr>
    </w:p>
    <w:p>
      <w:pPr>
        <w:spacing w:after="120"/>
      </w:pPr>
      <w:r>
        <w:rPr>
          <w:rFonts w:ascii="Arial" w:cs="Arial" w:eastAsia="Arial" w:hAnsi="Arial"/>
          <w:b/>
          <w:bCs/>
          <w:color w:val="2C3E50"/>
          <w:sz w:val="24"/>
          <w:szCs w:val="24"/>
        </w:rPr>
        <w:t xml:space="preserve">Detailed Rationale</w:t>
      </w:r>
    </w:p>
    <w:p>
      <w:pPr>
        <w:pBdr>
          <w:bottom w:val="single" w:color="E0E0E0" w:sz="1" w:space="1"/>
        </w:pBdr>
        <w:spacing w:after="60" w:before="160"/>
      </w:pPr>
      <w:r>
        <w:rPr>
          <w:rFonts w:ascii="Arial" w:cs="Arial" w:eastAsia="Arial" w:hAnsi="Arial"/>
          <w:b/>
          <w:bCs/>
          <w:color w:val="2E75B6"/>
          <w:sz w:val="22"/>
          <w:szCs w:val="22"/>
        </w:rPr>
        <w:t xml:space="preserve">Waitlist with Viral Position</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D4A843"/>
          <w:sz w:val="20"/>
          <w:szCs w:val="20"/>
        </w:rPr>
        <w:t xml:space="preserve">  |  E-Commerce: </w:t>
      </w:r>
      <w:r>
        <w:rPr>
          <w:rFonts w:ascii="Arial" w:cs="Arial" w:eastAsia="Arial" w:hAnsi="Arial"/>
          <w:b/>
          <w:bCs/>
          <w:color w:val="D4A843"/>
          <w:sz w:val="20"/>
          <w:szCs w:val="20"/>
        </w:rPr>
        <w:t xml:space="preserve">CONSIDER</w:t>
      </w:r>
    </w:p>
    <w:p>
      <w:pPr>
        <w:spacing w:after="160" w:before="0"/>
      </w:pPr>
      <w:r>
        <w:rPr>
          <w:rFonts w:ascii="Arial" w:cs="Arial" w:eastAsia="Arial" w:hAnsi="Arial"/>
          <w:color w:val="2C3E50"/>
          <w:sz w:val="20"/>
          <w:szCs w:val="20"/>
        </w:rPr>
        <w:t xml:space="preserve">Gated access with “Share to move up” mechanics. SaaS staple (Notion, Linear, ChatGPT all used this). Fintech: works for feature gating (CRED’s invite-only launch). E-commerce: less natural unless launching a limited drop.</w:t>
      </w:r>
    </w:p>
    <w:p>
      <w:pPr>
        <w:pBdr>
          <w:bottom w:val="single" w:color="E0E0E0" w:sz="1" w:space="1"/>
        </w:pBdr>
        <w:spacing w:after="60" w:before="160"/>
      </w:pPr>
      <w:r>
        <w:rPr>
          <w:rFonts w:ascii="Arial" w:cs="Arial" w:eastAsia="Arial" w:hAnsi="Arial"/>
          <w:b/>
          <w:bCs/>
          <w:color w:val="2E75B6"/>
          <w:sz w:val="22"/>
          <w:szCs w:val="22"/>
        </w:rPr>
        <w:t xml:space="preserve">Referral-Boosted Signup</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Prompt referral sharing during registration itself. Dropbox’s “invite 3 friends for extra storage” grew signups 3,900% in 15 months. Groww offers ₹25-10,000 per referral. Meesho’s reseller model is inherently referral-driven.</w:t>
      </w:r>
    </w:p>
    <w:p>
      <w:pPr>
        <w:pBdr>
          <w:bottom w:val="single" w:color="E0E0E0" w:sz="1" w:space="1"/>
        </w:pBdr>
        <w:spacing w:after="60" w:before="160"/>
      </w:pPr>
      <w:r>
        <w:rPr>
          <w:rFonts w:ascii="Arial" w:cs="Arial" w:eastAsia="Arial" w:hAnsi="Arial"/>
          <w:b/>
          <w:bCs/>
          <w:color w:val="2E75B6"/>
          <w:sz w:val="22"/>
          <w:szCs w:val="22"/>
        </w:rPr>
        <w:t xml:space="preserve">Missed-Call / WhatsApp Trigger</w:t>
      </w:r>
    </w:p>
    <w:p>
      <w:pPr>
        <w:spacing w:after="40"/>
      </w:pPr>
      <w:r>
        <w:rPr>
          <w:rFonts w:ascii="Arial" w:cs="Arial" w:eastAsia="Arial" w:hAnsi="Arial"/>
          <w:b/>
          <w:bCs/>
          <w:color w:val="5D6D7E"/>
          <w:sz w:val="20"/>
          <w:szCs w:val="20"/>
        </w:rPr>
        <w:t xml:space="preserve">SaaS: </w:t>
      </w:r>
      <w:r>
        <w:rPr>
          <w:rFonts w:ascii="Arial" w:cs="Arial" w:eastAsia="Arial" w:hAnsi="Arial"/>
          <w:b/>
          <w:bCs/>
          <w:color w:val="5D6D7E"/>
          <w:sz w:val="20"/>
          <w:szCs w:val="20"/>
        </w:rPr>
        <w:t xml:space="preserve">IGNORE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India-specific. Missed call triggers WhatsApp message with download link or OTP. Powerful for Tier 2/3 audiences where WhatsApp &gt; email. Fintechs and e-commerce players targeting Bharat should enable this; most Western SaaS can skip.</w:t>
      </w:r>
    </w:p>
    <w:p>
      <w:pPr>
        <w:pBdr>
          <w:bottom w:val="single" w:color="E0E0E0" w:sz="1" w:space="1"/>
        </w:pBdr>
        <w:spacing w:after="60" w:before="160"/>
      </w:pPr>
      <w:r>
        <w:rPr>
          <w:rFonts w:ascii="Arial" w:cs="Arial" w:eastAsia="Arial" w:hAnsi="Arial"/>
          <w:b/>
          <w:bCs/>
          <w:color w:val="2E75B6"/>
          <w:sz w:val="22"/>
          <w:szCs w:val="22"/>
        </w:rPr>
        <w:t xml:space="preserve">Gated Content / Lead Magnets</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D4A843"/>
          <w:sz w:val="20"/>
          <w:szCs w:val="20"/>
        </w:rPr>
        <w:t xml:space="preserve">  |  E-Commerce: </w:t>
      </w:r>
      <w:r>
        <w:rPr>
          <w:rFonts w:ascii="Arial" w:cs="Arial" w:eastAsia="Arial" w:hAnsi="Arial"/>
          <w:b/>
          <w:bCs/>
          <w:color w:val="D4A843"/>
          <w:sz w:val="20"/>
          <w:szCs w:val="20"/>
        </w:rPr>
        <w:t xml:space="preserve">CONSIDER</w:t>
      </w:r>
    </w:p>
    <w:p>
      <w:pPr>
        <w:spacing w:after="160" w:before="0"/>
      </w:pPr>
      <w:r>
        <w:rPr>
          <w:rFonts w:ascii="Arial" w:cs="Arial" w:eastAsia="Arial" w:hAnsi="Arial"/>
          <w:color w:val="2C3E50"/>
          <w:sz w:val="20"/>
          <w:szCs w:val="20"/>
        </w:rPr>
        <w:t xml:space="preserve">Research reports, whitepapers, or guides behind an email gate. B2B SaaS standard: HubSpot built its empire on gated content. Fintechs can gate market research or tax guides. E-commerce: less relevant unless content-led (Nykaa’s beauty guides).</w:t>
      </w:r>
    </w:p>
    <w:p>
      <w:pPr>
        <w:pBdr>
          <w:bottom w:val="single" w:color="E0E0E0" w:sz="1" w:space="1"/>
        </w:pBdr>
        <w:spacing w:after="60" w:before="160"/>
      </w:pPr>
      <w:r>
        <w:rPr>
          <w:rFonts w:ascii="Arial" w:cs="Arial" w:eastAsia="Arial" w:hAnsi="Arial"/>
          <w:b/>
          <w:bCs/>
          <w:color w:val="2E75B6"/>
          <w:sz w:val="22"/>
          <w:szCs w:val="22"/>
        </w:rPr>
        <w:t xml:space="preserve">Smart Landing Pages + UTM Tracking</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One micro-landing page per campaign, channel, influencer, or QR code. Every visit tracked to source. Without attribution, growth teams are flying blind. Universal — enable everywhere.</w:t>
      </w:r>
    </w:p>
    <w:p>
      <w:pPr>
        <w:pBdr>
          <w:bottom w:val="single" w:color="E0E0E0" w:sz="1" w:space="1"/>
        </w:pBdr>
        <w:spacing w:after="60" w:before="160"/>
      </w:pPr>
      <w:r>
        <w:rPr>
          <w:rFonts w:ascii="Arial" w:cs="Arial" w:eastAsia="Arial" w:hAnsi="Arial"/>
          <w:b/>
          <w:bCs/>
          <w:color w:val="2E75B6"/>
          <w:sz w:val="22"/>
          <w:szCs w:val="22"/>
        </w:rPr>
        <w:t xml:space="preserve">QR Code Engine</w:t>
      </w:r>
    </w:p>
    <w:p>
      <w:pPr>
        <w:spacing w:after="40"/>
      </w:pPr>
      <w:r>
        <w:rPr>
          <w:rFonts w:ascii="Arial" w:cs="Arial" w:eastAsia="Arial" w:hAnsi="Arial"/>
          <w:b/>
          <w:bCs/>
          <w:color w:val="D4A843"/>
          <w:sz w:val="20"/>
          <w:szCs w:val="20"/>
        </w:rPr>
        <w:t xml:space="preserve">SaaS: </w:t>
      </w:r>
      <w:r>
        <w:rPr>
          <w:rFonts w:ascii="Arial" w:cs="Arial" w:eastAsia="Arial" w:hAnsi="Arial"/>
          <w:b/>
          <w:bCs/>
          <w:color w:val="D4A843"/>
          <w:sz w:val="20"/>
          <w:szCs w:val="20"/>
        </w:rPr>
        <w:t xml:space="preserve">CONSIDER</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Trackable QR codes linking to any module. Offline-to-online bridge: on packaging, POS, receipts, event standees. Fintechs use QR for payments; extend to acquisition. E-commerce: on physical packaging for reorder/review flows.</w:t>
      </w:r>
    </w:p>
    <w:p>
      <w:pPr>
        <w:pBdr>
          <w:bottom w:val="single" w:color="E0E0E0" w:sz="1" w:space="1"/>
        </w:pBdr>
        <w:spacing w:after="60" w:before="160"/>
      </w:pPr>
      <w:r>
        <w:rPr>
          <w:rFonts w:ascii="Arial" w:cs="Arial" w:eastAsia="Arial" w:hAnsi="Arial"/>
          <w:b/>
          <w:bCs/>
          <w:color w:val="2E75B6"/>
          <w:sz w:val="22"/>
          <w:szCs w:val="22"/>
        </w:rPr>
        <w:t xml:space="preserve">Contest / Giveaway Engine</w:t>
      </w:r>
    </w:p>
    <w:p>
      <w:pPr>
        <w:spacing w:after="40"/>
      </w:pPr>
      <w:r>
        <w:rPr>
          <w:rFonts w:ascii="Arial" w:cs="Arial" w:eastAsia="Arial" w:hAnsi="Arial"/>
          <w:b/>
          <w:bCs/>
          <w:color w:val="D4A843"/>
          <w:sz w:val="20"/>
          <w:szCs w:val="20"/>
        </w:rPr>
        <w:t xml:space="preserve">SaaS: </w:t>
      </w:r>
      <w:r>
        <w:rPr>
          <w:rFonts w:ascii="Arial" w:cs="Arial" w:eastAsia="Arial" w:hAnsi="Arial"/>
          <w:b/>
          <w:bCs/>
          <w:color w:val="D4A843"/>
          <w:sz w:val="20"/>
          <w:szCs w:val="20"/>
        </w:rPr>
        <w:t xml:space="preserve">CONSIDER</w:t>
      </w:r>
      <w:r>
        <w:rPr>
          <w:rFonts w:ascii="Arial" w:cs="Arial" w:eastAsia="Arial" w:hAnsi="Arial"/>
          <w:b/>
          <w:bCs/>
          <w:color w:val="D4A843"/>
          <w:sz w:val="20"/>
          <w:szCs w:val="20"/>
        </w:rPr>
        <w:t xml:space="preserve">  |  Fintech: </w:t>
      </w:r>
      <w:r>
        <w:rPr>
          <w:rFonts w:ascii="Arial" w:cs="Arial" w:eastAsia="Arial" w:hAnsi="Arial"/>
          <w:b/>
          <w:bCs/>
          <w:color w:val="D4A843"/>
          <w:sz w:val="20"/>
          <w:szCs w:val="20"/>
        </w:rPr>
        <w:t xml:space="preserve">CONSIDER</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Multi-action contests: follow, share, refer, sign up for entries. Natural for D2C and e-commerce (product giveaways). SaaS/fintech: use sparingly to avoid low-quality signups.</w:t>
      </w:r>
    </w:p>
    <w:p>
      <w:pPr>
        <w:pBdr>
          <w:bottom w:val="single" w:color="E0E0E0" w:sz="1" w:space="1"/>
        </w:pBdr>
        <w:spacing w:after="60" w:before="160"/>
      </w:pPr>
      <w:r>
        <w:rPr>
          <w:rFonts w:ascii="Arial" w:cs="Arial" w:eastAsia="Arial" w:hAnsi="Arial"/>
          <w:b/>
          <w:bCs/>
          <w:color w:val="2E75B6"/>
          <w:sz w:val="22"/>
          <w:szCs w:val="22"/>
        </w:rPr>
        <w:t xml:space="preserve">Embed Widgets (Popups, Banners, Countdown)</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Drop-in widgets for tenant websites. Exit-intent popups, scroll-triggered banners, countdown timers for launches. Universal growth lever across all verticals.</w:t>
      </w:r>
    </w:p>
    <w:p>
      <w:pPr>
        <w:pBdr>
          <w:bottom w:val="single" w:color="E0E0E0" w:sz="1" w:space="1"/>
        </w:pBdr>
        <w:spacing w:after="60" w:before="160"/>
      </w:pPr>
      <w:r>
        <w:rPr>
          <w:rFonts w:ascii="Arial" w:cs="Arial" w:eastAsia="Arial" w:hAnsi="Arial"/>
          <w:b/>
          <w:bCs/>
          <w:color w:val="2E75B6"/>
          <w:sz w:val="22"/>
          <w:szCs w:val="22"/>
        </w:rPr>
        <w:t xml:space="preserve">Link-in-Bio Page</w:t>
      </w:r>
    </w:p>
    <w:p>
      <w:pPr>
        <w:spacing w:after="40"/>
      </w:pPr>
      <w:r>
        <w:rPr>
          <w:rFonts w:ascii="Arial" w:cs="Arial" w:eastAsia="Arial" w:hAnsi="Arial"/>
          <w:b/>
          <w:bCs/>
          <w:color w:val="D4A843"/>
          <w:sz w:val="20"/>
          <w:szCs w:val="20"/>
        </w:rPr>
        <w:t xml:space="preserve">SaaS: </w:t>
      </w:r>
      <w:r>
        <w:rPr>
          <w:rFonts w:ascii="Arial" w:cs="Arial" w:eastAsia="Arial" w:hAnsi="Arial"/>
          <w:b/>
          <w:bCs/>
          <w:color w:val="D4A843"/>
          <w:sz w:val="20"/>
          <w:szCs w:val="20"/>
        </w:rPr>
        <w:t xml:space="preserve">CONSIDER</w:t>
      </w:r>
      <w:r>
        <w:rPr>
          <w:rFonts w:ascii="Arial" w:cs="Arial" w:eastAsia="Arial" w:hAnsi="Arial"/>
          <w:b/>
          <w:bCs/>
          <w:color w:val="D4A843"/>
          <w:sz w:val="20"/>
          <w:szCs w:val="20"/>
        </w:rPr>
        <w:t xml:space="preserve">  |  Fintech: </w:t>
      </w:r>
      <w:r>
        <w:rPr>
          <w:rFonts w:ascii="Arial" w:cs="Arial" w:eastAsia="Arial" w:hAnsi="Arial"/>
          <w:b/>
          <w:bCs/>
          <w:color w:val="D4A843"/>
          <w:sz w:val="20"/>
          <w:szCs w:val="20"/>
        </w:rPr>
        <w:t xml:space="preserve">CONSIDER</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Branded link-in-bio for social profiles. Each link is a tracked module entry point. Most valuable for D2C/e-commerce brands with heavy social presence (Nykaa, Myntra creator programs).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918C" w:val="clear"/>
            <w:tcMar>
              <w:top w:type="dxa" w:w="200"/>
              <w:left w:type="dxa" w:w="300"/>
              <w:bottom w:type="dxa" w:w="200"/>
              <w:right w:type="dxa" w:w="300"/>
            </w:tcMar>
          </w:tcPr>
          <w:p>
            <w:pPr>
              <w:spacing w:after="40"/>
            </w:pPr>
            <w:r>
              <w:rPr>
                <w:rFonts w:ascii="Arial" w:cs="Arial" w:eastAsia="Arial" w:hAnsi="Arial"/>
                <w:color w:val="C8D6E5"/>
                <w:spacing w:val="200"/>
                <w:sz w:val="18"/>
                <w:szCs w:val="18"/>
              </w:rPr>
              <w:t xml:space="preserve">STAGE 2</w:t>
            </w:r>
          </w:p>
          <w:p>
            <w:r>
              <w:rPr>
                <w:rFonts w:ascii="Arial" w:cs="Arial" w:eastAsia="Arial" w:hAnsi="Arial"/>
                <w:b/>
                <w:bCs/>
                <w:color w:val="FFFFFF"/>
                <w:sz w:val="40"/>
                <w:szCs w:val="40"/>
              </w:rPr>
              <w:t xml:space="preserve">ACTIVATE</w:t>
            </w:r>
          </w:p>
          <w:p>
            <w:r>
              <w:rPr>
                <w:rFonts w:ascii="Arial" w:cs="Arial" w:eastAsia="Arial" w:hAnsi="Arial"/>
                <w:color w:val="D5E8D4"/>
                <w:sz w:val="24"/>
                <w:szCs w:val="24"/>
              </w:rPr>
              <w:t xml:space="preserve">Get Them to the Aha Moment</w:t>
            </w:r>
          </w:p>
        </w:tc>
      </w:tr>
    </w:tbl>
    <w:p>
      <w:pPr>
        <w:spacing w:after="200"/>
      </w:pPr>
    </w:p>
    <w:p>
      <w:pPr>
        <w:spacing w:after="120"/>
      </w:pPr>
      <w:r>
        <w:rPr>
          <w:rFonts w:ascii="Arial" w:cs="Arial" w:eastAsia="Arial" w:hAnsi="Arial"/>
          <w:b/>
          <w:bCs/>
          <w:color w:val="2C3E50"/>
          <w:sz w:val="24"/>
          <w:szCs w:val="24"/>
        </w:rPr>
        <w:t xml:space="preserve">Quick-Reference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60"/>
        <w:gridCol w:w="1660"/>
        <w:gridCol w:w="1680"/>
      </w:tblGrid>
      <w:tr>
        <w:tc>
          <w:tcPr>
            <w:tcW w:type="dxa" w:w="4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Module</w:t>
            </w:r>
          </w:p>
        </w:tc>
        <w:tc>
          <w:tcPr>
            <w:tcW w:type="dxa" w:w="1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SaaS</w:t>
            </w:r>
          </w:p>
        </w:tc>
        <w:tc>
          <w:tcPr>
            <w:tcW w:type="dxa" w:w="1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Fintech</w:t>
            </w:r>
          </w:p>
        </w:tc>
        <w:tc>
          <w:tcPr>
            <w:tcW w:type="dxa" w:w="1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E-Com</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Onboarding Checklists</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Personalised Welcome Sequences</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Contact Sync &amp; Discovery</w:t>
            </w:r>
          </w:p>
        </w:tc>
        <w:tc>
          <w:tcPr>
            <w:tcW w:type="dxa" w:w="16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Interactive Product Tours</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5D6D7E"/>
                <w:sz w:val="18"/>
                <w:szCs w:val="18"/>
              </w:rPr>
              <w:t xml:space="preserve">IGNORE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Magic Link / Passwordless Auth</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bl>
    <w:p>
      <w:pPr>
        <w:spacing w:after="300"/>
      </w:pPr>
    </w:p>
    <w:p>
      <w:pPr>
        <w:spacing w:after="120"/>
      </w:pPr>
      <w:r>
        <w:rPr>
          <w:rFonts w:ascii="Arial" w:cs="Arial" w:eastAsia="Arial" w:hAnsi="Arial"/>
          <w:b/>
          <w:bCs/>
          <w:color w:val="2C3E50"/>
          <w:sz w:val="24"/>
          <w:szCs w:val="24"/>
        </w:rPr>
        <w:t xml:space="preserve">Detailed Rationale</w:t>
      </w:r>
    </w:p>
    <w:p>
      <w:pPr>
        <w:pBdr>
          <w:bottom w:val="single" w:color="E0E0E0" w:sz="1" w:space="1"/>
        </w:pBdr>
        <w:spacing w:after="60" w:before="160"/>
      </w:pPr>
      <w:r>
        <w:rPr>
          <w:rFonts w:ascii="Arial" w:cs="Arial" w:eastAsia="Arial" w:hAnsi="Arial"/>
          <w:b/>
          <w:bCs/>
          <w:color w:val="0E918C"/>
          <w:sz w:val="22"/>
          <w:szCs w:val="22"/>
        </w:rPr>
        <w:t xml:space="preserve">Onboarding Checklists</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D4A843"/>
          <w:sz w:val="20"/>
          <w:szCs w:val="20"/>
        </w:rPr>
        <w:t xml:space="preserve">  |  E-Commerce: </w:t>
      </w:r>
      <w:r>
        <w:rPr>
          <w:rFonts w:ascii="Arial" w:cs="Arial" w:eastAsia="Arial" w:hAnsi="Arial"/>
          <w:b/>
          <w:bCs/>
          <w:color w:val="D4A843"/>
          <w:sz w:val="20"/>
          <w:szCs w:val="20"/>
        </w:rPr>
        <w:t xml:space="preserve">CONSIDER</w:t>
      </w:r>
    </w:p>
    <w:p>
      <w:pPr>
        <w:spacing w:after="160" w:before="0"/>
      </w:pPr>
      <w:r>
        <w:rPr>
          <w:rFonts w:ascii="Arial" w:cs="Arial" w:eastAsia="Arial" w:hAnsi="Arial"/>
          <w:color w:val="2C3E50"/>
          <w:sz w:val="20"/>
          <w:szCs w:val="20"/>
        </w:rPr>
        <w:t xml:space="preserve">Gamified checklists: “Complete 4/5 steps to unlock premium trial.” SaaS critical: products like Slack, Notion, Figma all use progressive onboarding. Fintechs: “Complete KYC → Add bank → First investment.” E-commerce: lighter — “Save address, browse deals, add to cart.”</w:t>
      </w:r>
    </w:p>
    <w:p>
      <w:pPr>
        <w:pBdr>
          <w:bottom w:val="single" w:color="E0E0E0" w:sz="1" w:space="1"/>
        </w:pBdr>
        <w:spacing w:after="60" w:before="160"/>
      </w:pPr>
      <w:r>
        <w:rPr>
          <w:rFonts w:ascii="Arial" w:cs="Arial" w:eastAsia="Arial" w:hAnsi="Arial"/>
          <w:b/>
          <w:bCs/>
          <w:color w:val="0E918C"/>
          <w:sz w:val="22"/>
          <w:szCs w:val="22"/>
        </w:rPr>
        <w:t xml:space="preserve">Personalised Welcome Sequences</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Multi-step, multi-channel drip triggered on signup, branching based on user attributes. Came from fintech lead magnet? Sequence talks about that use case. Referred by friend? Highlight social features. Universally impactful.</w:t>
      </w:r>
    </w:p>
    <w:p>
      <w:pPr>
        <w:pBdr>
          <w:bottom w:val="single" w:color="E0E0E0" w:sz="1" w:space="1"/>
        </w:pBdr>
        <w:spacing w:after="60" w:before="160"/>
      </w:pPr>
      <w:r>
        <w:rPr>
          <w:rFonts w:ascii="Arial" w:cs="Arial" w:eastAsia="Arial" w:hAnsi="Arial"/>
          <w:b/>
          <w:bCs/>
          <w:color w:val="0E918C"/>
          <w:sz w:val="22"/>
          <w:szCs w:val="22"/>
        </w:rPr>
        <w:t xml:space="preserve">Contact Sync &amp; Discovery</w:t>
      </w:r>
    </w:p>
    <w:p>
      <w:pPr>
        <w:spacing w:after="40"/>
      </w:pPr>
      <w:r>
        <w:rPr>
          <w:rFonts w:ascii="Arial" w:cs="Arial" w:eastAsia="Arial" w:hAnsi="Arial"/>
          <w:b/>
          <w:bCs/>
          <w:color w:val="D4A843"/>
          <w:sz w:val="20"/>
          <w:szCs w:val="20"/>
        </w:rPr>
        <w:t xml:space="preserve">SaaS: </w:t>
      </w:r>
      <w:r>
        <w:rPr>
          <w:rFonts w:ascii="Arial" w:cs="Arial" w:eastAsia="Arial" w:hAnsi="Arial"/>
          <w:b/>
          <w:bCs/>
          <w:color w:val="D4A843"/>
          <w:sz w:val="20"/>
          <w:szCs w:val="20"/>
        </w:rPr>
        <w:t xml:space="preserve">CONSIDER</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D4A843"/>
          <w:sz w:val="20"/>
          <w:szCs w:val="20"/>
        </w:rPr>
        <w:t xml:space="preserve">  |  E-Commerce: </w:t>
      </w:r>
      <w:r>
        <w:rPr>
          <w:rFonts w:ascii="Arial" w:cs="Arial" w:eastAsia="Arial" w:hAnsi="Arial"/>
          <w:b/>
          <w:bCs/>
          <w:color w:val="D4A843"/>
          <w:sz w:val="20"/>
          <w:szCs w:val="20"/>
        </w:rPr>
        <w:t xml:space="preserve">CONSIDER</w:t>
      </w:r>
    </w:p>
    <w:p>
      <w:pPr>
        <w:spacing w:after="160" w:before="0"/>
      </w:pPr>
      <w:r>
        <w:rPr>
          <w:rFonts w:ascii="Arial" w:cs="Arial" w:eastAsia="Arial" w:hAnsi="Arial"/>
          <w:color w:val="2C3E50"/>
          <w:sz w:val="20"/>
          <w:szCs w:val="20"/>
        </w:rPr>
        <w:t xml:space="preserve">“5 of your contacts are already here.” Social proof at signup. CRED and PhonePe use this heavily. SaaS: relevant for collaboration tools (Slack, Notion). E-commerce: less natural unless social-commerce (Meesho).</w:t>
      </w:r>
    </w:p>
    <w:p>
      <w:pPr>
        <w:pBdr>
          <w:bottom w:val="single" w:color="E0E0E0" w:sz="1" w:space="1"/>
        </w:pBdr>
        <w:spacing w:after="60" w:before="160"/>
      </w:pPr>
      <w:r>
        <w:rPr>
          <w:rFonts w:ascii="Arial" w:cs="Arial" w:eastAsia="Arial" w:hAnsi="Arial"/>
          <w:b/>
          <w:bCs/>
          <w:color w:val="0E918C"/>
          <w:sz w:val="22"/>
          <w:szCs w:val="22"/>
        </w:rPr>
        <w:t xml:space="preserve">Interactive Product Tours</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5D6D7E"/>
          <w:sz w:val="20"/>
          <w:szCs w:val="20"/>
        </w:rPr>
        <w:t xml:space="preserve">  |  E-Commerce: </w:t>
      </w:r>
      <w:r>
        <w:rPr>
          <w:rFonts w:ascii="Arial" w:cs="Arial" w:eastAsia="Arial" w:hAnsi="Arial"/>
          <w:b/>
          <w:bCs/>
          <w:color w:val="5D6D7E"/>
          <w:sz w:val="20"/>
          <w:szCs w:val="20"/>
        </w:rPr>
        <w:t xml:space="preserve">IGNORE</w:t>
      </w:r>
    </w:p>
    <w:p>
      <w:pPr>
        <w:spacing w:after="160" w:before="0"/>
      </w:pPr>
      <w:r>
        <w:rPr>
          <w:rFonts w:ascii="Arial" w:cs="Arial" w:eastAsia="Arial" w:hAnsi="Arial"/>
          <w:color w:val="2C3E50"/>
          <w:sz w:val="20"/>
          <w:szCs w:val="20"/>
        </w:rPr>
        <w:t xml:space="preserve">Contextual tooltip-based tours triggered by behaviour. “User hasn’t discovered feature X after 3 sessions → show tour.” Critical for SaaS and fintech (complex UIs). E-commerce UIs are simpler; usually unnecessary.</w:t>
      </w:r>
    </w:p>
    <w:p>
      <w:pPr>
        <w:pBdr>
          <w:bottom w:val="single" w:color="E0E0E0" w:sz="1" w:space="1"/>
        </w:pBdr>
        <w:spacing w:after="60" w:before="160"/>
      </w:pPr>
      <w:r>
        <w:rPr>
          <w:rFonts w:ascii="Arial" w:cs="Arial" w:eastAsia="Arial" w:hAnsi="Arial"/>
          <w:b/>
          <w:bCs/>
          <w:color w:val="0E918C"/>
          <w:sz w:val="22"/>
          <w:szCs w:val="22"/>
        </w:rPr>
        <w:t xml:space="preserve">Magic Link / Passwordless Auth</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Frictionless login via email or WhatsApp magic link. Eliminates password-reset churn. WhatsApp magic link especially powerful in India. Zerodha uses TOTP; CRED uses WhatsApp OTP. Reduces drop-off universally.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AF50" w:val="clear"/>
            <w:tcMar>
              <w:top w:type="dxa" w:w="200"/>
              <w:left w:type="dxa" w:w="300"/>
              <w:bottom w:type="dxa" w:w="200"/>
              <w:right w:type="dxa" w:w="300"/>
            </w:tcMar>
          </w:tcPr>
          <w:p>
            <w:pPr>
              <w:spacing w:after="40"/>
            </w:pPr>
            <w:r>
              <w:rPr>
                <w:rFonts w:ascii="Arial" w:cs="Arial" w:eastAsia="Arial" w:hAnsi="Arial"/>
                <w:color w:val="C8D6E5"/>
                <w:spacing w:val="200"/>
                <w:sz w:val="18"/>
                <w:szCs w:val="18"/>
              </w:rPr>
              <w:t xml:space="preserve">STAGE 3</w:t>
            </w:r>
          </w:p>
          <w:p>
            <w:r>
              <w:rPr>
                <w:rFonts w:ascii="Arial" w:cs="Arial" w:eastAsia="Arial" w:hAnsi="Arial"/>
                <w:b/>
                <w:bCs/>
                <w:color w:val="FFFFFF"/>
                <w:sz w:val="40"/>
                <w:szCs w:val="40"/>
              </w:rPr>
              <w:t xml:space="preserve">ENGAGE</w:t>
            </w:r>
          </w:p>
          <w:p>
            <w:r>
              <w:rPr>
                <w:rFonts w:ascii="Arial" w:cs="Arial" w:eastAsia="Arial" w:hAnsi="Arial"/>
                <w:color w:val="D5E8D4"/>
                <w:sz w:val="24"/>
                <w:szCs w:val="24"/>
              </w:rPr>
              <w:t xml:space="preserve">Keep Them Coming Back</w:t>
            </w:r>
          </w:p>
        </w:tc>
      </w:tr>
    </w:tbl>
    <w:p>
      <w:pPr>
        <w:spacing w:after="200"/>
      </w:pPr>
    </w:p>
    <w:p>
      <w:pPr>
        <w:spacing w:after="120"/>
      </w:pPr>
      <w:r>
        <w:rPr>
          <w:rFonts w:ascii="Arial" w:cs="Arial" w:eastAsia="Arial" w:hAnsi="Arial"/>
          <w:b/>
          <w:bCs/>
          <w:color w:val="2C3E50"/>
          <w:sz w:val="24"/>
          <w:szCs w:val="24"/>
        </w:rPr>
        <w:t xml:space="preserve">Quick-Reference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60"/>
        <w:gridCol w:w="1660"/>
        <w:gridCol w:w="1680"/>
      </w:tblGrid>
      <w:tr>
        <w:tc>
          <w:tcPr>
            <w:tcW w:type="dxa" w:w="4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Module</w:t>
            </w:r>
          </w:p>
        </w:tc>
        <w:tc>
          <w:tcPr>
            <w:tcW w:type="dxa" w:w="1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SaaS</w:t>
            </w:r>
          </w:p>
        </w:tc>
        <w:tc>
          <w:tcPr>
            <w:tcW w:type="dxa" w:w="1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Fintech</w:t>
            </w:r>
          </w:p>
        </w:tc>
        <w:tc>
          <w:tcPr>
            <w:tcW w:type="dxa" w:w="1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E-Com</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Streaks &amp; Activity Rewards</w:t>
            </w:r>
          </w:p>
        </w:tc>
        <w:tc>
          <w:tcPr>
            <w:tcW w:type="dxa" w:w="16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Achievement / Badge System</w:t>
            </w:r>
          </w:p>
        </w:tc>
        <w:tc>
          <w:tcPr>
            <w:tcW w:type="dxa" w:w="16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Contextual Surveys / NPS</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In-App Nudges &amp; Notifications</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Changelog / What’s New</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c>
          <w:tcPr>
            <w:tcW w:type="dxa" w:w="168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5D6D7E"/>
                <w:sz w:val="18"/>
                <w:szCs w:val="18"/>
              </w:rPr>
              <w:t xml:space="preserve">IGNORE</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Milestone Celebrations (Wrapped-Style)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Community Hub</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Event / Webinar Engine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r>
    </w:tbl>
    <w:p>
      <w:pPr>
        <w:spacing w:after="300"/>
      </w:pPr>
    </w:p>
    <w:p>
      <w:pPr>
        <w:spacing w:after="120"/>
      </w:pPr>
      <w:r>
        <w:rPr>
          <w:rFonts w:ascii="Arial" w:cs="Arial" w:eastAsia="Arial" w:hAnsi="Arial"/>
          <w:b/>
          <w:bCs/>
          <w:color w:val="2C3E50"/>
          <w:sz w:val="24"/>
          <w:szCs w:val="24"/>
        </w:rPr>
        <w:t xml:space="preserve">Detailed Rationale</w:t>
      </w:r>
    </w:p>
    <w:p>
      <w:pPr>
        <w:pBdr>
          <w:bottom w:val="single" w:color="E0E0E0" w:sz="1" w:space="1"/>
        </w:pBdr>
        <w:spacing w:after="60" w:before="160"/>
      </w:pPr>
      <w:r>
        <w:rPr>
          <w:rFonts w:ascii="Arial" w:cs="Arial" w:eastAsia="Arial" w:hAnsi="Arial"/>
          <w:b/>
          <w:bCs/>
          <w:color w:val="4CAF50"/>
          <w:sz w:val="22"/>
          <w:szCs w:val="22"/>
        </w:rPr>
        <w:t xml:space="preserve">Streaks &amp; Activity Rewards</w:t>
      </w:r>
    </w:p>
    <w:p>
      <w:pPr>
        <w:spacing w:after="40"/>
      </w:pPr>
      <w:r>
        <w:rPr>
          <w:rFonts w:ascii="Arial" w:cs="Arial" w:eastAsia="Arial" w:hAnsi="Arial"/>
          <w:b/>
          <w:bCs/>
          <w:color w:val="D4A843"/>
          <w:sz w:val="20"/>
          <w:szCs w:val="20"/>
        </w:rPr>
        <w:t xml:space="preserve">SaaS: </w:t>
      </w:r>
      <w:r>
        <w:rPr>
          <w:rFonts w:ascii="Arial" w:cs="Arial" w:eastAsia="Arial" w:hAnsi="Arial"/>
          <w:b/>
          <w:bCs/>
          <w:color w:val="D4A843"/>
          <w:sz w:val="20"/>
          <w:szCs w:val="20"/>
        </w:rPr>
        <w:t xml:space="preserve">CONSIDER</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Track consecutive-day usage, reward milestones. Fintech: Zerodha’s Varsity streaks, CRED’s bill-pay streaks. E-commerce: Meesho seller daily login streaks. SaaS: works for consumer products, less for B2B.</w:t>
      </w:r>
    </w:p>
    <w:p>
      <w:pPr>
        <w:pBdr>
          <w:bottom w:val="single" w:color="E0E0E0" w:sz="1" w:space="1"/>
        </w:pBdr>
        <w:spacing w:after="60" w:before="160"/>
      </w:pPr>
      <w:r>
        <w:rPr>
          <w:rFonts w:ascii="Arial" w:cs="Arial" w:eastAsia="Arial" w:hAnsi="Arial"/>
          <w:b/>
          <w:bCs/>
          <w:color w:val="4CAF50"/>
          <w:sz w:val="22"/>
          <w:szCs w:val="22"/>
        </w:rPr>
        <w:t xml:space="preserve">Achievement / Badge System</w:t>
      </w:r>
    </w:p>
    <w:p>
      <w:pPr>
        <w:spacing w:after="40"/>
      </w:pPr>
      <w:r>
        <w:rPr>
          <w:rFonts w:ascii="Arial" w:cs="Arial" w:eastAsia="Arial" w:hAnsi="Arial"/>
          <w:b/>
          <w:bCs/>
          <w:color w:val="D4A843"/>
          <w:sz w:val="20"/>
          <w:szCs w:val="20"/>
        </w:rPr>
        <w:t xml:space="preserve">SaaS: </w:t>
      </w:r>
      <w:r>
        <w:rPr>
          <w:rFonts w:ascii="Arial" w:cs="Arial" w:eastAsia="Arial" w:hAnsi="Arial"/>
          <w:b/>
          <w:bCs/>
          <w:color w:val="D4A843"/>
          <w:sz w:val="20"/>
          <w:szCs w:val="20"/>
        </w:rPr>
        <w:t xml:space="preserve">CONSIDER</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Unlock badges for actions. CRED coins and levels are essentially a badge system. E-commerce: “Power Buyer,” “Review Champion.” SaaS: suitable for community-driven products.</w:t>
      </w:r>
    </w:p>
    <w:p>
      <w:pPr>
        <w:pBdr>
          <w:bottom w:val="single" w:color="E0E0E0" w:sz="1" w:space="1"/>
        </w:pBdr>
        <w:spacing w:after="60" w:before="160"/>
      </w:pPr>
      <w:r>
        <w:rPr>
          <w:rFonts w:ascii="Arial" w:cs="Arial" w:eastAsia="Arial" w:hAnsi="Arial"/>
          <w:b/>
          <w:bCs/>
          <w:color w:val="4CAF50"/>
          <w:sz w:val="22"/>
          <w:szCs w:val="22"/>
        </w:rPr>
        <w:t xml:space="preserve">Contextual Surveys / NPS</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Micro-surveys embedded at the right moment. Post-transaction NPS, feature satisfaction pulse. Universal. The key insight: NPS scores should feed into segmentation — detractors get retention campaigns, promoters get referral invites.</w:t>
      </w:r>
    </w:p>
    <w:p>
      <w:pPr>
        <w:pBdr>
          <w:bottom w:val="single" w:color="E0E0E0" w:sz="1" w:space="1"/>
        </w:pBdr>
        <w:spacing w:after="60" w:before="160"/>
      </w:pPr>
      <w:r>
        <w:rPr>
          <w:rFonts w:ascii="Arial" w:cs="Arial" w:eastAsia="Arial" w:hAnsi="Arial"/>
          <w:b/>
          <w:bCs/>
          <w:color w:val="4CAF50"/>
          <w:sz w:val="22"/>
          <w:szCs w:val="22"/>
        </w:rPr>
        <w:t xml:space="preserve">In-App Nudges &amp; Notifications</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Contextual in-app messages: banners, modals, tooltips. “You have 3 unused invites.” Far more effective than email for active users. PhonePe’s contextual nudges drive cross-sell into insurance and wealth products.</w:t>
      </w:r>
    </w:p>
    <w:p>
      <w:pPr>
        <w:pBdr>
          <w:bottom w:val="single" w:color="E0E0E0" w:sz="1" w:space="1"/>
        </w:pBdr>
        <w:spacing w:after="60" w:before="160"/>
      </w:pPr>
      <w:r>
        <w:rPr>
          <w:rFonts w:ascii="Arial" w:cs="Arial" w:eastAsia="Arial" w:hAnsi="Arial"/>
          <w:b/>
          <w:bCs/>
          <w:color w:val="4CAF50"/>
          <w:sz w:val="22"/>
          <w:szCs w:val="22"/>
        </w:rPr>
        <w:t xml:space="preserve">Changelog / What’s New</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D4A843"/>
          <w:sz w:val="20"/>
          <w:szCs w:val="20"/>
        </w:rPr>
        <w:t xml:space="preserve">  |  Fintech: </w:t>
      </w:r>
      <w:r>
        <w:rPr>
          <w:rFonts w:ascii="Arial" w:cs="Arial" w:eastAsia="Arial" w:hAnsi="Arial"/>
          <w:b/>
          <w:bCs/>
          <w:color w:val="D4A843"/>
          <w:sz w:val="20"/>
          <w:szCs w:val="20"/>
        </w:rPr>
        <w:t xml:space="preserve">CONSIDER</w:t>
      </w:r>
      <w:r>
        <w:rPr>
          <w:rFonts w:ascii="Arial" w:cs="Arial" w:eastAsia="Arial" w:hAnsi="Arial"/>
          <w:b/>
          <w:bCs/>
          <w:color w:val="5D6D7E"/>
          <w:sz w:val="20"/>
          <w:szCs w:val="20"/>
        </w:rPr>
        <w:t xml:space="preserve">  |  E-Commerce: </w:t>
      </w:r>
      <w:r>
        <w:rPr>
          <w:rFonts w:ascii="Arial" w:cs="Arial" w:eastAsia="Arial" w:hAnsi="Arial"/>
          <w:b/>
          <w:bCs/>
          <w:color w:val="5D6D7E"/>
          <w:sz w:val="20"/>
          <w:szCs w:val="20"/>
        </w:rPr>
        <w:t xml:space="preserve">IGNORE</w:t>
      </w:r>
    </w:p>
    <w:p>
      <w:pPr>
        <w:spacing w:after="160" w:before="0"/>
      </w:pPr>
      <w:r>
        <w:rPr>
          <w:rFonts w:ascii="Arial" w:cs="Arial" w:eastAsia="Arial" w:hAnsi="Arial"/>
          <w:color w:val="2C3E50"/>
          <w:sz w:val="20"/>
          <w:szCs w:val="20"/>
        </w:rPr>
        <w:t xml:space="preserve">Public-facing or in-app changelog. SaaS must-have: users want to know what shipped. Linear, Notion, Figma all have public changelogs. Fintech: useful if product evolves frequently. E-commerce: product updates happen via marketing, not changelogs.</w:t>
      </w:r>
    </w:p>
    <w:p>
      <w:pPr>
        <w:pBdr>
          <w:bottom w:val="single" w:color="E0E0E0" w:sz="1" w:space="1"/>
        </w:pBdr>
        <w:spacing w:after="60" w:before="160"/>
      </w:pPr>
      <w:r>
        <w:rPr>
          <w:rFonts w:ascii="Arial" w:cs="Arial" w:eastAsia="Arial" w:hAnsi="Arial"/>
          <w:b/>
          <w:bCs/>
          <w:color w:val="4CAF50"/>
          <w:sz w:val="22"/>
          <w:szCs w:val="22"/>
        </w:rPr>
        <w:t xml:space="preserve">Milestone Celebrations (Wrapped-Style)</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Auto-detect meaningful milestones and celebrate with shareable cards. Spotify Wrapped drove a 21% spike in app downloads in its launch December. Zomato’s annual food recap goes viral. Zerodha could do “Your Trading Year.” Every product with usage data can do this.</w:t>
      </w:r>
    </w:p>
    <w:p>
      <w:pPr>
        <w:pBdr>
          <w:bottom w:val="single" w:color="E0E0E0" w:sz="1" w:space="1"/>
        </w:pBdr>
        <w:spacing w:after="60" w:before="160"/>
      </w:pPr>
      <w:r>
        <w:rPr>
          <w:rFonts w:ascii="Arial" w:cs="Arial" w:eastAsia="Arial" w:hAnsi="Arial"/>
          <w:b/>
          <w:bCs/>
          <w:color w:val="4CAF50"/>
          <w:sz w:val="22"/>
          <w:szCs w:val="22"/>
        </w:rPr>
        <w:t xml:space="preserve">Community Hub</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D4A843"/>
          <w:sz w:val="20"/>
          <w:szCs w:val="20"/>
        </w:rPr>
        <w:t xml:space="preserve">  |  E-Commerce: </w:t>
      </w:r>
      <w:r>
        <w:rPr>
          <w:rFonts w:ascii="Arial" w:cs="Arial" w:eastAsia="Arial" w:hAnsi="Arial"/>
          <w:b/>
          <w:bCs/>
          <w:color w:val="D4A843"/>
          <w:sz w:val="20"/>
          <w:szCs w:val="20"/>
        </w:rPr>
        <w:t xml:space="preserve">CONSIDER</w:t>
      </w:r>
    </w:p>
    <w:p>
      <w:pPr>
        <w:spacing w:after="160" w:before="0"/>
      </w:pPr>
      <w:r>
        <w:rPr>
          <w:rFonts w:ascii="Arial" w:cs="Arial" w:eastAsia="Arial" w:hAnsi="Arial"/>
          <w:color w:val="2C3E50"/>
          <w:sz w:val="20"/>
          <w:szCs w:val="20"/>
        </w:rPr>
        <w:t xml:space="preserve">Self-hosted community. Zerodha’s TradingQnA, Notion’s community forums. Fintechs: investor communities drive stickiness. E-commerce: works for passion categories (beauty → Nykaa community), less for commodity.</w:t>
      </w:r>
    </w:p>
    <w:p>
      <w:pPr>
        <w:pBdr>
          <w:bottom w:val="single" w:color="E0E0E0" w:sz="1" w:space="1"/>
        </w:pBdr>
        <w:spacing w:after="60" w:before="160"/>
      </w:pPr>
      <w:r>
        <w:rPr>
          <w:rFonts w:ascii="Arial" w:cs="Arial" w:eastAsia="Arial" w:hAnsi="Arial"/>
          <w:b/>
          <w:bCs/>
          <w:color w:val="4CAF50"/>
          <w:sz w:val="22"/>
          <w:szCs w:val="22"/>
        </w:rPr>
        <w:t xml:space="preserve">Event / Webinar Engine</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D4A843"/>
          <w:sz w:val="20"/>
          <w:szCs w:val="20"/>
        </w:rPr>
        <w:t xml:space="preserve">  |  E-Commerce: </w:t>
      </w:r>
      <w:r>
        <w:rPr>
          <w:rFonts w:ascii="Arial" w:cs="Arial" w:eastAsia="Arial" w:hAnsi="Arial"/>
          <w:b/>
          <w:bCs/>
          <w:color w:val="D4A843"/>
          <w:sz w:val="20"/>
          <w:szCs w:val="20"/>
        </w:rPr>
        <w:t xml:space="preserve">CONSIDER</w:t>
      </w:r>
    </w:p>
    <w:p>
      <w:pPr>
        <w:spacing w:after="160" w:before="0"/>
      </w:pPr>
      <w:r>
        <w:rPr>
          <w:rFonts w:ascii="Arial" w:cs="Arial" w:eastAsia="Arial" w:hAnsi="Arial"/>
          <w:color w:val="2C3E50"/>
          <w:sz w:val="20"/>
          <w:szCs w:val="20"/>
        </w:rPr>
        <w:t xml:space="preserve">RSVP is contact capture. Attendance is engagement signal. No-shows get follow-up. Groww’s investor education webinars are an acquisition AND engagement play. SaaS: product demos, AMAs, user groups.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845F" w:val="clear"/>
            <w:tcMar>
              <w:top w:type="dxa" w:w="200"/>
              <w:left w:type="dxa" w:w="300"/>
              <w:bottom w:type="dxa" w:w="200"/>
              <w:right w:type="dxa" w:w="300"/>
            </w:tcMar>
          </w:tcPr>
          <w:p>
            <w:pPr>
              <w:spacing w:after="40"/>
            </w:pPr>
            <w:r>
              <w:rPr>
                <w:rFonts w:ascii="Arial" w:cs="Arial" w:eastAsia="Arial" w:hAnsi="Arial"/>
                <w:color w:val="C8D6E5"/>
                <w:spacing w:val="200"/>
                <w:sz w:val="18"/>
                <w:szCs w:val="18"/>
              </w:rPr>
              <w:t xml:space="preserve">STAGE 4</w:t>
            </w:r>
          </w:p>
          <w:p>
            <w:r>
              <w:rPr>
                <w:rFonts w:ascii="Arial" w:cs="Arial" w:eastAsia="Arial" w:hAnsi="Arial"/>
                <w:b/>
                <w:bCs/>
                <w:color w:val="FFFFFF"/>
                <w:sz w:val="40"/>
                <w:szCs w:val="40"/>
              </w:rPr>
              <w:t xml:space="preserve">MONETISE</w:t>
            </w:r>
          </w:p>
          <w:p>
            <w:r>
              <w:rPr>
                <w:rFonts w:ascii="Arial" w:cs="Arial" w:eastAsia="Arial" w:hAnsi="Arial"/>
                <w:color w:val="D5E8D4"/>
                <w:sz w:val="24"/>
                <w:szCs w:val="24"/>
              </w:rPr>
              <w:t xml:space="preserve">Convert Engagement into Revenue</w:t>
            </w:r>
          </w:p>
        </w:tc>
      </w:tr>
    </w:tbl>
    <w:p>
      <w:pPr>
        <w:spacing w:after="200"/>
      </w:pPr>
    </w:p>
    <w:p>
      <w:pPr>
        <w:spacing w:after="120"/>
      </w:pPr>
      <w:r>
        <w:rPr>
          <w:rFonts w:ascii="Arial" w:cs="Arial" w:eastAsia="Arial" w:hAnsi="Arial"/>
          <w:b/>
          <w:bCs/>
          <w:color w:val="2C3E50"/>
          <w:sz w:val="24"/>
          <w:szCs w:val="24"/>
        </w:rPr>
        <w:t xml:space="preserve">Quick-Reference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60"/>
        <w:gridCol w:w="1660"/>
        <w:gridCol w:w="1680"/>
      </w:tblGrid>
      <w:tr>
        <w:tc>
          <w:tcPr>
            <w:tcW w:type="dxa" w:w="4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Module</w:t>
            </w:r>
          </w:p>
        </w:tc>
        <w:tc>
          <w:tcPr>
            <w:tcW w:type="dxa" w:w="1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SaaS</w:t>
            </w:r>
          </w:p>
        </w:tc>
        <w:tc>
          <w:tcPr>
            <w:tcW w:type="dxa" w:w="1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Fintech</w:t>
            </w:r>
          </w:p>
        </w:tc>
        <w:tc>
          <w:tcPr>
            <w:tcW w:type="dxa" w:w="1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E-Com</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Paywalled Feature Gates</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5D6D7E"/>
                <w:sz w:val="18"/>
                <w:szCs w:val="18"/>
              </w:rPr>
              <w:t xml:space="preserve">IGNORE</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Trial Management</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c>
          <w:tcPr>
            <w:tcW w:type="dxa" w:w="168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5D6D7E"/>
                <w:sz w:val="18"/>
                <w:szCs w:val="18"/>
              </w:rPr>
              <w:t xml:space="preserve">IGNORE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Coupon / Promo Engine</w:t>
            </w:r>
          </w:p>
        </w:tc>
        <w:tc>
          <w:tcPr>
            <w:tcW w:type="dxa" w:w="16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Upgrade Prompt Orchestration</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5D6D7E"/>
                <w:sz w:val="18"/>
                <w:szCs w:val="18"/>
              </w:rPr>
              <w:t xml:space="preserve">IGNORE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Pricing Page Experiments</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c>
          <w:tcPr>
            <w:tcW w:type="dxa" w:w="1680"/>
            <w:tcBorders>
              <w:top w:val="single" w:color="D0D5DD" w:sz="1"/>
              <w:left w:val="single" w:color="D0D5DD" w:sz="1"/>
              <w:bottom w:val="single" w:color="D0D5DD" w:sz="1"/>
              <w:right w:val="single" w:color="D0D5DD" w:sz="1"/>
            </w:tcBorders>
            <w:shd w:fill="FFF8E1" w:val="clear"/>
            <w:tcMar>
              <w:top w:type="dxa" w:w="80"/>
              <w:left w:type="dxa" w:w="120"/>
              <w:bottom w:type="dxa" w:w="80"/>
              <w:right w:type="dxa" w:w="120"/>
            </w:tcMar>
            <w:vAlign w:val="center"/>
          </w:tcPr>
          <w:p>
            <w:pPr>
              <w:jc w:val="center"/>
            </w:pPr>
            <w:r>
              <w:rPr>
                <w:rFonts w:ascii="Arial" w:cs="Arial" w:eastAsia="Arial" w:hAnsi="Arial"/>
                <w:b/>
                <w:bCs/>
                <w:color w:val="D4A843"/>
                <w:sz w:val="18"/>
                <w:szCs w:val="18"/>
              </w:rPr>
              <w:t xml:space="preserve">CONSIDER</w:t>
            </w:r>
          </w:p>
        </w:tc>
      </w:tr>
    </w:tbl>
    <w:p>
      <w:pPr>
        <w:spacing w:after="300"/>
      </w:pPr>
    </w:p>
    <w:p>
      <w:pPr>
        <w:spacing w:after="120"/>
      </w:pPr>
      <w:r>
        <w:rPr>
          <w:rFonts w:ascii="Arial" w:cs="Arial" w:eastAsia="Arial" w:hAnsi="Arial"/>
          <w:b/>
          <w:bCs/>
          <w:color w:val="2C3E50"/>
          <w:sz w:val="24"/>
          <w:szCs w:val="24"/>
        </w:rPr>
        <w:t xml:space="preserve">Detailed Rationale</w:t>
      </w:r>
    </w:p>
    <w:p>
      <w:pPr>
        <w:pBdr>
          <w:bottom w:val="single" w:color="E0E0E0" w:sz="1" w:space="1"/>
        </w:pBdr>
        <w:spacing w:after="60" w:before="160"/>
      </w:pPr>
      <w:r>
        <w:rPr>
          <w:rFonts w:ascii="Arial" w:cs="Arial" w:eastAsia="Arial" w:hAnsi="Arial"/>
          <w:b/>
          <w:bCs/>
          <w:color w:val="F4845F"/>
          <w:sz w:val="22"/>
          <w:szCs w:val="22"/>
        </w:rPr>
        <w:t xml:space="preserve">Paywalled Feature Gates</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5D6D7E"/>
          <w:sz w:val="20"/>
          <w:szCs w:val="20"/>
        </w:rPr>
        <w:t xml:space="preserve">  |  E-Commerce: </w:t>
      </w:r>
      <w:r>
        <w:rPr>
          <w:rFonts w:ascii="Arial" w:cs="Arial" w:eastAsia="Arial" w:hAnsi="Arial"/>
          <w:b/>
          <w:bCs/>
          <w:color w:val="5D6D7E"/>
          <w:sz w:val="20"/>
          <w:szCs w:val="20"/>
        </w:rPr>
        <w:t xml:space="preserve">IGNORE</w:t>
      </w:r>
    </w:p>
    <w:p>
      <w:pPr>
        <w:spacing w:after="160" w:before="0"/>
      </w:pPr>
      <w:r>
        <w:rPr>
          <w:rFonts w:ascii="Arial" w:cs="Arial" w:eastAsia="Arial" w:hAnsi="Arial"/>
          <w:color w:val="2C3E50"/>
          <w:sz w:val="20"/>
          <w:szCs w:val="20"/>
        </w:rPr>
        <w:t xml:space="preserve">Control access by plan tier with contextual upgrade prompts. HubSpot shows slideouts when users try premium features. Zerodha gates advanced analytics (Kite’s console features). E-commerce: not applicable (revenue is product sales).</w:t>
      </w:r>
    </w:p>
    <w:p>
      <w:pPr>
        <w:pBdr>
          <w:bottom w:val="single" w:color="E0E0E0" w:sz="1" w:space="1"/>
        </w:pBdr>
        <w:spacing w:after="60" w:before="160"/>
      </w:pPr>
      <w:r>
        <w:rPr>
          <w:rFonts w:ascii="Arial" w:cs="Arial" w:eastAsia="Arial" w:hAnsi="Arial"/>
          <w:b/>
          <w:bCs/>
          <w:color w:val="F4845F"/>
          <w:sz w:val="22"/>
          <w:szCs w:val="22"/>
        </w:rPr>
        <w:t xml:space="preserve">Trial Management</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D4A843"/>
          <w:sz w:val="20"/>
          <w:szCs w:val="20"/>
        </w:rPr>
        <w:t xml:space="preserve">  |  Fintech: </w:t>
      </w:r>
      <w:r>
        <w:rPr>
          <w:rFonts w:ascii="Arial" w:cs="Arial" w:eastAsia="Arial" w:hAnsi="Arial"/>
          <w:b/>
          <w:bCs/>
          <w:color w:val="D4A843"/>
          <w:sz w:val="20"/>
          <w:szCs w:val="20"/>
        </w:rPr>
        <w:t xml:space="preserve">CONSIDER</w:t>
      </w:r>
      <w:r>
        <w:rPr>
          <w:rFonts w:ascii="Arial" w:cs="Arial" w:eastAsia="Arial" w:hAnsi="Arial"/>
          <w:b/>
          <w:bCs/>
          <w:color w:val="5D6D7E"/>
          <w:sz w:val="20"/>
          <w:szCs w:val="20"/>
        </w:rPr>
        <w:t xml:space="preserve">  |  E-Commerce: </w:t>
      </w:r>
      <w:r>
        <w:rPr>
          <w:rFonts w:ascii="Arial" w:cs="Arial" w:eastAsia="Arial" w:hAnsi="Arial"/>
          <w:b/>
          <w:bCs/>
          <w:color w:val="5D6D7E"/>
          <w:sz w:val="20"/>
          <w:szCs w:val="20"/>
        </w:rPr>
        <w:t xml:space="preserve">IGNORE</w:t>
      </w:r>
    </w:p>
    <w:p>
      <w:pPr>
        <w:spacing w:after="160" w:before="0"/>
      </w:pPr>
      <w:r>
        <w:rPr>
          <w:rFonts w:ascii="Arial" w:cs="Arial" w:eastAsia="Arial" w:hAnsi="Arial"/>
          <w:color w:val="2C3E50"/>
          <w:sz w:val="20"/>
          <w:szCs w:val="20"/>
        </w:rPr>
        <w:t xml:space="preserve">Time-boxed or usage-boxed trials with nudge sequences. “3 days left. You’ve created 14 projects — don’t lose them.” Urgency + sunk cost. SaaS essential. Fintech: relevant for premium tiers.</w:t>
      </w:r>
    </w:p>
    <w:p>
      <w:pPr>
        <w:pBdr>
          <w:bottom w:val="single" w:color="E0E0E0" w:sz="1" w:space="1"/>
        </w:pBdr>
        <w:spacing w:after="60" w:before="160"/>
      </w:pPr>
      <w:r>
        <w:rPr>
          <w:rFonts w:ascii="Arial" w:cs="Arial" w:eastAsia="Arial" w:hAnsi="Arial"/>
          <w:b/>
          <w:bCs/>
          <w:color w:val="F4845F"/>
          <w:sz w:val="22"/>
          <w:szCs w:val="22"/>
        </w:rPr>
        <w:t xml:space="preserve">Coupon / Promo Engine</w:t>
      </w:r>
    </w:p>
    <w:p>
      <w:pPr>
        <w:spacing w:after="40"/>
      </w:pPr>
      <w:r>
        <w:rPr>
          <w:rFonts w:ascii="Arial" w:cs="Arial" w:eastAsia="Arial" w:hAnsi="Arial"/>
          <w:b/>
          <w:bCs/>
          <w:color w:val="D4A843"/>
          <w:sz w:val="20"/>
          <w:szCs w:val="20"/>
        </w:rPr>
        <w:t xml:space="preserve">SaaS: </w:t>
      </w:r>
      <w:r>
        <w:rPr>
          <w:rFonts w:ascii="Arial" w:cs="Arial" w:eastAsia="Arial" w:hAnsi="Arial"/>
          <w:b/>
          <w:bCs/>
          <w:color w:val="D4A843"/>
          <w:sz w:val="20"/>
          <w:szCs w:val="20"/>
        </w:rPr>
        <w:t xml:space="preserve">CONSIDER</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Unique, trackable discount codes with segment rules. E-commerce bread and butter. Fintech: CRED burns and cashback offers. SaaS: use for annual billing discounts or win-back campaigns.</w:t>
      </w:r>
    </w:p>
    <w:p>
      <w:pPr>
        <w:pBdr>
          <w:bottom w:val="single" w:color="E0E0E0" w:sz="1" w:space="1"/>
        </w:pBdr>
        <w:spacing w:after="60" w:before="160"/>
      </w:pPr>
      <w:r>
        <w:rPr>
          <w:rFonts w:ascii="Arial" w:cs="Arial" w:eastAsia="Arial" w:hAnsi="Arial"/>
          <w:b/>
          <w:bCs/>
          <w:color w:val="F4845F"/>
          <w:sz w:val="22"/>
          <w:szCs w:val="22"/>
        </w:rPr>
        <w:t xml:space="preserve">Upgrade Prompt Orchestration</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5D6D7E"/>
          <w:sz w:val="20"/>
          <w:szCs w:val="20"/>
        </w:rPr>
        <w:t xml:space="preserve">  |  E-Commerce: </w:t>
      </w:r>
      <w:r>
        <w:rPr>
          <w:rFonts w:ascii="Arial" w:cs="Arial" w:eastAsia="Arial" w:hAnsi="Arial"/>
          <w:b/>
          <w:bCs/>
          <w:color w:val="5D6D7E"/>
          <w:sz w:val="20"/>
          <w:szCs w:val="20"/>
        </w:rPr>
        <w:t xml:space="preserve">IGNORE</w:t>
      </w:r>
    </w:p>
    <w:p>
      <w:pPr>
        <w:spacing w:after="160" w:before="0"/>
      </w:pPr>
      <w:r>
        <w:rPr>
          <w:rFonts w:ascii="Arial" w:cs="Arial" w:eastAsia="Arial" w:hAnsi="Arial"/>
          <w:color w:val="2C3E50"/>
          <w:sz w:val="20"/>
          <w:szCs w:val="20"/>
        </w:rPr>
        <w:t xml:space="preserve">Smart, contextual nudges based on usage patterns. “You’ve exported 8 of your 10 free reports.” 10x more effective than scheduled emails. SaaS and fintech critical. E-commerce monetises differently.</w:t>
      </w:r>
    </w:p>
    <w:p>
      <w:pPr>
        <w:pBdr>
          <w:bottom w:val="single" w:color="E0E0E0" w:sz="1" w:space="1"/>
        </w:pBdr>
        <w:spacing w:after="60" w:before="160"/>
      </w:pPr>
      <w:r>
        <w:rPr>
          <w:rFonts w:ascii="Arial" w:cs="Arial" w:eastAsia="Arial" w:hAnsi="Arial"/>
          <w:b/>
          <w:bCs/>
          <w:color w:val="F4845F"/>
          <w:sz w:val="22"/>
          <w:szCs w:val="22"/>
        </w:rPr>
        <w:t xml:space="preserve">Pricing Page Experiments</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D4A843"/>
          <w:sz w:val="20"/>
          <w:szCs w:val="20"/>
        </w:rPr>
        <w:t xml:space="preserve">  |  Fintech: </w:t>
      </w:r>
      <w:r>
        <w:rPr>
          <w:rFonts w:ascii="Arial" w:cs="Arial" w:eastAsia="Arial" w:hAnsi="Arial"/>
          <w:b/>
          <w:bCs/>
          <w:color w:val="D4A843"/>
          <w:sz w:val="20"/>
          <w:szCs w:val="20"/>
        </w:rPr>
        <w:t xml:space="preserve">CONSIDER</w:t>
      </w:r>
      <w:r>
        <w:rPr>
          <w:rFonts w:ascii="Arial" w:cs="Arial" w:eastAsia="Arial" w:hAnsi="Arial"/>
          <w:b/>
          <w:bCs/>
          <w:color w:val="D4A843"/>
          <w:sz w:val="20"/>
          <w:szCs w:val="20"/>
        </w:rPr>
        <w:t xml:space="preserve">  |  E-Commerce: </w:t>
      </w:r>
      <w:r>
        <w:rPr>
          <w:rFonts w:ascii="Arial" w:cs="Arial" w:eastAsia="Arial" w:hAnsi="Arial"/>
          <w:b/>
          <w:bCs/>
          <w:color w:val="D4A843"/>
          <w:sz w:val="20"/>
          <w:szCs w:val="20"/>
        </w:rPr>
        <w:t xml:space="preserve">CONSIDER</w:t>
      </w:r>
    </w:p>
    <w:p>
      <w:pPr>
        <w:spacing w:after="160" w:before="0"/>
      </w:pPr>
      <w:r>
        <w:rPr>
          <w:rFonts w:ascii="Arial" w:cs="Arial" w:eastAsia="Arial" w:hAnsi="Arial"/>
          <w:color w:val="2C3E50"/>
          <w:sz w:val="20"/>
          <w:szCs w:val="20"/>
        </w:rPr>
        <w:t xml:space="preserve">A/B test pricing layouts, plan names, anchor prices. SaaS growth teams live on this. Fintechs: test subscription tiers. E-commerce: more about product pricing than plan pricing.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E57C2" w:val="clear"/>
            <w:tcMar>
              <w:top w:type="dxa" w:w="200"/>
              <w:left w:type="dxa" w:w="300"/>
              <w:bottom w:type="dxa" w:w="200"/>
              <w:right w:type="dxa" w:w="300"/>
            </w:tcMar>
          </w:tcPr>
          <w:p>
            <w:pPr>
              <w:spacing w:after="40"/>
            </w:pPr>
            <w:r>
              <w:rPr>
                <w:rFonts w:ascii="Arial" w:cs="Arial" w:eastAsia="Arial" w:hAnsi="Arial"/>
                <w:color w:val="C8D6E5"/>
                <w:spacing w:val="200"/>
                <w:sz w:val="18"/>
                <w:szCs w:val="18"/>
              </w:rPr>
              <w:t xml:space="preserve">STAGE 5</w:t>
            </w:r>
          </w:p>
          <w:p>
            <w:r>
              <w:rPr>
                <w:rFonts w:ascii="Arial" w:cs="Arial" w:eastAsia="Arial" w:hAnsi="Arial"/>
                <w:b/>
                <w:bCs/>
                <w:color w:val="FFFFFF"/>
                <w:sz w:val="40"/>
                <w:szCs w:val="40"/>
              </w:rPr>
              <w:t xml:space="preserve">ADVOCATE</w:t>
            </w:r>
          </w:p>
          <w:p>
            <w:r>
              <w:rPr>
                <w:rFonts w:ascii="Arial" w:cs="Arial" w:eastAsia="Arial" w:hAnsi="Arial"/>
                <w:color w:val="D5E8D4"/>
                <w:sz w:val="24"/>
                <w:szCs w:val="24"/>
              </w:rPr>
              <w:t xml:space="preserve">Turn Users into Your Growth Engine</w:t>
            </w:r>
          </w:p>
        </w:tc>
      </w:tr>
    </w:tbl>
    <w:p>
      <w:pPr>
        <w:spacing w:after="200"/>
      </w:pPr>
    </w:p>
    <w:p>
      <w:pPr>
        <w:spacing w:after="120"/>
      </w:pPr>
      <w:r>
        <w:rPr>
          <w:rFonts w:ascii="Arial" w:cs="Arial" w:eastAsia="Arial" w:hAnsi="Arial"/>
          <w:b/>
          <w:bCs/>
          <w:color w:val="2C3E50"/>
          <w:sz w:val="24"/>
          <w:szCs w:val="24"/>
        </w:rPr>
        <w:t xml:space="preserve">Quick-Reference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60"/>
        <w:gridCol w:w="1660"/>
        <w:gridCol w:w="1680"/>
      </w:tblGrid>
      <w:tr>
        <w:tc>
          <w:tcPr>
            <w:tcW w:type="dxa" w:w="4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Module</w:t>
            </w:r>
          </w:p>
        </w:tc>
        <w:tc>
          <w:tcPr>
            <w:tcW w:type="dxa" w:w="1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SaaS</w:t>
            </w:r>
          </w:p>
        </w:tc>
        <w:tc>
          <w:tcPr>
            <w:tcW w:type="dxa" w:w="1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Fintech</w:t>
            </w:r>
          </w:p>
        </w:tc>
        <w:tc>
          <w:tcPr>
            <w:tcW w:type="dxa" w:w="1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E-Com</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Tiered Referral Rewards</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User-Generated Testimonials</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Ambassador / VIP Program</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Employee Social Amplification (with tracking)</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Shareable Milestone Cards</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vAlign w:val="center"/>
          </w:tcPr>
          <w:p>
            <w:r>
              <w:rPr>
                <w:rFonts w:ascii="Arial" w:cs="Arial" w:eastAsia="Arial" w:hAnsi="Arial"/>
                <w:b/>
                <w:bCs/>
                <w:color w:val="2C3E50"/>
                <w:sz w:val="20"/>
                <w:szCs w:val="20"/>
              </w:rPr>
              <w:t xml:space="preserve">Review Prompt Orchestration</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r>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r>
              <w:rPr>
                <w:rFonts w:ascii="Arial" w:cs="Arial" w:eastAsia="Arial" w:hAnsi="Arial"/>
                <w:b/>
                <w:bCs/>
                <w:color w:val="2C3E50"/>
                <w:sz w:val="20"/>
                <w:szCs w:val="20"/>
              </w:rPr>
              <w:t xml:space="preserve">Social Proof Widgets</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6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c>
          <w:tcPr>
            <w:tcW w:type="dxa" w:w="1680"/>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4CAF50"/>
                <w:sz w:val="18"/>
                <w:szCs w:val="18"/>
              </w:rPr>
              <w:t xml:space="preserve">ENABLE</w:t>
            </w:r>
          </w:p>
        </w:tc>
      </w:tr>
    </w:tbl>
    <w:p>
      <w:pPr>
        <w:spacing w:after="300"/>
      </w:pPr>
    </w:p>
    <w:p>
      <w:pPr>
        <w:spacing w:after="120"/>
      </w:pPr>
      <w:r>
        <w:rPr>
          <w:rFonts w:ascii="Arial" w:cs="Arial" w:eastAsia="Arial" w:hAnsi="Arial"/>
          <w:b/>
          <w:bCs/>
          <w:color w:val="2C3E50"/>
          <w:sz w:val="24"/>
          <w:szCs w:val="24"/>
        </w:rPr>
        <w:t xml:space="preserve">Detailed Rationale</w:t>
      </w:r>
    </w:p>
    <w:p>
      <w:pPr>
        <w:pBdr>
          <w:bottom w:val="single" w:color="E0E0E0" w:sz="1" w:space="1"/>
        </w:pBdr>
        <w:spacing w:after="60" w:before="160"/>
      </w:pPr>
      <w:r>
        <w:rPr>
          <w:rFonts w:ascii="Arial" w:cs="Arial" w:eastAsia="Arial" w:hAnsi="Arial"/>
          <w:b/>
          <w:bCs/>
          <w:color w:val="7E57C2"/>
          <w:sz w:val="22"/>
          <w:szCs w:val="22"/>
        </w:rPr>
        <w:t xml:space="preserve">Tiered Referral Rewards</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Multi-level: “Refer 1 = X, Refer 5 = Y, Refer 10 = Z.” Groww’s escalating referral rewards (₹25 base, up to ₹10,000) drove massive growth. PayPal’s $20-then-$10-then-$5 referral cascade reached 100M users. Turns referrals from one-shot to ongoing game.</w:t>
      </w:r>
    </w:p>
    <w:p>
      <w:pPr>
        <w:pBdr>
          <w:bottom w:val="single" w:color="E0E0E0" w:sz="1" w:space="1"/>
        </w:pBdr>
        <w:spacing w:after="60" w:before="160"/>
      </w:pPr>
      <w:r>
        <w:rPr>
          <w:rFonts w:ascii="Arial" w:cs="Arial" w:eastAsia="Arial" w:hAnsi="Arial"/>
          <w:b/>
          <w:bCs/>
          <w:color w:val="7E57C2"/>
          <w:sz w:val="22"/>
          <w:szCs w:val="22"/>
        </w:rPr>
        <w:t xml:space="preserve">User-Generated Testimonials</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Prompt NPS 9-10 users to submit testimonials or video reviews. Auto-triggered by score. Feed into a social proof wall. E-commerce: Nykaa’s UGC reviews drive 40%+ of conversions. Myntra’s creator program has 3.5M shopper-creators.</w:t>
      </w:r>
    </w:p>
    <w:p>
      <w:pPr>
        <w:pBdr>
          <w:bottom w:val="single" w:color="E0E0E0" w:sz="1" w:space="1"/>
        </w:pBdr>
        <w:spacing w:after="60" w:before="160"/>
      </w:pPr>
      <w:r>
        <w:rPr>
          <w:rFonts w:ascii="Arial" w:cs="Arial" w:eastAsia="Arial" w:hAnsi="Arial"/>
          <w:b/>
          <w:bCs/>
          <w:color w:val="7E57C2"/>
          <w:sz w:val="22"/>
          <w:szCs w:val="22"/>
        </w:rPr>
        <w:t xml:space="preserve">Ambassador / VIP Program</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Identify top advocates and formalise with perks. Private community, early access, swag, revenue share. Notion Ambassadors, Figma Community Advocates, CRED’s invite-only model is inherently an ambassador play. E-commerce: Nykaa’s 10,000+ affiliate creators.</w:t>
      </w:r>
    </w:p>
    <w:p>
      <w:pPr>
        <w:pBdr>
          <w:bottom w:val="single" w:color="E0E0E0" w:sz="1" w:space="1"/>
        </w:pBdr>
        <w:spacing w:after="60" w:before="160"/>
      </w:pPr>
      <w:r>
        <w:rPr>
          <w:rFonts w:ascii="Arial" w:cs="Arial" w:eastAsia="Arial" w:hAnsi="Arial"/>
          <w:b/>
          <w:bCs/>
          <w:color w:val="7E57C2"/>
          <w:sz w:val="22"/>
          <w:szCs w:val="22"/>
        </w:rPr>
        <w:t xml:space="preserve">Employee Social Amplification (with tracking)</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Coordinated employee posting with individual tracking and leaderboards. Original #10 tool, but now with teeth: who shared, where, what clicks it drove. Universal for any company with 20+ employees. The missing piece in most growth stacks.</w:t>
      </w:r>
    </w:p>
    <w:p>
      <w:pPr>
        <w:pBdr>
          <w:bottom w:val="single" w:color="E0E0E0" w:sz="1" w:space="1"/>
        </w:pBdr>
        <w:spacing w:after="60" w:before="160"/>
      </w:pPr>
      <w:r>
        <w:rPr>
          <w:rFonts w:ascii="Arial" w:cs="Arial" w:eastAsia="Arial" w:hAnsi="Arial"/>
          <w:b/>
          <w:bCs/>
          <w:color w:val="7E57C2"/>
          <w:sz w:val="22"/>
          <w:szCs w:val="22"/>
        </w:rPr>
        <w:t xml:space="preserve">Shareable Milestone Cards</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Auto-generated branded cards at milestones. Spotify Wrapped is the gold standard. Zomato, Swiggy, Zerodha could all do “Your Year in [X].” E-commerce: “You saved ₹12,000 this year on Meesho.” Organic social content that markets itself.</w:t>
      </w:r>
    </w:p>
    <w:p>
      <w:pPr>
        <w:pBdr>
          <w:bottom w:val="single" w:color="E0E0E0" w:sz="1" w:space="1"/>
        </w:pBdr>
        <w:spacing w:after="60" w:before="160"/>
      </w:pPr>
      <w:r>
        <w:rPr>
          <w:rFonts w:ascii="Arial" w:cs="Arial" w:eastAsia="Arial" w:hAnsi="Arial"/>
          <w:b/>
          <w:bCs/>
          <w:color w:val="7E57C2"/>
          <w:sz w:val="22"/>
          <w:szCs w:val="22"/>
        </w:rPr>
        <w:t xml:space="preserve">Review Prompt Orchestration</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Trigger app store / G2 / Google review requests at the optimal moment. User just had a successful outcome + NPS ≥ 8 → ask for review. Not blanket — targeted, high-conversion. Zerodha’s 4.5-star rating is partly organic advocacy, partly well-timed asks.</w:t>
      </w:r>
    </w:p>
    <w:p>
      <w:pPr>
        <w:pBdr>
          <w:bottom w:val="single" w:color="E0E0E0" w:sz="1" w:space="1"/>
        </w:pBdr>
        <w:spacing w:after="60" w:before="160"/>
      </w:pPr>
      <w:r>
        <w:rPr>
          <w:rFonts w:ascii="Arial" w:cs="Arial" w:eastAsia="Arial" w:hAnsi="Arial"/>
          <w:b/>
          <w:bCs/>
          <w:color w:val="7E57C2"/>
          <w:sz w:val="22"/>
          <w:szCs w:val="22"/>
        </w:rPr>
        <w:t xml:space="preserve">Social Proof Widgets</w:t>
      </w:r>
    </w:p>
    <w:p>
      <w:pPr>
        <w:spacing w:after="40"/>
      </w:pPr>
      <w:r>
        <w:rPr>
          <w:rFonts w:ascii="Arial" w:cs="Arial" w:eastAsia="Arial" w:hAnsi="Arial"/>
          <w:b/>
          <w:bCs/>
          <w:color w:val="4CAF50"/>
          <w:sz w:val="20"/>
          <w:szCs w:val="20"/>
        </w:rPr>
        <w:t xml:space="preserve">SaaS: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Fintech: </w:t>
      </w:r>
      <w:r>
        <w:rPr>
          <w:rFonts w:ascii="Arial" w:cs="Arial" w:eastAsia="Arial" w:hAnsi="Arial"/>
          <w:b/>
          <w:bCs/>
          <w:color w:val="4CAF50"/>
          <w:sz w:val="20"/>
          <w:szCs w:val="20"/>
        </w:rPr>
        <w:t xml:space="preserve">ENABLE</w:t>
      </w:r>
      <w:r>
        <w:rPr>
          <w:rFonts w:ascii="Arial" w:cs="Arial" w:eastAsia="Arial" w:hAnsi="Arial"/>
          <w:b/>
          <w:bCs/>
          <w:color w:val="4CAF50"/>
          <w:sz w:val="20"/>
          <w:szCs w:val="20"/>
        </w:rPr>
        <w:t xml:space="preserve">  |  E-Commerce: </w:t>
      </w:r>
      <w:r>
        <w:rPr>
          <w:rFonts w:ascii="Arial" w:cs="Arial" w:eastAsia="Arial" w:hAnsi="Arial"/>
          <w:b/>
          <w:bCs/>
          <w:color w:val="4CAF50"/>
          <w:sz w:val="20"/>
          <w:szCs w:val="20"/>
        </w:rPr>
        <w:t xml:space="preserve">ENABLE</w:t>
      </w:r>
    </w:p>
    <w:p>
      <w:pPr>
        <w:spacing w:after="160" w:before="0"/>
      </w:pPr>
      <w:r>
        <w:rPr>
          <w:rFonts w:ascii="Arial" w:cs="Arial" w:eastAsia="Arial" w:hAnsi="Arial"/>
          <w:color w:val="2C3E50"/>
          <w:sz w:val="20"/>
          <w:szCs w:val="20"/>
        </w:rPr>
        <w:t xml:space="preserve">“427 people signed up today.” “Used by teams at Google, Flipkart, Razorpay.” Real-time, data-backed social proof drawn from the contact graph. Not static logos — dynamic numbers that grow as the product grows.</w:t>
      </w:r>
    </w:p>
    <w:p>
      <w:r>
        <w:br w:type="page"/>
      </w:r>
    </w:p>
    <w:p>
      <w:pPr>
        <w:pStyle w:val="Heading1"/>
      </w:pPr>
      <w:r>
        <w:t xml:space="preserve">Cross-Cutting Platform Capabilities</w:t>
      </w:r>
    </w:p>
    <w:p>
      <w:pPr>
        <w:spacing w:after="80"/>
      </w:pPr>
    </w:p>
    <w:p>
      <w:pPr>
        <w:spacing w:after="160" w:before="0"/>
      </w:pPr>
      <w:r>
        <w:rPr>
          <w:rFonts w:ascii="Arial" w:cs="Arial" w:eastAsia="Arial" w:hAnsi="Arial"/>
          <w:color w:val="2C3E50"/>
          <w:sz w:val="22"/>
          <w:szCs w:val="22"/>
        </w:rPr>
        <w:t xml:space="preserve">These are not modules — they are platform-level capabilities that make every module smarter. They should be enabled universally regardless of vertical.</w:t>
      </w:r>
    </w:p>
    <w:p>
      <w:pPr>
        <w:spacing w:after="120"/>
      </w:pPr>
    </w:p>
    <w:p>
      <w:pPr>
        <w:spacing w:after="60" w:before="160"/>
      </w:pPr>
      <w:r>
        <w:rPr>
          <w:rFonts w:ascii="Arial" w:cs="Arial" w:eastAsia="Arial" w:hAnsi="Arial"/>
          <w:b/>
          <w:bCs/>
          <w:color w:val="1B2A4A"/>
          <w:sz w:val="22"/>
          <w:szCs w:val="22"/>
        </w:rPr>
        <w:t xml:space="preserve">Unified Contact Graph</w:t>
      </w:r>
    </w:p>
    <w:p>
      <w:pPr>
        <w:spacing w:after="160" w:before="0"/>
      </w:pPr>
      <w:r>
        <w:rPr>
          <w:rFonts w:ascii="Arial" w:cs="Arial" w:eastAsia="Arial" w:hAnsi="Arial"/>
          <w:color w:val="2C3E50"/>
          <w:sz w:val="20"/>
          <w:szCs w:val="20"/>
        </w:rPr>
        <w:t xml:space="preserve">Every touchpoint (email, phone, WhatsApp ID, app user ID) resolves to a single contact record. This is the spine of the platform. Without it, a user who downloaded a report, joined a waitlist, and referred a friend looks like three different people.</w:t>
      </w:r>
    </w:p>
    <w:p>
      <w:pPr>
        <w:spacing w:after="60" w:before="160"/>
      </w:pPr>
      <w:r>
        <w:rPr>
          <w:rFonts w:ascii="Arial" w:cs="Arial" w:eastAsia="Arial" w:hAnsi="Arial"/>
          <w:b/>
          <w:bCs/>
          <w:color w:val="1B2A4A"/>
          <w:sz w:val="22"/>
          <w:szCs w:val="22"/>
        </w:rPr>
        <w:t xml:space="preserve">Segment Builder</w:t>
      </w:r>
    </w:p>
    <w:p>
      <w:pPr>
        <w:spacing w:after="160" w:before="0"/>
      </w:pPr>
      <w:r>
        <w:rPr>
          <w:rFonts w:ascii="Arial" w:cs="Arial" w:eastAsia="Arial" w:hAnsi="Arial"/>
          <w:color w:val="2C3E50"/>
          <w:sz w:val="20"/>
          <w:szCs w:val="20"/>
        </w:rPr>
        <w:t xml:space="preserve">Visual rule-based segmentation. Example: “Users who downloaded Report X AND are on the waitlist AND have referred ≥1 person AND NPS ≥8.” Any module can target any segment.</w:t>
      </w:r>
    </w:p>
    <w:p>
      <w:pPr>
        <w:spacing w:after="60" w:before="160"/>
      </w:pPr>
      <w:r>
        <w:rPr>
          <w:rFonts w:ascii="Arial" w:cs="Arial" w:eastAsia="Arial" w:hAnsi="Arial"/>
          <w:b/>
          <w:bCs/>
          <w:color w:val="1B2A4A"/>
          <w:sz w:val="22"/>
          <w:szCs w:val="22"/>
        </w:rPr>
        <w:t xml:space="preserve">Journey Builder / Campaign Orchestrator</w:t>
      </w:r>
    </w:p>
    <w:p>
      <w:pPr>
        <w:spacing w:after="160" w:before="0"/>
      </w:pPr>
      <w:r>
        <w:rPr>
          <w:rFonts w:ascii="Arial" w:cs="Arial" w:eastAsia="Arial" w:hAnsi="Arial"/>
          <w:color w:val="2C3E50"/>
          <w:sz w:val="20"/>
          <w:szCs w:val="20"/>
        </w:rPr>
        <w:t xml:space="preserve">Visual canvas to chain modules into multi-step flows. “Lead Magnet Download → Wait 2 days → Welcome Email → If opened, invite to Webinar → If attended, prompt Referral → If referred 3+, invite to Ambassador Program.” This is where interoperability becomes visible and tangible.</w:t>
      </w:r>
    </w:p>
    <w:p>
      <w:pPr>
        <w:spacing w:after="60" w:before="160"/>
      </w:pPr>
      <w:r>
        <w:rPr>
          <w:rFonts w:ascii="Arial" w:cs="Arial" w:eastAsia="Arial" w:hAnsi="Arial"/>
          <w:b/>
          <w:bCs/>
          <w:color w:val="1B2A4A"/>
          <w:sz w:val="22"/>
          <w:szCs w:val="22"/>
        </w:rPr>
        <w:t xml:space="preserve">Unified Contact Scoring</w:t>
      </w:r>
    </w:p>
    <w:p>
      <w:pPr>
        <w:spacing w:after="160" w:before="0"/>
      </w:pPr>
      <w:r>
        <w:rPr>
          <w:rFonts w:ascii="Arial" w:cs="Arial" w:eastAsia="Arial" w:hAnsi="Arial"/>
          <w:color w:val="2C3E50"/>
          <w:sz w:val="20"/>
          <w:szCs w:val="20"/>
        </w:rPr>
        <w:t xml:space="preserve">Every event from every module contributes to a single engagement/intent score per contact. Referral engine targets high-score users. Survey module skips low-score users. Upgrade prompts hit peak-engagement users.</w:t>
      </w:r>
    </w:p>
    <w:p>
      <w:pPr>
        <w:spacing w:after="60" w:before="160"/>
      </w:pPr>
      <w:r>
        <w:rPr>
          <w:rFonts w:ascii="Arial" w:cs="Arial" w:eastAsia="Arial" w:hAnsi="Arial"/>
          <w:b/>
          <w:bCs/>
          <w:color w:val="1B2A4A"/>
          <w:sz w:val="22"/>
          <w:szCs w:val="22"/>
        </w:rPr>
        <w:t xml:space="preserve">A/B Testing Framework</w:t>
      </w:r>
    </w:p>
    <w:p>
      <w:pPr>
        <w:spacing w:after="160" w:before="0"/>
      </w:pPr>
      <w:r>
        <w:rPr>
          <w:rFonts w:ascii="Arial" w:cs="Arial" w:eastAsia="Arial" w:hAnsi="Arial"/>
          <w:color w:val="2C3E50"/>
          <w:sz w:val="20"/>
          <w:szCs w:val="20"/>
        </w:rPr>
        <w:t xml:space="preserve">Any module’s output can be A/B tested — email subjects, referral rewards, waitlist messaging, survey wording, landing page variants. Results feed a centralised experiment dashboard.</w:t>
      </w:r>
    </w:p>
    <w:p>
      <w:pPr>
        <w:spacing w:after="60" w:before="160"/>
      </w:pPr>
      <w:r>
        <w:rPr>
          <w:rFonts w:ascii="Arial" w:cs="Arial" w:eastAsia="Arial" w:hAnsi="Arial"/>
          <w:b/>
          <w:bCs/>
          <w:color w:val="1B2A4A"/>
          <w:sz w:val="22"/>
          <w:szCs w:val="22"/>
        </w:rPr>
        <w:t xml:space="preserve">Cohort Analytics</w:t>
      </w:r>
    </w:p>
    <w:p>
      <w:pPr>
        <w:spacing w:after="160" w:before="0"/>
      </w:pPr>
      <w:r>
        <w:rPr>
          <w:rFonts w:ascii="Arial" w:cs="Arial" w:eastAsia="Arial" w:hAnsi="Arial"/>
          <w:color w:val="2C3E50"/>
          <w:sz w:val="20"/>
          <w:szCs w:val="20"/>
        </w:rPr>
        <w:t xml:space="preserve">“Users acquired via referral in January — what’s their Day 30 retention vs. paid ads?” Cuts across all modules because all data lives in one event stream.</w:t>
      </w:r>
    </w:p>
    <w:p>
      <w:pPr>
        <w:spacing w:after="60" w:before="160"/>
      </w:pPr>
      <w:r>
        <w:rPr>
          <w:rFonts w:ascii="Arial" w:cs="Arial" w:eastAsia="Arial" w:hAnsi="Arial"/>
          <w:b/>
          <w:bCs/>
          <w:color w:val="1B2A4A"/>
          <w:sz w:val="22"/>
          <w:szCs w:val="22"/>
        </w:rPr>
        <w:t xml:space="preserve">Multi-Channel Comms Engine</w:t>
      </w:r>
    </w:p>
    <w:p>
      <w:pPr>
        <w:spacing w:after="160" w:before="0"/>
      </w:pPr>
      <w:r>
        <w:rPr>
          <w:rFonts w:ascii="Arial" w:cs="Arial" w:eastAsia="Arial" w:hAnsi="Arial"/>
          <w:color w:val="2C3E50"/>
          <w:sz w:val="20"/>
          <w:szCs w:val="20"/>
        </w:rPr>
        <w:t xml:space="preserve">One API internally; adapters for email (SES, Postmark), WhatsApp (Gupshup), SMS, and push underneath. Modules never talk to channels directly. Ensures deliverability, compliance, and suppression across all touchpoints.</w:t>
      </w:r>
    </w:p>
    <w:p>
      <w:pPr>
        <w:spacing w:after="60" w:before="160"/>
      </w:pPr>
      <w:r>
        <w:rPr>
          <w:rFonts w:ascii="Arial" w:cs="Arial" w:eastAsia="Arial" w:hAnsi="Arial"/>
          <w:b/>
          <w:bCs/>
          <w:color w:val="1B2A4A"/>
          <w:sz w:val="22"/>
          <w:szCs w:val="22"/>
        </w:rPr>
        <w:t xml:space="preserve">AI Layer (Future)</w:t>
      </w:r>
    </w:p>
    <w:p>
      <w:pPr>
        <w:spacing w:after="160" w:before="0"/>
      </w:pPr>
      <w:r>
        <w:rPr>
          <w:rFonts w:ascii="Arial" w:cs="Arial" w:eastAsia="Arial" w:hAnsi="Arial"/>
          <w:color w:val="2C3E50"/>
          <w:sz w:val="20"/>
          <w:szCs w:val="20"/>
        </w:rPr>
        <w:t xml:space="preserve">Once you have the unified event stream and contact graph: auto-suggest optimal send times per contact, predict churn before it happens, auto-generate campaign copy, recommend which module to deploy next based on the tenant’s growth bottleneck.</w:t>
      </w:r>
    </w:p>
    <w:p>
      <w:r>
        <w:br w:type="page"/>
      </w:r>
    </w:p>
    <w:p>
      <w:pPr>
        <w:pStyle w:val="Heading1"/>
      </w:pPr>
      <w:r>
        <w:t xml:space="preserve">The Interoperability Power — Concrete Examples</w:t>
      </w:r>
    </w:p>
    <w:p>
      <w:pPr>
        <w:spacing w:after="80"/>
      </w:pPr>
    </w:p>
    <w:p>
      <w:pPr>
        <w:spacing w:after="160" w:before="0"/>
      </w:pPr>
      <w:r>
        <w:rPr>
          <w:rFonts w:ascii="Arial" w:cs="Arial" w:eastAsia="Arial" w:hAnsi="Arial"/>
          <w:color w:val="2C3E50"/>
          <w:sz w:val="22"/>
          <w:szCs w:val="22"/>
        </w:rPr>
        <w:t xml:space="preserve">These workflows are impossible with siloed tools but trivial with GrowthOS. Each example shows how modules chain together to create value that no single tool can deliver.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0E918C" w:val="clear"/>
          </w:tcPr>
          <w:p/>
        </w:tc>
        <w:tc>
          <w:tcPr>
            <w:tcW w:type="dxa" w:w="9280"/>
            <w:tcBorders>
              <w:top w:val="none" w:color="FFFFFF" w:sz="0"/>
              <w:left w:val="none" w:color="FFFFFF" w:sz="0"/>
              <w:bottom w:val="none" w:color="FFFFFF" w:sz="0"/>
              <w:right w:val="none" w:color="FFFFFF" w:sz="0"/>
            </w:tcBorders>
            <w:shd w:fill="E0F7FA" w:val="clear"/>
            <w:tcMar>
              <w:top w:type="dxa" w:w="100"/>
              <w:left w:type="dxa" w:w="160"/>
              <w:bottom w:type="dxa" w:w="100"/>
              <w:right w:type="dxa" w:w="160"/>
            </w:tcMar>
          </w:tcPr>
          <w:p>
            <w:pPr>
              <w:spacing w:after="80"/>
            </w:pPr>
            <w:r>
              <w:rPr>
                <w:rFonts w:ascii="Arial" w:cs="Arial" w:eastAsia="Arial" w:hAnsi="Arial"/>
                <w:b/>
                <w:bCs/>
                <w:color w:val="0E918C"/>
                <w:sz w:val="22"/>
                <w:szCs w:val="22"/>
              </w:rPr>
              <w:t xml:space="preserve">Auto-Advocate Selection (Fintech)</w:t>
            </w:r>
          </w:p>
          <w:p>
            <w:r>
              <w:rPr>
                <w:rFonts w:ascii="Arial" w:cs="Arial" w:eastAsia="Arial" w:hAnsi="Arial"/>
                <w:color w:val="2C3E50"/>
                <w:sz w:val="20"/>
                <w:szCs w:val="20"/>
              </w:rPr>
              <w:t xml:space="preserve">Referral module identifies top 20 referrers → Advocacy module auto-invites them to the next social amplification campaign → tracks their individual performance → feeds results into a leaderboard. Groww or Zerodha could identify which users have the most influence and channel that into coordinated campaigns.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Pr>
          <w:p/>
        </w:tc>
        <w:tc>
          <w:tcPr>
            <w:tcW w:type="dxa" w:w="9280"/>
            <w:tcBorders>
              <w:top w:val="none" w:color="FFFFFF" w:sz="0"/>
              <w:left w:val="none" w:color="FFFFFF" w:sz="0"/>
              <w:bottom w:val="none" w:color="FFFFFF" w:sz="0"/>
              <w:right w:val="none" w:color="FFFFFF" w:sz="0"/>
            </w:tcBorders>
            <w:shd w:fill="E3F2FD" w:val="clear"/>
            <w:tcMar>
              <w:top w:type="dxa" w:w="100"/>
              <w:left w:type="dxa" w:w="160"/>
              <w:bottom w:type="dxa" w:w="100"/>
              <w:right w:type="dxa" w:w="160"/>
            </w:tcMar>
          </w:tcPr>
          <w:p>
            <w:pPr>
              <w:spacing w:after="80"/>
            </w:pPr>
            <w:r>
              <w:rPr>
                <w:rFonts w:ascii="Arial" w:cs="Arial" w:eastAsia="Arial" w:hAnsi="Arial"/>
                <w:b/>
                <w:bCs/>
                <w:color w:val="2E75B6"/>
                <w:sz w:val="22"/>
                <w:szCs w:val="22"/>
              </w:rPr>
              <w:t xml:space="preserve">Intent-to-Conversion Pipeline (SaaS)</w:t>
            </w:r>
          </w:p>
          <w:p>
            <w:r>
              <w:rPr>
                <w:rFonts w:ascii="Arial" w:cs="Arial" w:eastAsia="Arial" w:hAnsi="Arial"/>
                <w:color w:val="2C3E50"/>
                <w:sz w:val="20"/>
                <w:szCs w:val="20"/>
              </w:rPr>
              <w:t xml:space="preserve">Lead Magnet download (report X) → auto-add to waitlist for related feature → on feature launch, send WhatsApp notification → if they activate, trigger NPS survey at Day 7 → if NPS ≥9, auto-enrol in referral program. A single event cascade that turns a cold lead into an advocate.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E74C3C" w:val="clear"/>
          </w:tcPr>
          <w:p/>
        </w:tc>
        <w:tc>
          <w:tcPr>
            <w:tcW w:type="dxa" w:w="9280"/>
            <w:tcBorders>
              <w:top w:val="none" w:color="FFFFFF" w:sz="0"/>
              <w:left w:val="none" w:color="FFFFFF" w:sz="0"/>
              <w:bottom w:val="none" w:color="FFFFFF" w:sz="0"/>
              <w:right w:val="none" w:color="FFFFFF" w:sz="0"/>
            </w:tcBorders>
            <w:shd w:fill="FFEBEE" w:val="clear"/>
            <w:tcMar>
              <w:top w:type="dxa" w:w="100"/>
              <w:left w:type="dxa" w:w="160"/>
              <w:bottom w:type="dxa" w:w="100"/>
              <w:right w:type="dxa" w:w="160"/>
            </w:tcMar>
          </w:tcPr>
          <w:p>
            <w:pPr>
              <w:spacing w:after="80"/>
            </w:pPr>
            <w:r>
              <w:rPr>
                <w:rFonts w:ascii="Arial" w:cs="Arial" w:eastAsia="Arial" w:hAnsi="Arial"/>
                <w:b/>
                <w:bCs/>
                <w:color w:val="E74C3C"/>
                <w:sz w:val="22"/>
                <w:szCs w:val="22"/>
              </w:rPr>
              <w:t xml:space="preserve">Churn Interception (Universal)</w:t>
            </w:r>
          </w:p>
          <w:p>
            <w:r>
              <w:rPr>
                <w:rFonts w:ascii="Arial" w:cs="Arial" w:eastAsia="Arial" w:hAnsi="Arial"/>
                <w:color w:val="2C3E50"/>
                <w:sz w:val="20"/>
                <w:szCs w:val="20"/>
              </w:rPr>
              <w:t xml:space="preserve">NPS survey returns score of 4 → orchestrator creates segment “at-risk” → triggers personalised email from the founder → if no response in 48 hours, escalates to Slack alert for CS team → if still no response, triggers win-back coupon via WhatsApp.</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7E57C2" w:val="clear"/>
          </w:tcPr>
          <w:p/>
        </w:tc>
        <w:tc>
          <w:tcPr>
            <w:tcW w:type="dxa" w:w="9280"/>
            <w:tcBorders>
              <w:top w:val="none" w:color="FFFFFF" w:sz="0"/>
              <w:left w:val="none" w:color="FFFFFF" w:sz="0"/>
              <w:bottom w:val="none" w:color="FFFFFF" w:sz="0"/>
              <w:right w:val="none" w:color="FFFFFF" w:sz="0"/>
            </w:tcBorders>
            <w:shd w:fill="F3E5F5" w:val="clear"/>
            <w:tcMar>
              <w:top w:type="dxa" w:w="100"/>
              <w:left w:type="dxa" w:w="160"/>
              <w:bottom w:type="dxa" w:w="100"/>
              <w:right w:type="dxa" w:w="160"/>
            </w:tcMar>
          </w:tcPr>
          <w:p>
            <w:pPr>
              <w:spacing w:after="80"/>
            </w:pPr>
            <w:r>
              <w:rPr>
                <w:rFonts w:ascii="Arial" w:cs="Arial" w:eastAsia="Arial" w:hAnsi="Arial"/>
                <w:b/>
                <w:bCs/>
                <w:color w:val="7E57C2"/>
                <w:sz w:val="22"/>
                <w:szCs w:val="22"/>
              </w:rPr>
              <w:t xml:space="preserve">Network-Aware Referrals (Fintech / Social Commerce)</w:t>
            </w:r>
          </w:p>
          <w:p>
            <w:r>
              <w:rPr>
                <w:rFonts w:ascii="Arial" w:cs="Arial" w:eastAsia="Arial" w:hAnsi="Arial"/>
                <w:color w:val="2C3E50"/>
                <w:sz w:val="20"/>
                <w:szCs w:val="20"/>
              </w:rPr>
              <w:t xml:space="preserve">Contact Sync identifies that User A has 12 contacts not yet on platform but matching ICP → Referral module generates personalised invite → tracks which of those 12 convert → awards tiered rewards. CRED and Meesho already leverage contact graphs; this makes it automated and measurable.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F4845F" w:val="clear"/>
          </w:tcPr>
          <w:p/>
        </w:tc>
        <w:tc>
          <w:tcPr>
            <w:tcW w:type="dxa" w:w="9280"/>
            <w:tcBorders>
              <w:top w:val="none" w:color="FFFFFF" w:sz="0"/>
              <w:left w:val="none" w:color="FFFFFF" w:sz="0"/>
              <w:bottom w:val="none" w:color="FFFFFF" w:sz="0"/>
              <w:right w:val="none" w:color="FFFFFF" w:sz="0"/>
            </w:tcBorders>
            <w:shd w:fill="FFF3E0" w:val="clear"/>
            <w:tcMar>
              <w:top w:type="dxa" w:w="100"/>
              <w:left w:type="dxa" w:w="160"/>
              <w:bottom w:type="dxa" w:w="100"/>
              <w:right w:type="dxa" w:w="160"/>
            </w:tcMar>
          </w:tcPr>
          <w:p>
            <w:pPr>
              <w:spacing w:after="80"/>
            </w:pPr>
            <w:r>
              <w:rPr>
                <w:rFonts w:ascii="Arial" w:cs="Arial" w:eastAsia="Arial" w:hAnsi="Arial"/>
                <w:b/>
                <w:bCs/>
                <w:color w:val="F4845F"/>
                <w:sz w:val="22"/>
                <w:szCs w:val="22"/>
              </w:rPr>
              <w:t xml:space="preserve">Creator-Led Social Proof Loop (E-Commerce)</w:t>
            </w:r>
          </w:p>
          <w:p>
            <w:r>
              <w:rPr>
                <w:rFonts w:ascii="Arial" w:cs="Arial" w:eastAsia="Arial" w:hAnsi="Arial"/>
                <w:color w:val="2C3E50"/>
                <w:sz w:val="20"/>
                <w:szCs w:val="20"/>
              </w:rPr>
              <w:t xml:space="preserve">Purchase completed → Post-purchase email asks for photo review → if submitted, award loyalty points → auto-add photo to product page social proof widget → creator gets a shareable milestone card (“Your review helped 200 buyers!”) → card shared on Instagram drives new traffic. Nykaa and Myntra are already doing parts of this manually.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4CAF50" w:val="clear"/>
          </w:tcPr>
          <w:p/>
        </w:tc>
        <w:tc>
          <w:tcPr>
            <w:tcW w:type="dxa" w:w="928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pPr>
              <w:spacing w:after="80"/>
            </w:pPr>
            <w:r>
              <w:rPr>
                <w:rFonts w:ascii="Arial" w:cs="Arial" w:eastAsia="Arial" w:hAnsi="Arial"/>
                <w:b/>
                <w:bCs/>
                <w:color w:val="4CAF50"/>
                <w:sz w:val="22"/>
                <w:szCs w:val="22"/>
              </w:rPr>
              <w:t xml:space="preserve">Spotify Wrapped for Any Product (Universal)</w:t>
            </w:r>
          </w:p>
          <w:p>
            <w:r>
              <w:rPr>
                <w:rFonts w:ascii="Arial" w:cs="Arial" w:eastAsia="Arial" w:hAnsi="Arial"/>
                <w:color w:val="2C3E50"/>
                <w:sz w:val="20"/>
                <w:szCs w:val="20"/>
              </w:rPr>
              <w:t xml:space="preserve">Platform collects all user events across modules over a year → at year-end, auto-generates personalised recap cards: “You invested in 47 stocks across 8 sectors” (fintech) or “You saved ₹12,000 across 23 orders” (e-commerce) or “You shipped 156 features using our platform” (SaaS) → shareable cards drive organic social acquisition. Spotify saw a 21% spike in app downloads during Wrapped.</w:t>
            </w:r>
          </w:p>
        </w:tc>
      </w:tr>
    </w:tbl>
    <w:p>
      <w:pPr>
        <w:spacing w:after="160"/>
      </w:pPr>
    </w:p>
    <w:p>
      <w:r>
        <w:br w:type="page"/>
      </w:r>
    </w:p>
    <w:p>
      <w:pPr>
        <w:pStyle w:val="Heading1"/>
      </w:pPr>
      <w:r>
        <w:t xml:space="preserve">Getting Started: Recommended Phase 1 Modules by Vertical</w:t>
      </w:r>
    </w:p>
    <w:p>
      <w:pPr>
        <w:spacing w:after="80"/>
      </w:pPr>
    </w:p>
    <w:p>
      <w:pPr>
        <w:spacing w:after="160" w:before="0"/>
      </w:pPr>
      <w:r>
        <w:rPr>
          <w:rFonts w:ascii="Arial" w:cs="Arial" w:eastAsia="Arial" w:hAnsi="Arial"/>
          <w:color w:val="2C3E50"/>
          <w:sz w:val="22"/>
          <w:szCs w:val="22"/>
        </w:rPr>
        <w:t xml:space="preserve">You cannot build all 35+ modules at once. Here is what to ship first, based on vertical, to maximise early value and prove interoperability.</w:t>
      </w:r>
    </w:p>
    <w:p>
      <w:pPr>
        <w:spacing w:after="160"/>
      </w:pPr>
    </w:p>
    <w:p>
      <w:pPr>
        <w:spacing w:after="100"/>
      </w:pPr>
      <w:r>
        <w:rPr>
          <w:rFonts w:ascii="Arial" w:cs="Arial" w:eastAsia="Arial" w:hAnsi="Arial"/>
          <w:b/>
          <w:bCs/>
          <w:color w:val="2E75B6"/>
          <w:sz w:val="24"/>
          <w:szCs w:val="24"/>
        </w:rPr>
        <w:t xml:space="preserve">SaaS (B2B &amp; B2C)</w:t>
      </w:r>
    </w:p>
    <w:p>
      <w:pPr>
        <w:spacing w:after="80"/>
        <w:ind w:left="360"/>
      </w:pPr>
      <w:r>
        <w:rPr>
          <w:rFonts w:ascii="Arial" w:cs="Arial" w:eastAsia="Arial" w:hAnsi="Arial"/>
          <w:color w:val="2E75B6"/>
          <w:sz w:val="20"/>
          <w:szCs w:val="20"/>
        </w:rPr>
        <w:t xml:space="preserve">• </w:t>
      </w:r>
      <w:r>
        <w:rPr>
          <w:rFonts w:ascii="Arial" w:cs="Arial" w:eastAsia="Arial" w:hAnsi="Arial"/>
          <w:b/>
          <w:bCs/>
          <w:color w:val="2C3E50"/>
          <w:sz w:val="20"/>
          <w:szCs w:val="20"/>
        </w:rPr>
        <w:t xml:space="preserve">Lead Magnets + Smart Landing Pages</w:t>
      </w:r>
      <w:r>
        <w:rPr>
          <w:rFonts w:ascii="Arial" w:cs="Arial" w:eastAsia="Arial" w:hAnsi="Arial"/>
          <w:color w:val="5D6D7E"/>
          <w:sz w:val="20"/>
          <w:szCs w:val="20"/>
        </w:rPr>
        <w:t xml:space="preserve"> — Acquisition engine with attribution tracking</w:t>
      </w:r>
    </w:p>
    <w:p>
      <w:pPr>
        <w:spacing w:after="80"/>
        <w:ind w:left="360"/>
      </w:pPr>
      <w:r>
        <w:rPr>
          <w:rFonts w:ascii="Arial" w:cs="Arial" w:eastAsia="Arial" w:hAnsi="Arial"/>
          <w:color w:val="2E75B6"/>
          <w:sz w:val="20"/>
          <w:szCs w:val="20"/>
        </w:rPr>
        <w:t xml:space="preserve">• </w:t>
      </w:r>
      <w:r>
        <w:rPr>
          <w:rFonts w:ascii="Arial" w:cs="Arial" w:eastAsia="Arial" w:hAnsi="Arial"/>
          <w:b/>
          <w:bCs/>
          <w:color w:val="2C3E50"/>
          <w:sz w:val="20"/>
          <w:szCs w:val="20"/>
        </w:rPr>
        <w:t xml:space="preserve">Personalised Welcome Sequences</w:t>
      </w:r>
      <w:r>
        <w:rPr>
          <w:rFonts w:ascii="Arial" w:cs="Arial" w:eastAsia="Arial" w:hAnsi="Arial"/>
          <w:color w:val="5D6D7E"/>
          <w:sz w:val="20"/>
          <w:szCs w:val="20"/>
        </w:rPr>
        <w:t xml:space="preserve"> — Activation — reduce time-to-value</w:t>
      </w:r>
    </w:p>
    <w:p>
      <w:pPr>
        <w:spacing w:after="80"/>
        <w:ind w:left="360"/>
      </w:pPr>
      <w:r>
        <w:rPr>
          <w:rFonts w:ascii="Arial" w:cs="Arial" w:eastAsia="Arial" w:hAnsi="Arial"/>
          <w:color w:val="2E75B6"/>
          <w:sz w:val="20"/>
          <w:szCs w:val="20"/>
        </w:rPr>
        <w:t xml:space="preserve">• </w:t>
      </w:r>
      <w:r>
        <w:rPr>
          <w:rFonts w:ascii="Arial" w:cs="Arial" w:eastAsia="Arial" w:hAnsi="Arial"/>
          <w:b/>
          <w:bCs/>
          <w:color w:val="2C3E50"/>
          <w:sz w:val="20"/>
          <w:szCs w:val="20"/>
        </w:rPr>
        <w:t xml:space="preserve">Feature Gates + Upgrade Prompts</w:t>
      </w:r>
      <w:r>
        <w:rPr>
          <w:rFonts w:ascii="Arial" w:cs="Arial" w:eastAsia="Arial" w:hAnsi="Arial"/>
          <w:color w:val="5D6D7E"/>
          <w:sz w:val="20"/>
          <w:szCs w:val="20"/>
        </w:rPr>
        <w:t xml:space="preserve"> — Monetisation — convert free to paid</w:t>
      </w:r>
    </w:p>
    <w:p>
      <w:pPr>
        <w:spacing w:after="80"/>
        <w:ind w:left="360"/>
      </w:pPr>
      <w:r>
        <w:rPr>
          <w:rFonts w:ascii="Arial" w:cs="Arial" w:eastAsia="Arial" w:hAnsi="Arial"/>
          <w:color w:val="2E75B6"/>
          <w:sz w:val="20"/>
          <w:szCs w:val="20"/>
        </w:rPr>
        <w:t xml:space="preserve">• </w:t>
      </w:r>
      <w:r>
        <w:rPr>
          <w:rFonts w:ascii="Arial" w:cs="Arial" w:eastAsia="Arial" w:hAnsi="Arial"/>
          <w:b/>
          <w:bCs/>
          <w:color w:val="2C3E50"/>
          <w:sz w:val="20"/>
          <w:szCs w:val="20"/>
        </w:rPr>
        <w:t xml:space="preserve">Tiered Referrals</w:t>
      </w:r>
      <w:r>
        <w:rPr>
          <w:rFonts w:ascii="Arial" w:cs="Arial" w:eastAsia="Arial" w:hAnsi="Arial"/>
          <w:color w:val="5D6D7E"/>
          <w:sz w:val="20"/>
          <w:szCs w:val="20"/>
        </w:rPr>
        <w:t xml:space="preserve"> — Advocacy — close the loop</w:t>
      </w:r>
    </w:p>
    <w:p>
      <w:pPr>
        <w:spacing w:after="160"/>
      </w:pPr>
    </w:p>
    <w:p>
      <w:pPr>
        <w:spacing w:after="100"/>
      </w:pPr>
      <w:r>
        <w:rPr>
          <w:rFonts w:ascii="Arial" w:cs="Arial" w:eastAsia="Arial" w:hAnsi="Arial"/>
          <w:b/>
          <w:bCs/>
          <w:color w:val="0E918C"/>
          <w:sz w:val="24"/>
          <w:szCs w:val="24"/>
        </w:rPr>
        <w:t xml:space="preserve">Fintech</w:t>
      </w:r>
    </w:p>
    <w:p>
      <w:pPr>
        <w:spacing w:after="80"/>
        <w:ind w:left="360"/>
      </w:pPr>
      <w:r>
        <w:rPr>
          <w:rFonts w:ascii="Arial" w:cs="Arial" w:eastAsia="Arial" w:hAnsi="Arial"/>
          <w:color w:val="0E918C"/>
          <w:sz w:val="20"/>
          <w:szCs w:val="20"/>
        </w:rPr>
        <w:t xml:space="preserve">• </w:t>
      </w:r>
      <w:r>
        <w:rPr>
          <w:rFonts w:ascii="Arial" w:cs="Arial" w:eastAsia="Arial" w:hAnsi="Arial"/>
          <w:b/>
          <w:bCs/>
          <w:color w:val="2C3E50"/>
          <w:sz w:val="20"/>
          <w:szCs w:val="20"/>
        </w:rPr>
        <w:t xml:space="preserve">Referral Engine with Tiered Rewards</w:t>
      </w:r>
      <w:r>
        <w:rPr>
          <w:rFonts w:ascii="Arial" w:cs="Arial" w:eastAsia="Arial" w:hAnsi="Arial"/>
          <w:color w:val="5D6D7E"/>
          <w:sz w:val="20"/>
          <w:szCs w:val="20"/>
        </w:rPr>
        <w:t xml:space="preserve"> — Primary acquisition driver (proven by Groww, CRED, PayPal)</w:t>
      </w:r>
    </w:p>
    <w:p>
      <w:pPr>
        <w:spacing w:after="80"/>
        <w:ind w:left="360"/>
      </w:pPr>
      <w:r>
        <w:rPr>
          <w:rFonts w:ascii="Arial" w:cs="Arial" w:eastAsia="Arial" w:hAnsi="Arial"/>
          <w:color w:val="0E918C"/>
          <w:sz w:val="20"/>
          <w:szCs w:val="20"/>
        </w:rPr>
        <w:t xml:space="preserve">• </w:t>
      </w:r>
      <w:r>
        <w:rPr>
          <w:rFonts w:ascii="Arial" w:cs="Arial" w:eastAsia="Arial" w:hAnsi="Arial"/>
          <w:b/>
          <w:bCs/>
          <w:color w:val="2C3E50"/>
          <w:sz w:val="20"/>
          <w:szCs w:val="20"/>
        </w:rPr>
        <w:t xml:space="preserve">WhatsApp Trigger + Magic Link Auth</w:t>
      </w:r>
      <w:r>
        <w:rPr>
          <w:rFonts w:ascii="Arial" w:cs="Arial" w:eastAsia="Arial" w:hAnsi="Arial"/>
          <w:color w:val="5D6D7E"/>
          <w:sz w:val="20"/>
          <w:szCs w:val="20"/>
        </w:rPr>
        <w:t xml:space="preserve"> — India-native activation, reduce KYC drop-off</w:t>
      </w:r>
    </w:p>
    <w:p>
      <w:pPr>
        <w:spacing w:after="80"/>
        <w:ind w:left="360"/>
      </w:pPr>
      <w:r>
        <w:rPr>
          <w:rFonts w:ascii="Arial" w:cs="Arial" w:eastAsia="Arial" w:hAnsi="Arial"/>
          <w:color w:val="0E918C"/>
          <w:sz w:val="20"/>
          <w:szCs w:val="20"/>
        </w:rPr>
        <w:t xml:space="preserve">• </w:t>
      </w:r>
      <w:r>
        <w:rPr>
          <w:rFonts w:ascii="Arial" w:cs="Arial" w:eastAsia="Arial" w:hAnsi="Arial"/>
          <w:b/>
          <w:bCs/>
          <w:color w:val="2C3E50"/>
          <w:sz w:val="20"/>
          <w:szCs w:val="20"/>
        </w:rPr>
        <w:t xml:space="preserve">Streaks + NPS + Milestone Cards</w:t>
      </w:r>
      <w:r>
        <w:rPr>
          <w:rFonts w:ascii="Arial" w:cs="Arial" w:eastAsia="Arial" w:hAnsi="Arial"/>
          <w:color w:val="5D6D7E"/>
          <w:sz w:val="20"/>
          <w:szCs w:val="20"/>
        </w:rPr>
        <w:t xml:space="preserve"> — Engagement + advocacy in one package</w:t>
      </w:r>
    </w:p>
    <w:p>
      <w:pPr>
        <w:spacing w:after="80"/>
        <w:ind w:left="360"/>
      </w:pPr>
      <w:r>
        <w:rPr>
          <w:rFonts w:ascii="Arial" w:cs="Arial" w:eastAsia="Arial" w:hAnsi="Arial"/>
          <w:color w:val="0E918C"/>
          <w:sz w:val="20"/>
          <w:szCs w:val="20"/>
        </w:rPr>
        <w:t xml:space="preserve">• </w:t>
      </w:r>
      <w:r>
        <w:rPr>
          <w:rFonts w:ascii="Arial" w:cs="Arial" w:eastAsia="Arial" w:hAnsi="Arial"/>
          <w:b/>
          <w:bCs/>
          <w:color w:val="2C3E50"/>
          <w:sz w:val="20"/>
          <w:szCs w:val="20"/>
        </w:rPr>
        <w:t xml:space="preserve">Employee Amplification with Tracking</w:t>
      </w:r>
      <w:r>
        <w:rPr>
          <w:rFonts w:ascii="Arial" w:cs="Arial" w:eastAsia="Arial" w:hAnsi="Arial"/>
          <w:color w:val="5D6D7E"/>
          <w:sz w:val="20"/>
          <w:szCs w:val="20"/>
        </w:rPr>
        <w:t xml:space="preserve"> — Coordinated social push with measurable ROI</w:t>
      </w:r>
    </w:p>
    <w:p>
      <w:pPr>
        <w:spacing w:after="160"/>
      </w:pPr>
    </w:p>
    <w:p>
      <w:pPr>
        <w:spacing w:after="100"/>
      </w:pPr>
      <w:r>
        <w:rPr>
          <w:rFonts w:ascii="Arial" w:cs="Arial" w:eastAsia="Arial" w:hAnsi="Arial"/>
          <w:b/>
          <w:bCs/>
          <w:color w:val="F4845F"/>
          <w:sz w:val="24"/>
          <w:szCs w:val="24"/>
        </w:rPr>
        <w:t xml:space="preserve">E-Commerce / D2C</w:t>
      </w:r>
    </w:p>
    <w:p>
      <w:pPr>
        <w:spacing w:after="80"/>
        <w:ind w:left="360"/>
      </w:pPr>
      <w:r>
        <w:rPr>
          <w:rFonts w:ascii="Arial" w:cs="Arial" w:eastAsia="Arial" w:hAnsi="Arial"/>
          <w:color w:val="F4845F"/>
          <w:sz w:val="20"/>
          <w:szCs w:val="20"/>
        </w:rPr>
        <w:t xml:space="preserve">• </w:t>
      </w:r>
      <w:r>
        <w:rPr>
          <w:rFonts w:ascii="Arial" w:cs="Arial" w:eastAsia="Arial" w:hAnsi="Arial"/>
          <w:b/>
          <w:bCs/>
          <w:color w:val="2C3E50"/>
          <w:sz w:val="20"/>
          <w:szCs w:val="20"/>
        </w:rPr>
        <w:t xml:space="preserve">Referral Engine + Contest Engine</w:t>
      </w:r>
      <w:r>
        <w:rPr>
          <w:rFonts w:ascii="Arial" w:cs="Arial" w:eastAsia="Arial" w:hAnsi="Arial"/>
          <w:color w:val="5D6D7E"/>
          <w:sz w:val="20"/>
          <w:szCs w:val="20"/>
        </w:rPr>
        <w:t xml:space="preserve"> — Viral acquisition (Meesho model)</w:t>
      </w:r>
    </w:p>
    <w:p>
      <w:pPr>
        <w:spacing w:after="80"/>
        <w:ind w:left="360"/>
      </w:pPr>
      <w:r>
        <w:rPr>
          <w:rFonts w:ascii="Arial" w:cs="Arial" w:eastAsia="Arial" w:hAnsi="Arial"/>
          <w:color w:val="F4845F"/>
          <w:sz w:val="20"/>
          <w:szCs w:val="20"/>
        </w:rPr>
        <w:t xml:space="preserve">• </w:t>
      </w:r>
      <w:r>
        <w:rPr>
          <w:rFonts w:ascii="Arial" w:cs="Arial" w:eastAsia="Arial" w:hAnsi="Arial"/>
          <w:b/>
          <w:bCs/>
          <w:color w:val="2C3E50"/>
          <w:sz w:val="20"/>
          <w:szCs w:val="20"/>
        </w:rPr>
        <w:t xml:space="preserve">Welcome Sequences + Coupon Engine</w:t>
      </w:r>
      <w:r>
        <w:rPr>
          <w:rFonts w:ascii="Arial" w:cs="Arial" w:eastAsia="Arial" w:hAnsi="Arial"/>
          <w:color w:val="5D6D7E"/>
          <w:sz w:val="20"/>
          <w:szCs w:val="20"/>
        </w:rPr>
        <w:t xml:space="preserve"> — First-purchase activation</w:t>
      </w:r>
    </w:p>
    <w:p>
      <w:pPr>
        <w:spacing w:after="80"/>
        <w:ind w:left="360"/>
      </w:pPr>
      <w:r>
        <w:rPr>
          <w:rFonts w:ascii="Arial" w:cs="Arial" w:eastAsia="Arial" w:hAnsi="Arial"/>
          <w:color w:val="F4845F"/>
          <w:sz w:val="20"/>
          <w:szCs w:val="20"/>
        </w:rPr>
        <w:t xml:space="preserve">• </w:t>
      </w:r>
      <w:r>
        <w:rPr>
          <w:rFonts w:ascii="Arial" w:cs="Arial" w:eastAsia="Arial" w:hAnsi="Arial"/>
          <w:b/>
          <w:bCs/>
          <w:color w:val="2C3E50"/>
          <w:sz w:val="20"/>
          <w:szCs w:val="20"/>
        </w:rPr>
        <w:t xml:space="preserve">Loyalty / Badges + Milestone Cards</w:t>
      </w:r>
      <w:r>
        <w:rPr>
          <w:rFonts w:ascii="Arial" w:cs="Arial" w:eastAsia="Arial" w:hAnsi="Arial"/>
          <w:color w:val="5D6D7E"/>
          <w:sz w:val="20"/>
          <w:szCs w:val="20"/>
        </w:rPr>
        <w:t xml:space="preserve"> — Retention + organic social proof</w:t>
      </w:r>
    </w:p>
    <w:p>
      <w:pPr>
        <w:spacing w:after="80"/>
        <w:ind w:left="360"/>
      </w:pPr>
      <w:r>
        <w:rPr>
          <w:rFonts w:ascii="Arial" w:cs="Arial" w:eastAsia="Arial" w:hAnsi="Arial"/>
          <w:color w:val="F4845F"/>
          <w:sz w:val="20"/>
          <w:szCs w:val="20"/>
        </w:rPr>
        <w:t xml:space="preserve">• </w:t>
      </w:r>
      <w:r>
        <w:rPr>
          <w:rFonts w:ascii="Arial" w:cs="Arial" w:eastAsia="Arial" w:hAnsi="Arial"/>
          <w:b/>
          <w:bCs/>
          <w:color w:val="2C3E50"/>
          <w:sz w:val="20"/>
          <w:szCs w:val="20"/>
        </w:rPr>
        <w:t xml:space="preserve">UGC Testimonials + Ambassador Program</w:t>
      </w:r>
      <w:r>
        <w:rPr>
          <w:rFonts w:ascii="Arial" w:cs="Arial" w:eastAsia="Arial" w:hAnsi="Arial"/>
          <w:color w:val="5D6D7E"/>
          <w:sz w:val="20"/>
          <w:szCs w:val="20"/>
        </w:rPr>
        <w:t xml:space="preserve"> — Creator-led advocacy (Nykaa, Myntra model)</w:t>
      </w:r>
    </w:p>
    <w:p>
      <w:pPr>
        <w:spacing w:after="160"/>
      </w:pPr>
    </w:p>
    <w:p>
      <w:r>
        <w:br w:type="page"/>
      </w:r>
    </w:p>
    <w:p>
      <w:pPr>
        <w:pStyle w:val="Heading1"/>
      </w:pPr>
      <w:r>
        <w:t xml:space="preserve">The Compound Effect</w:t>
      </w:r>
    </w:p>
    <w:p>
      <w:pPr>
        <w:spacing w:after="80"/>
      </w:pPr>
    </w:p>
    <w:p>
      <w:pPr>
        <w:spacing w:after="160" w:before="0"/>
      </w:pPr>
      <w:r>
        <w:rPr>
          <w:rFonts w:ascii="Arial" w:cs="Arial" w:eastAsia="Arial" w:hAnsi="Arial"/>
          <w:color w:val="2C3E50"/>
          <w:sz w:val="22"/>
          <w:szCs w:val="22"/>
        </w:rPr>
        <w:t xml:space="preserve">The platform’s moat is not the breadth of modules. It is the feedback loops between them.</w:t>
      </w:r>
    </w:p>
    <w:p>
      <w:pPr>
        <w:spacing w:after="80"/>
      </w:pPr>
    </w:p>
    <w:p>
      <w:pPr>
        <w:spacing w:after="160" w:before="0"/>
      </w:pPr>
      <w:r>
        <w:rPr>
          <w:rFonts w:ascii="Arial" w:cs="Arial" w:eastAsia="Arial" w:hAnsi="Arial"/>
          <w:color w:val="2C3E50"/>
          <w:sz w:val="22"/>
          <w:szCs w:val="22"/>
        </w:rPr>
        <w:t xml:space="preserve">A tenant using 3 modules gets value. A tenant using 8 modules gets disproportionately more value because the data compounds. Every event from every module enriches the contact graph, which makes every other module’s targeting more precise, which improves conversion rates across the entire loop.</w:t>
      </w:r>
    </w:p>
    <w:p>
      <w:pPr>
        <w:spacing w:after="80"/>
      </w:pPr>
    </w:p>
    <w:p>
      <w:pPr>
        <w:spacing w:after="160" w:before="0"/>
      </w:pPr>
      <w:r>
        <w:rPr>
          <w:rFonts w:ascii="Arial" w:cs="Arial" w:eastAsia="Arial" w:hAnsi="Arial"/>
          <w:color w:val="2C3E50"/>
          <w:sz w:val="22"/>
          <w:szCs w:val="22"/>
        </w:rPr>
        <w:t xml:space="preserve">Individual tools cannot replicate this. And the more modules a tenant adopts, the harder it is to leave — not because of lock-in tricks, but because the integrated data and automation genuinely cannot be recreated by stitching together point solutions.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1B2A4A" w:val="clear"/>
          </w:tcPr>
          <w:p/>
        </w:tc>
        <w:tc>
          <w:tcPr>
            <w:tcW w:type="dxa" w:w="9280"/>
            <w:tcBorders>
              <w:top w:val="none" w:color="FFFFFF" w:sz="0"/>
              <w:left w:val="none" w:color="FFFFFF" w:sz="0"/>
              <w:bottom w:val="none" w:color="FFFFFF" w:sz="0"/>
              <w:right w:val="none" w:color="FFFFFF" w:sz="0"/>
            </w:tcBorders>
            <w:shd w:fill="E8F4F8" w:val="clear"/>
            <w:tcMar>
              <w:top w:type="dxa" w:w="100"/>
              <w:left w:type="dxa" w:w="160"/>
              <w:bottom w:type="dxa" w:w="100"/>
              <w:right w:type="dxa" w:w="160"/>
            </w:tcMar>
          </w:tcPr>
          <w:p>
            <w:pPr>
              <w:spacing w:after="80"/>
            </w:pPr>
            <w:r>
              <w:rPr>
                <w:rFonts w:ascii="Arial" w:cs="Arial" w:eastAsia="Arial" w:hAnsi="Arial"/>
                <w:b/>
                <w:bCs/>
                <w:color w:val="1B2A4A"/>
                <w:sz w:val="22"/>
                <w:szCs w:val="22"/>
              </w:rPr>
              <w:t xml:space="preserve">Next Step</w:t>
            </w:r>
          </w:p>
          <w:p>
            <w:r>
              <w:rPr>
                <w:rFonts w:ascii="Arial" w:cs="Arial" w:eastAsia="Arial" w:hAnsi="Arial"/>
                <w:color w:val="2C3E50"/>
                <w:sz w:val="20"/>
                <w:szCs w:val="20"/>
              </w:rPr>
              <w:t xml:space="preserve">This playbook defines the product and its decision framework. The companion document covers the technical architecture, multi-tenant data model, event sourcing design, and implementation roadmap needed to build GrowthOS as a production SaaS platform.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GrowthOS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2026-02-23T13:39:17.711Z</dcterms:created>
  <dcterms:modified xsi:type="dcterms:W3CDTF">2026-02-23T13:39:17.712Z</dcterms:modified>
</cp:coreProperties>
</file>

<file path=docProps/custom.xml><?xml version="1.0" encoding="utf-8"?>
<Properties xmlns="http://schemas.openxmlformats.org/officeDocument/2006/custom-properties" xmlns:vt="http://schemas.openxmlformats.org/officeDocument/2006/docPropsVTypes"/>
</file>