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6278" w14:textId="5915F744" w:rsidR="00ED3B6C" w:rsidRPr="007D0B0A" w:rsidRDefault="00A40CD9" w:rsidP="007D0B0A">
      <w:pPr>
        <w:pStyle w:val="1"/>
        <w:rPr>
          <w:rFonts w:hint="eastAsia"/>
          <w:lang w:bidi="ar"/>
        </w:rPr>
      </w:pPr>
      <w:r>
        <w:rPr>
          <w:lang w:bidi="ar"/>
        </w:rPr>
        <w:t>千分位计数法</w:t>
      </w:r>
    </w:p>
    <w:p w14:paraId="30702EE7" w14:textId="555B8FD1" w:rsidR="00833789" w:rsidRPr="00833789" w:rsidRDefault="00833789">
      <w:pPr>
        <w:widowControl/>
        <w:spacing w:line="360" w:lineRule="atLeast"/>
        <w:jc w:val="left"/>
        <w:textAlignment w:val="baseline"/>
        <w:rPr>
          <w:rFonts w:ascii="Segoe UI" w:hAnsi="Segoe UI" w:cs="Segoe UI" w:hint="eastAsia"/>
          <w:kern w:val="0"/>
          <w:sz w:val="24"/>
          <w:lang w:bidi="ar"/>
        </w:rPr>
      </w:pPr>
      <w:r>
        <w:rPr>
          <w:rFonts w:hint="eastAsia"/>
          <w:color w:val="000000"/>
          <w:shd w:val="clear" w:color="auto" w:fill="FFFFFF"/>
        </w:rPr>
        <w:t>新订单指数为</w:t>
      </w:r>
      <w:r>
        <w:rPr>
          <w:rFonts w:ascii="Times New Roman" w:hAnsi="Times New Roman" w:cs="Times New Roman"/>
          <w:color w:val="000000"/>
          <w:shd w:val="clear" w:color="auto" w:fill="FFFFFF"/>
        </w:rPr>
        <w:t>46.0%</w:t>
      </w:r>
      <w:r>
        <w:rPr>
          <w:rFonts w:hint="eastAsia"/>
          <w:color w:val="000000"/>
          <w:shd w:val="clear" w:color="auto" w:fill="FFFFFF"/>
        </w:rPr>
        <w:t>，比上月下降</w:t>
      </w:r>
      <w:r>
        <w:rPr>
          <w:rFonts w:ascii="Times New Roman" w:hAnsi="Times New Roman" w:cs="Times New Roman"/>
          <w:color w:val="000000"/>
          <w:shd w:val="clear" w:color="auto" w:fill="FFFFFF"/>
        </w:rPr>
        <w:t>0.6</w:t>
      </w:r>
      <w:r>
        <w:rPr>
          <w:rFonts w:hint="eastAsia"/>
          <w:color w:val="000000"/>
          <w:shd w:val="clear" w:color="auto" w:fill="FFFFFF"/>
        </w:rPr>
        <w:t>个百分点，表明非制造业市场需求景气度回落。分行业看，建筑业新订单指数为</w:t>
      </w:r>
      <w:r>
        <w:rPr>
          <w:rFonts w:ascii="Times New Roman" w:hAnsi="Times New Roman" w:cs="Times New Roman"/>
          <w:color w:val="000000"/>
          <w:shd w:val="clear" w:color="auto" w:fill="FFFFFF"/>
        </w:rPr>
        <w:t>42.2%</w:t>
      </w:r>
      <w:r>
        <w:rPr>
          <w:rFonts w:hint="eastAsia"/>
          <w:color w:val="000000"/>
          <w:shd w:val="clear" w:color="auto" w:fill="FFFFFF"/>
        </w:rPr>
        <w:t>，比上月上升</w:t>
      </w:r>
      <w:r>
        <w:rPr>
          <w:rFonts w:ascii="Times New Roman" w:hAnsi="Times New Roman" w:cs="Times New Roman"/>
          <w:color w:val="000000"/>
          <w:shd w:val="clear" w:color="auto" w:fill="FFFFFF"/>
        </w:rPr>
        <w:t>1.6</w:t>
      </w:r>
      <w:r>
        <w:rPr>
          <w:rFonts w:hint="eastAsia"/>
          <w:color w:val="000000"/>
          <w:shd w:val="clear" w:color="auto" w:fill="FFFFFF"/>
        </w:rPr>
        <w:t>个百分点；服务业新订单指数为</w:t>
      </w:r>
      <w:r>
        <w:rPr>
          <w:rFonts w:ascii="Times New Roman" w:hAnsi="Times New Roman" w:cs="Times New Roman"/>
          <w:color w:val="000000"/>
          <w:shd w:val="clear" w:color="auto" w:fill="FFFFFF"/>
        </w:rPr>
        <w:t>46.7%</w:t>
      </w:r>
      <w:r>
        <w:rPr>
          <w:rFonts w:hint="eastAsia"/>
          <w:color w:val="000000"/>
          <w:shd w:val="clear" w:color="auto" w:fill="FFFFFF"/>
        </w:rPr>
        <w:t>，比上月下降</w:t>
      </w:r>
      <w:r>
        <w:rPr>
          <w:rFonts w:ascii="Times New Roman" w:hAnsi="Times New Roman" w:cs="Times New Roman"/>
          <w:color w:val="000000"/>
          <w:shd w:val="clear" w:color="auto" w:fill="FFFFFF"/>
        </w:rPr>
        <w:t>1.0</w:t>
      </w:r>
      <w:r>
        <w:rPr>
          <w:rFonts w:hint="eastAsia"/>
          <w:color w:val="000000"/>
          <w:shd w:val="clear" w:color="auto" w:fill="FFFFFF"/>
        </w:rPr>
        <w:t>个百分点。</w:t>
      </w:r>
    </w:p>
    <w:p w14:paraId="0FD62BD4" w14:textId="3D13776F" w:rsidR="00ED3B6C" w:rsidRDefault="00ED3B6C">
      <w:pPr>
        <w:widowControl/>
        <w:spacing w:line="360" w:lineRule="atLeast"/>
        <w:jc w:val="left"/>
        <w:textAlignment w:val="baseline"/>
        <w:rPr>
          <w:rFonts w:ascii="Segoe UI" w:hAnsi="Segoe UI" w:cs="Segoe UI"/>
          <w:kern w:val="0"/>
          <w:sz w:val="24"/>
          <w:lang w:bidi="ar"/>
        </w:rPr>
      </w:pPr>
    </w:p>
    <w:p w14:paraId="2ED9A748" w14:textId="1C5ED7CB" w:rsidR="00536B18" w:rsidRDefault="00536B18">
      <w:pPr>
        <w:widowControl/>
        <w:spacing w:line="360" w:lineRule="atLeast"/>
        <w:jc w:val="left"/>
        <w:textAlignment w:val="baseline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分地区看，研究与试验发展（</w:t>
      </w:r>
      <w:r>
        <w:rPr>
          <w:rFonts w:ascii="Times New Roman" w:hAnsi="Times New Roman" w:cs="Times New Roman"/>
          <w:color w:val="000000"/>
          <w:shd w:val="clear" w:color="auto" w:fill="FFFFFF"/>
        </w:rPr>
        <w:t>R&amp;D</w:t>
      </w:r>
      <w:r>
        <w:rPr>
          <w:rFonts w:hint="eastAsia"/>
          <w:color w:val="000000"/>
          <w:shd w:val="clear" w:color="auto" w:fill="FFFFFF"/>
        </w:rPr>
        <w:t>）经费投入超过</w:t>
      </w:r>
      <w:proofErr w:type="gramStart"/>
      <w:r>
        <w:rPr>
          <w:rFonts w:hint="eastAsia"/>
          <w:color w:val="000000"/>
          <w:shd w:val="clear" w:color="auto" w:fill="FFFFFF"/>
        </w:rPr>
        <w:t>两千亿</w:t>
      </w:r>
      <w:proofErr w:type="gramEnd"/>
      <w:r>
        <w:rPr>
          <w:rFonts w:hint="eastAsia"/>
          <w:color w:val="000000"/>
          <w:shd w:val="clear" w:color="auto" w:fill="FFFFFF"/>
        </w:rPr>
        <w:t>元的省（直辖市）有</w:t>
      </w:r>
      <w:r>
        <w:rPr>
          <w:rFonts w:ascii="Times New Roman" w:hAnsi="Times New Roman" w:cs="Times New Roman"/>
          <w:color w:val="000000"/>
          <w:shd w:val="clear" w:color="auto" w:fill="FFFFFF"/>
        </w:rPr>
        <w:t>6</w:t>
      </w:r>
      <w:r>
        <w:rPr>
          <w:rFonts w:hint="eastAsia"/>
          <w:color w:val="000000"/>
          <w:shd w:val="clear" w:color="auto" w:fill="FFFFFF"/>
        </w:rPr>
        <w:t>个，分别为广东（</w:t>
      </w:r>
      <w:r>
        <w:rPr>
          <w:rFonts w:ascii="Times New Roman" w:hAnsi="Times New Roman" w:cs="Times New Roman"/>
          <w:color w:val="000000"/>
          <w:shd w:val="clear" w:color="auto" w:fill="FFFFFF"/>
        </w:rPr>
        <w:t>5099.6</w:t>
      </w:r>
      <w:r>
        <w:rPr>
          <w:rFonts w:hint="eastAsia"/>
          <w:color w:val="000000"/>
          <w:shd w:val="clear" w:color="auto" w:fill="FFFFFF"/>
        </w:rPr>
        <w:t>亿元）、江苏（</w:t>
      </w:r>
      <w:r>
        <w:rPr>
          <w:rFonts w:ascii="Times New Roman" w:hAnsi="Times New Roman" w:cs="Times New Roman"/>
          <w:color w:val="000000"/>
          <w:shd w:val="clear" w:color="auto" w:fill="FFFFFF"/>
        </w:rPr>
        <w:t>4597.5</w:t>
      </w:r>
      <w:r>
        <w:rPr>
          <w:rFonts w:hint="eastAsia"/>
          <w:color w:val="000000"/>
          <w:shd w:val="clear" w:color="auto" w:fill="FFFFFF"/>
        </w:rPr>
        <w:t>亿元）、北京（</w:t>
      </w:r>
      <w:r>
        <w:rPr>
          <w:rFonts w:ascii="Times New Roman" w:hAnsi="Times New Roman" w:cs="Times New Roman"/>
          <w:color w:val="000000"/>
          <w:shd w:val="clear" w:color="auto" w:fill="FFFFFF"/>
        </w:rPr>
        <w:t>3278.4</w:t>
      </w:r>
      <w:r>
        <w:rPr>
          <w:rFonts w:hint="eastAsia"/>
          <w:color w:val="000000"/>
          <w:shd w:val="clear" w:color="auto" w:fill="FFFFFF"/>
        </w:rPr>
        <w:t>亿元）、浙江（</w:t>
      </w:r>
      <w:r>
        <w:rPr>
          <w:rFonts w:ascii="Times New Roman" w:hAnsi="Times New Roman" w:cs="Times New Roman"/>
          <w:color w:val="000000"/>
          <w:shd w:val="clear" w:color="auto" w:fill="FFFFFF"/>
        </w:rPr>
        <w:t>2901.4</w:t>
      </w:r>
      <w:r>
        <w:rPr>
          <w:rFonts w:hint="eastAsia"/>
          <w:color w:val="000000"/>
          <w:shd w:val="clear" w:color="auto" w:fill="FFFFFF"/>
        </w:rPr>
        <w:t>亿元）、山东（</w:t>
      </w:r>
      <w:r>
        <w:rPr>
          <w:rFonts w:ascii="Times New Roman" w:hAnsi="Times New Roman" w:cs="Times New Roman"/>
          <w:color w:val="000000"/>
          <w:shd w:val="clear" w:color="auto" w:fill="FFFFFF"/>
        </w:rPr>
        <w:t>2597.3</w:t>
      </w:r>
      <w:r>
        <w:rPr>
          <w:rFonts w:hint="eastAsia"/>
          <w:color w:val="000000"/>
          <w:shd w:val="clear" w:color="auto" w:fill="FFFFFF"/>
        </w:rPr>
        <w:t>亿元）、上海（</w:t>
      </w:r>
      <w:r>
        <w:rPr>
          <w:rFonts w:ascii="Times New Roman" w:hAnsi="Times New Roman" w:cs="Times New Roman"/>
          <w:color w:val="000000"/>
          <w:shd w:val="clear" w:color="auto" w:fill="FFFFFF"/>
        </w:rPr>
        <w:t>2343.7</w:t>
      </w:r>
      <w:r>
        <w:rPr>
          <w:rFonts w:hint="eastAsia"/>
          <w:color w:val="000000"/>
          <w:shd w:val="clear" w:color="auto" w:fill="FFFFFF"/>
        </w:rPr>
        <w:t>亿元）。研究与试验发展（</w:t>
      </w:r>
      <w:r>
        <w:rPr>
          <w:rFonts w:ascii="Times New Roman" w:hAnsi="Times New Roman" w:cs="Times New Roman"/>
          <w:color w:val="000000"/>
          <w:shd w:val="clear" w:color="auto" w:fill="FFFFFF"/>
        </w:rPr>
        <w:t>R&amp;D</w:t>
      </w:r>
      <w:r>
        <w:rPr>
          <w:rFonts w:hint="eastAsia"/>
          <w:color w:val="000000"/>
          <w:shd w:val="clear" w:color="auto" w:fill="FFFFFF"/>
        </w:rPr>
        <w:t>）经费投入强度（与地区生产总值</w:t>
      </w:r>
      <w: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  <w:vertAlign w:val="superscript"/>
        </w:rPr>
        <w:t>[4]</w:t>
      </w:r>
      <w:r>
        <w:rPr>
          <w:rFonts w:hint="eastAsia"/>
          <w:color w:val="000000"/>
          <w:shd w:val="clear" w:color="auto" w:fill="FFFFFF"/>
        </w:rPr>
        <w:t>之比）超过全国平均水平的省（直辖市）有</w:t>
      </w:r>
      <w:r>
        <w:rPr>
          <w:rFonts w:ascii="Times New Roman" w:hAnsi="Times New Roman" w:cs="Times New Roman"/>
          <w:color w:val="000000"/>
          <w:shd w:val="clear" w:color="auto" w:fill="FFFFFF"/>
        </w:rPr>
        <w:t>7</w:t>
      </w:r>
      <w:r>
        <w:rPr>
          <w:rFonts w:hint="eastAsia"/>
          <w:color w:val="000000"/>
          <w:shd w:val="clear" w:color="auto" w:fill="FFFFFF"/>
        </w:rPr>
        <w:t>个，依次为北京（</w:t>
      </w:r>
      <w:r>
        <w:rPr>
          <w:rFonts w:ascii="Times New Roman" w:hAnsi="Times New Roman" w:cs="Times New Roman"/>
          <w:color w:val="000000"/>
          <w:shd w:val="clear" w:color="auto" w:fill="FFFFFF"/>
        </w:rPr>
        <w:t>6.58%</w:t>
      </w:r>
      <w:r>
        <w:rPr>
          <w:rFonts w:hint="eastAsia"/>
          <w:color w:val="000000"/>
          <w:shd w:val="clear" w:color="auto" w:fill="FFFFFF"/>
        </w:rPr>
        <w:t>）、上海（</w:t>
      </w:r>
      <w:r>
        <w:rPr>
          <w:rFonts w:ascii="Times New Roman" w:hAnsi="Times New Roman" w:cs="Times New Roman"/>
          <w:color w:val="000000"/>
          <w:shd w:val="clear" w:color="auto" w:fill="FFFFFF"/>
        </w:rPr>
        <w:t>4.35%</w:t>
      </w:r>
      <w:r>
        <w:rPr>
          <w:rFonts w:hint="eastAsia"/>
          <w:color w:val="000000"/>
          <w:shd w:val="clear" w:color="auto" w:fill="FFFFFF"/>
        </w:rPr>
        <w:t>）、广东（</w:t>
      </w:r>
      <w:r>
        <w:rPr>
          <w:rFonts w:ascii="Times New Roman" w:hAnsi="Times New Roman" w:cs="Times New Roman"/>
          <w:color w:val="000000"/>
          <w:shd w:val="clear" w:color="auto" w:fill="FFFFFF"/>
        </w:rPr>
        <w:t>3.60%</w:t>
      </w:r>
      <w:r>
        <w:rPr>
          <w:rFonts w:hint="eastAsia"/>
          <w:color w:val="000000"/>
          <w:shd w:val="clear" w:color="auto" w:fill="FFFFFF"/>
        </w:rPr>
        <w:t>）、天津（</w:t>
      </w:r>
      <w:r>
        <w:rPr>
          <w:rFonts w:ascii="Times New Roman" w:hAnsi="Times New Roman" w:cs="Times New Roman"/>
          <w:color w:val="000000"/>
          <w:shd w:val="clear" w:color="auto" w:fill="FFFFFF"/>
        </w:rPr>
        <w:t>3.44%</w:t>
      </w:r>
      <w:r>
        <w:rPr>
          <w:rFonts w:hint="eastAsia"/>
          <w:color w:val="000000"/>
          <w:shd w:val="clear" w:color="auto" w:fill="FFFFFF"/>
        </w:rPr>
        <w:t>）、江苏（</w:t>
      </w:r>
      <w:r>
        <w:rPr>
          <w:rFonts w:ascii="Times New Roman" w:hAnsi="Times New Roman" w:cs="Times New Roman"/>
          <w:color w:val="000000"/>
          <w:shd w:val="clear" w:color="auto" w:fill="FFFFFF"/>
        </w:rPr>
        <w:t>3.36%</w:t>
      </w:r>
      <w:r>
        <w:rPr>
          <w:rFonts w:hint="eastAsia"/>
          <w:color w:val="000000"/>
          <w:shd w:val="clear" w:color="auto" w:fill="FFFFFF"/>
        </w:rPr>
        <w:t>）、浙江（</w:t>
      </w:r>
      <w:r>
        <w:rPr>
          <w:rFonts w:ascii="Times New Roman" w:hAnsi="Times New Roman" w:cs="Times New Roman"/>
          <w:color w:val="000000"/>
          <w:shd w:val="clear" w:color="auto" w:fill="FFFFFF"/>
        </w:rPr>
        <w:t>3.22%</w:t>
      </w:r>
      <w:r>
        <w:rPr>
          <w:rFonts w:hint="eastAsia"/>
          <w:color w:val="000000"/>
          <w:shd w:val="clear" w:color="auto" w:fill="FFFFFF"/>
        </w:rPr>
        <w:t>）和安徽（</w:t>
      </w:r>
      <w:r>
        <w:rPr>
          <w:rFonts w:ascii="Times New Roman" w:hAnsi="Times New Roman" w:cs="Times New Roman"/>
          <w:color w:val="000000"/>
          <w:shd w:val="clear" w:color="auto" w:fill="FFFFFF"/>
        </w:rPr>
        <w:t>2.76%</w:t>
      </w:r>
      <w:r>
        <w:rPr>
          <w:rFonts w:hint="eastAsia"/>
          <w:color w:val="000000"/>
          <w:shd w:val="clear" w:color="auto" w:fill="FFFFFF"/>
        </w:rPr>
        <w:t>）（详见附表</w:t>
      </w:r>
      <w:r>
        <w:rPr>
          <w:rFonts w:ascii="Times New Roman" w:hAnsi="Times New Roman" w:cs="Times New Roman"/>
          <w:color w:val="000000"/>
          <w:shd w:val="clear" w:color="auto" w:fill="FFFFFF"/>
        </w:rPr>
        <w:t>2</w:t>
      </w:r>
      <w:r>
        <w:rPr>
          <w:rFonts w:hint="eastAsia"/>
          <w:color w:val="000000"/>
          <w:shd w:val="clear" w:color="auto" w:fill="FFFFFF"/>
        </w:rPr>
        <w:t>）。</w:t>
      </w:r>
    </w:p>
    <w:p w14:paraId="7D89362C" w14:textId="77777777" w:rsidR="0013721D" w:rsidRPr="006C7FA2" w:rsidRDefault="0013721D">
      <w:pPr>
        <w:widowControl/>
        <w:spacing w:line="360" w:lineRule="atLeast"/>
        <w:jc w:val="left"/>
        <w:textAlignment w:val="baseline"/>
        <w:rPr>
          <w:rFonts w:ascii="Segoe UI" w:hAnsi="Segoe UI" w:cs="Segoe UI" w:hint="eastAsia"/>
          <w:kern w:val="0"/>
          <w:sz w:val="24"/>
          <w:lang w:bidi="ar"/>
        </w:rPr>
      </w:pPr>
    </w:p>
    <w:p w14:paraId="2C1FDAE5" w14:textId="02B4A3EC" w:rsidR="00ED3B6C" w:rsidRDefault="00977C2C">
      <w:pPr>
        <w:pStyle w:val="a3"/>
        <w:widowControl/>
      </w:pPr>
      <w:r>
        <w:t>今年收入总额为</w:t>
      </w:r>
      <w:r>
        <w:t>1234567.89</w:t>
      </w:r>
      <w:r w:rsidR="006B2574">
        <w:rPr>
          <w:rFonts w:hint="eastAsia"/>
        </w:rPr>
        <w:t>收入</w:t>
      </w:r>
      <w:r w:rsidR="00A40CD9">
        <w:t>23456789</w:t>
      </w:r>
      <w:r w:rsidR="00A40CD9">
        <w:rPr>
          <w:rFonts w:hint="eastAsia"/>
        </w:rPr>
        <w:t>.123</w:t>
      </w:r>
      <w:r w:rsidR="00F07F37">
        <w:rPr>
          <w:rFonts w:hint="eastAsia"/>
        </w:rPr>
        <w:t>大的</w:t>
      </w:r>
      <w:r w:rsidR="002C0620">
        <w:t>2025</w:t>
      </w:r>
      <w:r w:rsidR="002C0620">
        <w:rPr>
          <w:rFonts w:hint="eastAsia"/>
        </w:rPr>
        <w:t>年</w:t>
      </w:r>
    </w:p>
    <w:p w14:paraId="1DC7D9D4" w14:textId="5696951C" w:rsidR="00ED3B6C" w:rsidRDefault="00A40CD9">
      <w:pPr>
        <w:pStyle w:val="a3"/>
        <w:widowControl/>
      </w:pPr>
      <w:r>
        <w:t>23,456,789</w:t>
      </w:r>
      <w:r>
        <w:rPr>
          <w:rFonts w:hint="eastAsia"/>
        </w:rPr>
        <w:t>.123</w:t>
      </w:r>
    </w:p>
    <w:p w14:paraId="7E78799A" w14:textId="186B52AE" w:rsidR="00ED3B6C" w:rsidRDefault="00303EF5" w:rsidP="007E2E12">
      <w:pPr>
        <w:pStyle w:val="a3"/>
        <w:widowControl/>
      </w:pPr>
      <w:r>
        <w:t>23456789</w:t>
      </w:r>
      <w:r>
        <w:rPr>
          <w:rFonts w:hint="eastAsia"/>
        </w:rPr>
        <w:t>.123</w:t>
      </w:r>
      <w:r>
        <w:rPr>
          <w:rFonts w:hint="eastAsia"/>
        </w:rPr>
        <w:t>大大松大</w:t>
      </w:r>
      <w:r>
        <w:t>1234567.89</w:t>
      </w:r>
      <w:r>
        <w:rPr>
          <w:rFonts w:hint="eastAsia"/>
        </w:rPr>
        <w:t>对大的</w:t>
      </w:r>
      <w:r>
        <w:rPr>
          <w:rFonts w:hint="eastAsia"/>
        </w:rPr>
        <w:t>3</w:t>
      </w:r>
      <w:r>
        <w:t>23</w:t>
      </w:r>
      <w:r w:rsidR="00437C64">
        <w:rPr>
          <w:rFonts w:hint="eastAsia"/>
        </w:rPr>
        <w:t>到</w:t>
      </w:r>
    </w:p>
    <w:p w14:paraId="2A6E2B81" w14:textId="71701268" w:rsidR="007E2E12" w:rsidRPr="006C7FA2" w:rsidRDefault="006C7FA2" w:rsidP="007E2E12">
      <w:pPr>
        <w:pStyle w:val="a3"/>
        <w:widowControl/>
      </w:pPr>
      <w:r>
        <w:rPr>
          <w:rFonts w:hint="eastAsia"/>
        </w:rPr>
        <w:t>1</w:t>
      </w:r>
      <w:r>
        <w:t>23456</w:t>
      </w:r>
    </w:p>
    <w:p w14:paraId="05112FE8" w14:textId="77777777" w:rsidR="00ED3B6C" w:rsidRDefault="00ED3B6C">
      <w:pPr>
        <w:widowControl/>
        <w:shd w:val="clear" w:color="auto" w:fill="FFFFFF"/>
        <w:ind w:right="120"/>
        <w:jc w:val="left"/>
        <w:textAlignment w:val="baseline"/>
        <w:rPr>
          <w:rFonts w:ascii="Segoe UI" w:eastAsia="Segoe UI" w:hAnsi="Segoe UI" w:cs="Segoe UI"/>
          <w:szCs w:val="21"/>
        </w:rPr>
      </w:pPr>
    </w:p>
    <w:p w14:paraId="78E8FE4B" w14:textId="77777777" w:rsidR="00ED3B6C" w:rsidRDefault="00ED3B6C"/>
    <w:sectPr w:rsidR="00ED3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1B9FD" w14:textId="77777777" w:rsidR="002917DA" w:rsidRDefault="002917DA" w:rsidP="002917DA">
      <w:r>
        <w:separator/>
      </w:r>
    </w:p>
  </w:endnote>
  <w:endnote w:type="continuationSeparator" w:id="0">
    <w:p w14:paraId="03EC4CEC" w14:textId="77777777" w:rsidR="002917DA" w:rsidRDefault="002917DA" w:rsidP="0029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37240" w14:textId="77777777" w:rsidR="002917DA" w:rsidRDefault="002917DA" w:rsidP="002917DA">
      <w:r>
        <w:separator/>
      </w:r>
    </w:p>
  </w:footnote>
  <w:footnote w:type="continuationSeparator" w:id="0">
    <w:p w14:paraId="77ACEFE7" w14:textId="77777777" w:rsidR="002917DA" w:rsidRDefault="002917DA" w:rsidP="002917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6C"/>
    <w:rsid w:val="000E596F"/>
    <w:rsid w:val="0013721D"/>
    <w:rsid w:val="00183585"/>
    <w:rsid w:val="00257713"/>
    <w:rsid w:val="002917DA"/>
    <w:rsid w:val="002C0620"/>
    <w:rsid w:val="002F3616"/>
    <w:rsid w:val="0030149C"/>
    <w:rsid w:val="00303EF5"/>
    <w:rsid w:val="00414CC8"/>
    <w:rsid w:val="00437C64"/>
    <w:rsid w:val="00536B18"/>
    <w:rsid w:val="006231B2"/>
    <w:rsid w:val="006B2574"/>
    <w:rsid w:val="006C7FA2"/>
    <w:rsid w:val="007D0B0A"/>
    <w:rsid w:val="007E2E12"/>
    <w:rsid w:val="00833789"/>
    <w:rsid w:val="008A248D"/>
    <w:rsid w:val="00977C2C"/>
    <w:rsid w:val="009A278B"/>
    <w:rsid w:val="009C275A"/>
    <w:rsid w:val="009D3753"/>
    <w:rsid w:val="00A40CD9"/>
    <w:rsid w:val="00B15E2E"/>
    <w:rsid w:val="00B33F30"/>
    <w:rsid w:val="00BA5945"/>
    <w:rsid w:val="00C156A9"/>
    <w:rsid w:val="00C852BC"/>
    <w:rsid w:val="00C87CA5"/>
    <w:rsid w:val="00CA1E4C"/>
    <w:rsid w:val="00CD520B"/>
    <w:rsid w:val="00DB5D66"/>
    <w:rsid w:val="00E90E56"/>
    <w:rsid w:val="00ED3B6C"/>
    <w:rsid w:val="00F07F37"/>
    <w:rsid w:val="3AAD5372"/>
    <w:rsid w:val="47BD53BF"/>
    <w:rsid w:val="7F87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3171CA"/>
  <w15:docId w15:val="{EA281186-5512-4556-BAC7-7906798D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D0B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291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917D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291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917DA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7D0B0A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304</Words>
  <Characters>156</Characters>
  <Application>Microsoft Office Word</Application>
  <DocSecurity>0</DocSecurity>
  <Lines>1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Changbao Ma</cp:lastModifiedBy>
  <cp:revision>59</cp:revision>
  <dcterms:created xsi:type="dcterms:W3CDTF">2025-10-16T06:52:00Z</dcterms:created>
  <dcterms:modified xsi:type="dcterms:W3CDTF">2025-10-16T08:15:00Z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eyJoZGlkIjoiYjk5ODM0YmMxOWJiYWQyNDU4MGIzYWRmYTA0ZmI5NDciLCJ1c2VySWQiOiIyMzA4MzQyIn0=</vt:lpwstr>
  </property>
  <property fmtid="{D5CDD505-2E9C-101B-9397-08002B2CF9AE}" pid="4" name="ICV">
    <vt:lpwstr>A8A0EE50A6FE418EAC579E5A701C34B2_12</vt:lpwstr>
  </property>
</Properties>
</file>