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F9F" w:rsidRDefault="000A4439" w:rsidP="001C7F9F">
      <w:pPr>
        <w:spacing w:after="0" w:line="240" w:lineRule="auto"/>
        <w:ind w:left="-1134" w:right="-849"/>
        <w:sectPr w:rsidR="001C7F9F" w:rsidSect="001C7F9F">
          <w:headerReference w:type="default" r:id="rId8"/>
          <w:pgSz w:w="11906" w:h="16838"/>
          <w:pgMar w:top="0" w:right="849" w:bottom="1417" w:left="1134" w:header="0" w:footer="0" w:gutter="0"/>
          <w:cols w:space="708"/>
          <w:titlePg/>
          <w:docGrid w:linePitch="360"/>
        </w:sectPr>
      </w:pPr>
      <w:r>
        <w:rPr>
          <w:noProof/>
          <w:lang w:eastAsia="pt-BR"/>
        </w:rPr>
        <w:drawing>
          <wp:inline distT="0" distB="0" distL="0" distR="0">
            <wp:extent cx="7534275" cy="10679502"/>
            <wp:effectExtent l="0" t="0" r="0" b="762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a - C114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4275" cy="10679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A8E" w:rsidRPr="00F45927" w:rsidRDefault="00950A8E" w:rsidP="001831A5">
      <w:pPr>
        <w:pBdr>
          <w:top w:val="single" w:sz="2" w:space="1" w:color="auto"/>
          <w:left w:val="single" w:sz="2" w:space="4" w:color="auto"/>
          <w:bottom w:val="single" w:sz="4" w:space="0" w:color="auto"/>
          <w:right w:val="single" w:sz="2" w:space="4" w:color="auto"/>
        </w:pBdr>
        <w:spacing w:after="0" w:line="240" w:lineRule="auto"/>
        <w:rPr>
          <w:rFonts w:ascii="Verdana" w:hAnsi="Verdana" w:cs="Arial"/>
          <w:b/>
          <w:color w:val="222222"/>
          <w:sz w:val="20"/>
          <w:szCs w:val="20"/>
          <w:shd w:val="clear" w:color="auto" w:fill="FFFFFF"/>
        </w:rPr>
      </w:pPr>
      <w:r w:rsidRPr="00F45927">
        <w:rPr>
          <w:rFonts w:ascii="Verdana" w:hAnsi="Verdana" w:cs="Arial"/>
          <w:b/>
          <w:color w:val="222222"/>
          <w:sz w:val="20"/>
          <w:szCs w:val="20"/>
          <w:shd w:val="clear" w:color="auto" w:fill="FFFFFF"/>
        </w:rPr>
        <w:lastRenderedPageBreak/>
        <w:t>Insights</w:t>
      </w:r>
    </w:p>
    <w:p w:rsidR="001831A5" w:rsidRDefault="001831A5" w:rsidP="00AD5480">
      <w:pPr>
        <w:pStyle w:val="Ttulo2"/>
      </w:pPr>
    </w:p>
    <w:p w:rsidR="00950A8E" w:rsidRPr="00F45927" w:rsidRDefault="00950A8E" w:rsidP="00AD5480">
      <w:pPr>
        <w:pStyle w:val="Ttulo2"/>
      </w:pPr>
      <w:r w:rsidRPr="00F45927">
        <w:t xml:space="preserve">O Mercado de </w:t>
      </w:r>
      <w:proofErr w:type="spellStart"/>
      <w:r w:rsidRPr="00F45927">
        <w:t>Conteinerização</w:t>
      </w:r>
      <w:proofErr w:type="spellEnd"/>
      <w:r w:rsidRPr="00F45927">
        <w:t xml:space="preserve"> e os Portos brasileiros</w:t>
      </w:r>
    </w:p>
    <w:p w:rsidR="00950A8E" w:rsidRDefault="00950A8E" w:rsidP="00950A8E">
      <w:pPr>
        <w:spacing w:after="0" w:line="240" w:lineRule="auto"/>
        <w:jc w:val="both"/>
        <w:rPr>
          <w:rFonts w:ascii="Verdana" w:hAnsi="Verdana" w:cs="Arial"/>
          <w:color w:val="222222"/>
          <w:szCs w:val="20"/>
          <w:shd w:val="clear" w:color="auto" w:fill="FFFFFF"/>
        </w:rPr>
      </w:pPr>
      <w:r w:rsidRPr="00617BF8">
        <w:rPr>
          <w:rFonts w:ascii="Verdana" w:hAnsi="Verdana" w:cs="Arial"/>
          <w:color w:val="222222"/>
          <w:szCs w:val="20"/>
          <w:shd w:val="clear" w:color="auto" w:fill="FFFFFF"/>
        </w:rPr>
        <w:t xml:space="preserve">Estudos de projeções sobre Terminais de Contêineres trabalham as relações de PIB, câmbio e projeções internacionais. Indicadores extraordinários quando </w:t>
      </w:r>
      <w:r w:rsidR="00C34E3E">
        <w:rPr>
          <w:rFonts w:ascii="Verdana" w:hAnsi="Verdana" w:cs="Arial"/>
          <w:color w:val="222222"/>
          <w:szCs w:val="20"/>
          <w:shd w:val="clear" w:color="auto" w:fill="FFFFFF"/>
        </w:rPr>
        <w:t>compostos</w:t>
      </w:r>
      <w:r w:rsidRPr="00617BF8">
        <w:rPr>
          <w:rFonts w:ascii="Verdana" w:hAnsi="Verdana" w:cs="Arial"/>
          <w:color w:val="222222"/>
          <w:szCs w:val="20"/>
          <w:shd w:val="clear" w:color="auto" w:fill="FFFFFF"/>
        </w:rPr>
        <w:t>.</w:t>
      </w:r>
      <w:r w:rsidR="00C34E3E">
        <w:rPr>
          <w:rFonts w:ascii="Verdana" w:hAnsi="Verdana" w:cs="Arial"/>
          <w:color w:val="222222"/>
          <w:szCs w:val="20"/>
          <w:shd w:val="clear" w:color="auto" w:fill="FFFFFF"/>
        </w:rPr>
        <w:t xml:space="preserve"> </w:t>
      </w:r>
      <w:r w:rsidR="00100434">
        <w:rPr>
          <w:rFonts w:ascii="Verdana" w:hAnsi="Verdana" w:cs="Arial"/>
          <w:color w:val="222222"/>
          <w:szCs w:val="20"/>
          <w:shd w:val="clear" w:color="auto" w:fill="FFFFFF"/>
        </w:rPr>
        <w:t>Porém</w:t>
      </w:r>
      <w:r w:rsidR="001F52DF">
        <w:rPr>
          <w:rFonts w:ascii="Verdana" w:hAnsi="Verdana" w:cs="Arial"/>
          <w:color w:val="222222"/>
          <w:szCs w:val="20"/>
          <w:shd w:val="clear" w:color="auto" w:fill="FFFFFF"/>
        </w:rPr>
        <w:t>,</w:t>
      </w:r>
      <w:r w:rsidR="000452C6">
        <w:rPr>
          <w:rFonts w:ascii="Verdana" w:hAnsi="Verdana" w:cs="Arial"/>
          <w:color w:val="222222"/>
          <w:szCs w:val="20"/>
          <w:shd w:val="clear" w:color="auto" w:fill="FFFFFF"/>
        </w:rPr>
        <w:t xml:space="preserve"> a exuberância não responde a</w:t>
      </w:r>
      <w:r w:rsidR="00100434">
        <w:rPr>
          <w:rFonts w:ascii="Verdana" w:hAnsi="Verdana" w:cs="Arial"/>
          <w:color w:val="222222"/>
          <w:szCs w:val="20"/>
          <w:shd w:val="clear" w:color="auto" w:fill="FFFFFF"/>
        </w:rPr>
        <w:t xml:space="preserve"> questão</w:t>
      </w:r>
      <w:r>
        <w:rPr>
          <w:rFonts w:ascii="Verdana" w:hAnsi="Verdana" w:cs="Arial"/>
          <w:color w:val="222222"/>
          <w:szCs w:val="20"/>
          <w:shd w:val="clear" w:color="auto" w:fill="FFFFFF"/>
        </w:rPr>
        <w:t>:</w:t>
      </w:r>
      <w:r w:rsidRPr="00617BF8">
        <w:rPr>
          <w:rFonts w:ascii="Verdana" w:hAnsi="Verdana" w:cs="Arial"/>
          <w:color w:val="222222"/>
          <w:szCs w:val="20"/>
          <w:shd w:val="clear" w:color="auto" w:fill="FFFFFF"/>
        </w:rPr>
        <w:t xml:space="preserve"> se o </w:t>
      </w:r>
      <w:r>
        <w:rPr>
          <w:rFonts w:ascii="Verdana" w:hAnsi="Verdana" w:cs="Arial"/>
          <w:color w:val="222222"/>
          <w:szCs w:val="20"/>
          <w:shd w:val="clear" w:color="auto" w:fill="FFFFFF"/>
        </w:rPr>
        <w:t xml:space="preserve">negócio </w:t>
      </w:r>
      <w:r w:rsidRPr="00617BF8">
        <w:rPr>
          <w:rFonts w:ascii="Verdana" w:hAnsi="Verdana" w:cs="Arial"/>
          <w:color w:val="222222"/>
          <w:szCs w:val="20"/>
          <w:shd w:val="clear" w:color="auto" w:fill="FFFFFF"/>
        </w:rPr>
        <w:t xml:space="preserve">é </w:t>
      </w:r>
      <w:r>
        <w:rPr>
          <w:rFonts w:ascii="Verdana" w:hAnsi="Verdana" w:cs="Arial"/>
          <w:color w:val="222222"/>
          <w:szCs w:val="20"/>
          <w:shd w:val="clear" w:color="auto" w:fill="FFFFFF"/>
        </w:rPr>
        <w:t xml:space="preserve">tão venturoso, </w:t>
      </w:r>
      <w:r w:rsidRPr="00617BF8">
        <w:rPr>
          <w:rFonts w:ascii="Verdana" w:hAnsi="Verdana" w:cs="Arial"/>
          <w:color w:val="222222"/>
          <w:szCs w:val="20"/>
          <w:shd w:val="clear" w:color="auto" w:fill="FFFFFF"/>
        </w:rPr>
        <w:t>por que</w:t>
      </w:r>
      <w:r w:rsidR="00C34E3E">
        <w:rPr>
          <w:rFonts w:ascii="Verdana" w:hAnsi="Verdana" w:cs="Arial"/>
          <w:color w:val="222222"/>
          <w:szCs w:val="20"/>
          <w:shd w:val="clear" w:color="auto" w:fill="FFFFFF"/>
        </w:rPr>
        <w:t xml:space="preserve"> </w:t>
      </w:r>
      <w:r>
        <w:rPr>
          <w:rFonts w:ascii="Verdana" w:hAnsi="Verdana" w:cs="Arial"/>
          <w:color w:val="222222"/>
          <w:szCs w:val="20"/>
          <w:shd w:val="clear" w:color="auto" w:fill="FFFFFF"/>
        </w:rPr>
        <w:t>certos p</w:t>
      </w:r>
      <w:r w:rsidRPr="00617BF8">
        <w:rPr>
          <w:rFonts w:ascii="Verdana" w:hAnsi="Verdana" w:cs="Arial"/>
          <w:color w:val="222222"/>
          <w:szCs w:val="20"/>
          <w:shd w:val="clear" w:color="auto" w:fill="FFFFFF"/>
        </w:rPr>
        <w:t>ortos não conseguem exibir crescimento?</w:t>
      </w:r>
    </w:p>
    <w:p w:rsidR="00100434" w:rsidRDefault="00100434" w:rsidP="00950A8E">
      <w:pPr>
        <w:spacing w:after="0" w:line="240" w:lineRule="auto"/>
        <w:jc w:val="both"/>
        <w:rPr>
          <w:rFonts w:ascii="Verdana" w:hAnsi="Verdana" w:cs="Arial"/>
          <w:color w:val="222222"/>
          <w:szCs w:val="20"/>
          <w:shd w:val="clear" w:color="auto" w:fill="FFFFFF"/>
        </w:rPr>
      </w:pPr>
    </w:p>
    <w:p w:rsidR="00100434" w:rsidRPr="00617BF8" w:rsidRDefault="009B7D56" w:rsidP="00950A8E">
      <w:pPr>
        <w:spacing w:after="0" w:line="240" w:lineRule="auto"/>
        <w:jc w:val="both"/>
        <w:rPr>
          <w:rFonts w:ascii="Verdana" w:hAnsi="Verdana" w:cs="Arial"/>
          <w:color w:val="222222"/>
          <w:szCs w:val="20"/>
          <w:shd w:val="clear" w:color="auto" w:fill="FFFFFF"/>
        </w:rPr>
      </w:pPr>
      <w:r>
        <w:rPr>
          <w:rFonts w:ascii="Verdana" w:hAnsi="Verdana" w:cs="Arial"/>
          <w:color w:val="222222"/>
          <w:szCs w:val="20"/>
          <w:shd w:val="clear" w:color="auto" w:fill="FFFFFF"/>
        </w:rPr>
        <w:t xml:space="preserve">Os impactos negativos – </w:t>
      </w:r>
      <w:proofErr w:type="spellStart"/>
      <w:r>
        <w:rPr>
          <w:rFonts w:ascii="Verdana" w:hAnsi="Verdana" w:cs="Arial"/>
          <w:color w:val="222222"/>
          <w:szCs w:val="20"/>
          <w:shd w:val="clear" w:color="auto" w:fill="FFFFFF"/>
        </w:rPr>
        <w:t>sitiamento</w:t>
      </w:r>
      <w:proofErr w:type="spellEnd"/>
      <w:r>
        <w:rPr>
          <w:rFonts w:ascii="Verdana" w:hAnsi="Verdana" w:cs="Arial"/>
          <w:color w:val="222222"/>
          <w:szCs w:val="20"/>
          <w:shd w:val="clear" w:color="auto" w:fill="FFFFFF"/>
        </w:rPr>
        <w:t xml:space="preserve">, adensamento urbano desordenado, acessos precários às vias locais e/ou ao próprio porto – </w:t>
      </w:r>
      <w:r w:rsidR="001F52DF">
        <w:rPr>
          <w:rFonts w:ascii="Verdana" w:hAnsi="Verdana" w:cs="Arial"/>
          <w:color w:val="222222"/>
          <w:szCs w:val="20"/>
          <w:shd w:val="clear" w:color="auto" w:fill="FFFFFF"/>
        </w:rPr>
        <w:t xml:space="preserve">claramente, </w:t>
      </w:r>
      <w:r>
        <w:rPr>
          <w:rFonts w:ascii="Verdana" w:hAnsi="Verdana" w:cs="Arial"/>
          <w:color w:val="222222"/>
          <w:szCs w:val="20"/>
          <w:shd w:val="clear" w:color="auto" w:fill="FFFFFF"/>
        </w:rPr>
        <w:t>n</w:t>
      </w:r>
      <w:r w:rsidR="00100434">
        <w:rPr>
          <w:rFonts w:ascii="Verdana" w:hAnsi="Verdana" w:cs="Arial"/>
          <w:color w:val="222222"/>
          <w:szCs w:val="20"/>
          <w:shd w:val="clear" w:color="auto" w:fill="FFFFFF"/>
        </w:rPr>
        <w:t xml:space="preserve">ão </w:t>
      </w:r>
      <w:r>
        <w:rPr>
          <w:rFonts w:ascii="Verdana" w:hAnsi="Verdana" w:cs="Arial"/>
          <w:color w:val="222222"/>
          <w:szCs w:val="20"/>
          <w:shd w:val="clear" w:color="auto" w:fill="FFFFFF"/>
        </w:rPr>
        <w:t>são computados</w:t>
      </w:r>
      <w:r w:rsidR="00100434">
        <w:rPr>
          <w:rFonts w:ascii="Verdana" w:hAnsi="Verdana" w:cs="Arial"/>
          <w:color w:val="222222"/>
          <w:szCs w:val="20"/>
          <w:shd w:val="clear" w:color="auto" w:fill="FFFFFF"/>
        </w:rPr>
        <w:t>.</w:t>
      </w:r>
    </w:p>
    <w:p w:rsidR="00950A8E" w:rsidRDefault="00950A8E" w:rsidP="00AD5480">
      <w:pPr>
        <w:pStyle w:val="Ttulo2"/>
      </w:pPr>
    </w:p>
    <w:p w:rsidR="00950A8E" w:rsidRPr="007E1428" w:rsidRDefault="00950A8E" w:rsidP="00AD5480">
      <w:pPr>
        <w:pStyle w:val="Ttulo2"/>
      </w:pPr>
      <w:r w:rsidRPr="007E1428">
        <w:t xml:space="preserve">Os </w:t>
      </w:r>
      <w:proofErr w:type="spellStart"/>
      <w:r w:rsidRPr="007E1428">
        <w:t>TUPs</w:t>
      </w:r>
      <w:proofErr w:type="spellEnd"/>
      <w:r w:rsidRPr="007E1428">
        <w:t xml:space="preserve"> deslancharam de vez com a nova legislação</w:t>
      </w:r>
    </w:p>
    <w:p w:rsidR="00950A8E" w:rsidRPr="00617BF8" w:rsidRDefault="00950A8E" w:rsidP="00950A8E">
      <w:pPr>
        <w:spacing w:after="0" w:line="240" w:lineRule="auto"/>
        <w:jc w:val="both"/>
        <w:rPr>
          <w:rFonts w:ascii="Verdana" w:hAnsi="Verdana" w:cs="Arial"/>
          <w:color w:val="222222"/>
          <w:szCs w:val="20"/>
          <w:shd w:val="clear" w:color="auto" w:fill="FFFFFF"/>
        </w:rPr>
      </w:pPr>
      <w:r w:rsidRPr="00617BF8">
        <w:rPr>
          <w:rFonts w:ascii="Verdana" w:hAnsi="Verdana" w:cs="Arial"/>
          <w:color w:val="222222"/>
          <w:szCs w:val="20"/>
          <w:shd w:val="clear" w:color="auto" w:fill="FFFFFF"/>
        </w:rPr>
        <w:t xml:space="preserve">São mais de 30 novos </w:t>
      </w:r>
      <w:proofErr w:type="spellStart"/>
      <w:r w:rsidRPr="00617BF8">
        <w:rPr>
          <w:rFonts w:ascii="Verdana" w:hAnsi="Verdana" w:cs="Arial"/>
          <w:color w:val="222222"/>
          <w:szCs w:val="20"/>
          <w:shd w:val="clear" w:color="auto" w:fill="FFFFFF"/>
        </w:rPr>
        <w:t>TUPs</w:t>
      </w:r>
      <w:proofErr w:type="spellEnd"/>
      <w:r>
        <w:rPr>
          <w:rFonts w:ascii="Verdana" w:hAnsi="Verdana" w:cs="Arial"/>
          <w:color w:val="222222"/>
          <w:szCs w:val="20"/>
          <w:shd w:val="clear" w:color="auto" w:fill="FFFFFF"/>
        </w:rPr>
        <w:t xml:space="preserve"> e </w:t>
      </w:r>
      <w:proofErr w:type="spellStart"/>
      <w:r>
        <w:rPr>
          <w:rFonts w:ascii="Verdana" w:hAnsi="Verdana" w:cs="Arial"/>
          <w:color w:val="222222"/>
          <w:szCs w:val="20"/>
          <w:shd w:val="clear" w:color="auto" w:fill="FFFFFF"/>
        </w:rPr>
        <w:t>ETCs</w:t>
      </w:r>
      <w:proofErr w:type="spellEnd"/>
      <w:r>
        <w:rPr>
          <w:rFonts w:ascii="Verdana" w:hAnsi="Verdana" w:cs="Arial"/>
          <w:color w:val="222222"/>
          <w:szCs w:val="20"/>
          <w:shd w:val="clear" w:color="auto" w:fill="FFFFFF"/>
        </w:rPr>
        <w:t xml:space="preserve"> (Estação de Transbordo de Carga)</w:t>
      </w:r>
      <w:r w:rsidRPr="00617BF8">
        <w:rPr>
          <w:rFonts w:ascii="Verdana" w:hAnsi="Verdana" w:cs="Arial"/>
          <w:color w:val="222222"/>
          <w:szCs w:val="20"/>
          <w:shd w:val="clear" w:color="auto" w:fill="FFFFFF"/>
        </w:rPr>
        <w:t xml:space="preserve"> autorizados e mais de 40 assinaturas de contratos de adesão ada</w:t>
      </w:r>
      <w:r>
        <w:rPr>
          <w:rFonts w:ascii="Verdana" w:hAnsi="Verdana" w:cs="Arial"/>
          <w:color w:val="222222"/>
          <w:szCs w:val="20"/>
          <w:shd w:val="clear" w:color="auto" w:fill="FFFFFF"/>
        </w:rPr>
        <w:t>ptados à</w:t>
      </w:r>
      <w:r w:rsidR="006376B2">
        <w:rPr>
          <w:rFonts w:ascii="Verdana" w:hAnsi="Verdana" w:cs="Arial"/>
          <w:color w:val="222222"/>
          <w:szCs w:val="20"/>
          <w:shd w:val="clear" w:color="auto" w:fill="FFFFFF"/>
        </w:rPr>
        <w:t xml:space="preserve"> nova legislação.</w:t>
      </w:r>
      <w:r w:rsidR="00C34E3E">
        <w:rPr>
          <w:rFonts w:ascii="Verdana" w:hAnsi="Verdana" w:cs="Arial"/>
          <w:color w:val="222222"/>
          <w:szCs w:val="20"/>
          <w:shd w:val="clear" w:color="auto" w:fill="FFFFFF"/>
        </w:rPr>
        <w:t xml:space="preserve"> </w:t>
      </w:r>
      <w:r w:rsidR="006376B2">
        <w:rPr>
          <w:rFonts w:ascii="Verdana" w:hAnsi="Verdana" w:cs="Arial"/>
          <w:color w:val="222222"/>
          <w:szCs w:val="20"/>
          <w:shd w:val="clear" w:color="auto" w:fill="FFFFFF"/>
        </w:rPr>
        <w:t>P</w:t>
      </w:r>
      <w:r w:rsidRPr="00617BF8">
        <w:rPr>
          <w:rFonts w:ascii="Verdana" w:hAnsi="Verdana" w:cs="Arial"/>
          <w:color w:val="222222"/>
          <w:szCs w:val="20"/>
          <w:shd w:val="clear" w:color="auto" w:fill="FFFFFF"/>
        </w:rPr>
        <w:t>rocesso simpli</w:t>
      </w:r>
      <w:r w:rsidR="008648CF">
        <w:rPr>
          <w:rFonts w:ascii="Verdana" w:hAnsi="Verdana" w:cs="Arial"/>
          <w:color w:val="222222"/>
          <w:szCs w:val="20"/>
          <w:shd w:val="clear" w:color="auto" w:fill="FFFFFF"/>
        </w:rPr>
        <w:t>fi</w:t>
      </w:r>
      <w:r w:rsidRPr="00617BF8">
        <w:rPr>
          <w:rFonts w:ascii="Verdana" w:hAnsi="Verdana" w:cs="Arial"/>
          <w:color w:val="222222"/>
          <w:szCs w:val="20"/>
          <w:shd w:val="clear" w:color="auto" w:fill="FFFFFF"/>
        </w:rPr>
        <w:t>cado</w:t>
      </w:r>
      <w:r w:rsidR="006376B2">
        <w:rPr>
          <w:rFonts w:ascii="Verdana" w:hAnsi="Verdana" w:cs="Arial"/>
          <w:color w:val="222222"/>
          <w:szCs w:val="20"/>
          <w:shd w:val="clear" w:color="auto" w:fill="FFFFFF"/>
        </w:rPr>
        <w:t xml:space="preserve">, </w:t>
      </w:r>
      <w:r w:rsidRPr="00617BF8">
        <w:rPr>
          <w:rFonts w:ascii="Verdana" w:hAnsi="Verdana" w:cs="Arial"/>
          <w:color w:val="222222"/>
          <w:szCs w:val="20"/>
          <w:shd w:val="clear" w:color="auto" w:fill="FFFFFF"/>
        </w:rPr>
        <w:t xml:space="preserve">garantia </w:t>
      </w:r>
      <w:r>
        <w:rPr>
          <w:rFonts w:ascii="Verdana" w:hAnsi="Verdana" w:cs="Arial"/>
          <w:color w:val="222222"/>
          <w:szCs w:val="20"/>
          <w:shd w:val="clear" w:color="auto" w:fill="FFFFFF"/>
        </w:rPr>
        <w:t>de não reversibilidade dos bens</w:t>
      </w:r>
      <w:r w:rsidRPr="00617BF8">
        <w:rPr>
          <w:rFonts w:ascii="Verdana" w:hAnsi="Verdana" w:cs="Arial"/>
          <w:color w:val="222222"/>
          <w:szCs w:val="20"/>
          <w:shd w:val="clear" w:color="auto" w:fill="FFFFFF"/>
        </w:rPr>
        <w:t xml:space="preserve"> e a relativa e menor intervenção regulatória, sem falar no prazo de renovação ilimitada da a</w:t>
      </w:r>
      <w:r w:rsidR="006376B2">
        <w:rPr>
          <w:rFonts w:ascii="Verdana" w:hAnsi="Verdana" w:cs="Arial"/>
          <w:color w:val="222222"/>
          <w:szCs w:val="20"/>
          <w:shd w:val="clear" w:color="auto" w:fill="FFFFFF"/>
        </w:rPr>
        <w:t>utorização exploratória</w:t>
      </w:r>
      <w:r w:rsidRPr="00617BF8">
        <w:rPr>
          <w:rFonts w:ascii="Verdana" w:hAnsi="Verdana" w:cs="Arial"/>
          <w:color w:val="222222"/>
          <w:szCs w:val="20"/>
          <w:shd w:val="clear" w:color="auto" w:fill="FFFFFF"/>
        </w:rPr>
        <w:t xml:space="preserve"> são atrativos indiscutíveis.</w:t>
      </w:r>
    </w:p>
    <w:p w:rsidR="00950A8E" w:rsidRDefault="00950A8E" w:rsidP="00AD5480">
      <w:pPr>
        <w:pStyle w:val="Ttulo2"/>
      </w:pPr>
    </w:p>
    <w:p w:rsidR="00950A8E" w:rsidRDefault="00950A8E" w:rsidP="00AD5480">
      <w:pPr>
        <w:pStyle w:val="Ttulo2"/>
      </w:pPr>
      <w:r>
        <w:t>O caso de Santa Catarina</w:t>
      </w:r>
    </w:p>
    <w:p w:rsidR="00950A8E" w:rsidRDefault="00950A8E" w:rsidP="009B7D56">
      <w:pPr>
        <w:spacing w:after="0" w:line="240" w:lineRule="auto"/>
        <w:jc w:val="both"/>
        <w:rPr>
          <w:rFonts w:ascii="Verdana" w:hAnsi="Verdana" w:cs="Arial"/>
          <w:color w:val="222222"/>
          <w:szCs w:val="20"/>
          <w:shd w:val="clear" w:color="auto" w:fill="FFFFFF"/>
        </w:rPr>
        <w:sectPr w:rsidR="00950A8E" w:rsidSect="009B7D56">
          <w:footerReference w:type="default" r:id="rId10"/>
          <w:type w:val="continuous"/>
          <w:pgSz w:w="11906" w:h="16838"/>
          <w:pgMar w:top="1843" w:right="849" w:bottom="1417" w:left="1134" w:header="2" w:footer="708" w:gutter="0"/>
          <w:cols w:space="708"/>
          <w:docGrid w:linePitch="360"/>
        </w:sectPr>
      </w:pPr>
    </w:p>
    <w:p w:rsidR="001831A5" w:rsidRDefault="00C34E3E" w:rsidP="001831A5">
      <w:pPr>
        <w:spacing w:after="0" w:line="240" w:lineRule="auto"/>
        <w:jc w:val="both"/>
        <w:rPr>
          <w:rFonts w:ascii="Verdana" w:hAnsi="Verdana" w:cs="Arial"/>
          <w:color w:val="222222"/>
          <w:szCs w:val="20"/>
          <w:shd w:val="clear" w:color="auto" w:fill="FFFFFF"/>
        </w:rPr>
      </w:pPr>
      <w:r>
        <w:rPr>
          <w:rFonts w:ascii="Verdana" w:hAnsi="Verdana" w:cs="Arial"/>
          <w:color w:val="222222"/>
          <w:szCs w:val="20"/>
          <w:shd w:val="clear" w:color="auto" w:fill="FFFFFF"/>
        </w:rPr>
        <w:lastRenderedPageBreak/>
        <w:t>Santa Catarina</w:t>
      </w:r>
      <w:r w:rsidR="006376B2">
        <w:rPr>
          <w:rFonts w:ascii="Verdana" w:hAnsi="Verdana" w:cs="Arial"/>
          <w:color w:val="222222"/>
          <w:szCs w:val="20"/>
          <w:shd w:val="clear" w:color="auto" w:fill="FFFFFF"/>
        </w:rPr>
        <w:t>,</w:t>
      </w:r>
      <w:r w:rsidR="00470C8C">
        <w:rPr>
          <w:rFonts w:ascii="Verdana" w:hAnsi="Verdana" w:cs="Arial"/>
          <w:color w:val="222222"/>
          <w:szCs w:val="20"/>
          <w:shd w:val="clear" w:color="auto" w:fill="FFFFFF"/>
        </w:rPr>
        <w:t xml:space="preserve"> </w:t>
      </w:r>
      <w:r w:rsidR="006376B2">
        <w:rPr>
          <w:rFonts w:ascii="Verdana" w:hAnsi="Verdana" w:cs="Arial"/>
          <w:color w:val="222222"/>
          <w:szCs w:val="20"/>
          <w:shd w:val="clear" w:color="auto" w:fill="FFFFFF"/>
        </w:rPr>
        <w:t xml:space="preserve">5º ou 6º </w:t>
      </w:r>
      <w:r>
        <w:rPr>
          <w:rFonts w:ascii="Verdana" w:hAnsi="Verdana" w:cs="Arial"/>
          <w:color w:val="222222"/>
          <w:szCs w:val="20"/>
          <w:shd w:val="clear" w:color="auto" w:fill="FFFFFF"/>
        </w:rPr>
        <w:t>estado d</w:t>
      </w:r>
      <w:r w:rsidR="006376B2">
        <w:rPr>
          <w:rFonts w:ascii="Verdana" w:hAnsi="Verdana" w:cs="Arial"/>
          <w:color w:val="222222"/>
          <w:szCs w:val="20"/>
          <w:shd w:val="clear" w:color="auto" w:fill="FFFFFF"/>
        </w:rPr>
        <w:t xml:space="preserve">o PIB nacional, </w:t>
      </w:r>
      <w:r w:rsidR="00470C8C">
        <w:rPr>
          <w:rFonts w:ascii="Verdana" w:hAnsi="Verdana" w:cs="Arial"/>
          <w:color w:val="222222"/>
          <w:szCs w:val="20"/>
          <w:shd w:val="clear" w:color="auto" w:fill="FFFFFF"/>
        </w:rPr>
        <w:t>há 4 anos, tem o trade de comércio crescendo a taxas superiores ao brasileiro.</w:t>
      </w:r>
    </w:p>
    <w:p w:rsidR="001831A5" w:rsidRDefault="001831A5" w:rsidP="001831A5">
      <w:pPr>
        <w:spacing w:after="0" w:line="240" w:lineRule="auto"/>
        <w:jc w:val="both"/>
        <w:rPr>
          <w:rFonts w:ascii="Verdana" w:hAnsi="Verdana" w:cs="Arial"/>
          <w:color w:val="222222"/>
          <w:szCs w:val="20"/>
          <w:shd w:val="clear" w:color="auto" w:fill="FFFFFF"/>
        </w:rPr>
      </w:pPr>
    </w:p>
    <w:p w:rsidR="00470C8C" w:rsidRDefault="00C34E3E" w:rsidP="001831A5">
      <w:pPr>
        <w:spacing w:after="0" w:line="240" w:lineRule="auto"/>
        <w:jc w:val="both"/>
        <w:rPr>
          <w:rFonts w:ascii="Verdana" w:hAnsi="Verdana" w:cs="Arial"/>
          <w:color w:val="222222"/>
          <w:szCs w:val="20"/>
          <w:shd w:val="clear" w:color="auto" w:fill="FFFFFF"/>
        </w:rPr>
      </w:pPr>
      <w:r w:rsidRPr="002C2573">
        <w:rPr>
          <w:rFonts w:ascii="Verdana" w:hAnsi="Verdana" w:cs="Arial"/>
          <w:color w:val="222222"/>
          <w:szCs w:val="20"/>
          <w:shd w:val="clear" w:color="auto" w:fill="FFFFFF"/>
        </w:rPr>
        <w:t xml:space="preserve">Com um volume de 50,0% </w:t>
      </w:r>
      <w:r>
        <w:rPr>
          <w:rFonts w:ascii="Verdana" w:hAnsi="Verdana" w:cs="Arial"/>
          <w:color w:val="222222"/>
          <w:szCs w:val="20"/>
          <w:shd w:val="clear" w:color="auto" w:fill="FFFFFF"/>
        </w:rPr>
        <w:t>do</w:t>
      </w:r>
      <w:r w:rsidRPr="002C2573">
        <w:rPr>
          <w:rFonts w:ascii="Verdana" w:hAnsi="Verdana" w:cs="Arial"/>
          <w:color w:val="222222"/>
          <w:szCs w:val="20"/>
          <w:shd w:val="clear" w:color="auto" w:fill="FFFFFF"/>
        </w:rPr>
        <w:t xml:space="preserve"> operado em Santos</w:t>
      </w:r>
      <w:r>
        <w:rPr>
          <w:rFonts w:ascii="Verdana" w:hAnsi="Verdana" w:cs="Arial"/>
          <w:color w:val="222222"/>
          <w:szCs w:val="20"/>
          <w:shd w:val="clear" w:color="auto" w:fill="FFFFFF"/>
        </w:rPr>
        <w:t>,</w:t>
      </w:r>
      <w:r w:rsidR="006376B2">
        <w:rPr>
          <w:rFonts w:ascii="Verdana" w:hAnsi="Verdana" w:cs="Arial"/>
          <w:color w:val="222222"/>
          <w:szCs w:val="20"/>
          <w:shd w:val="clear" w:color="auto" w:fill="FFFFFF"/>
        </w:rPr>
        <w:t xml:space="preserve"> </w:t>
      </w:r>
      <w:r w:rsidR="00470C8C">
        <w:rPr>
          <w:rFonts w:ascii="Verdana" w:hAnsi="Verdana" w:cs="Arial"/>
          <w:color w:val="222222"/>
          <w:szCs w:val="20"/>
          <w:shd w:val="clear" w:color="auto" w:fill="FFFFFF"/>
        </w:rPr>
        <w:t>o crescime</w:t>
      </w:r>
      <w:r w:rsidR="006376B2">
        <w:rPr>
          <w:rFonts w:ascii="Verdana" w:hAnsi="Verdana" w:cs="Arial"/>
          <w:color w:val="222222"/>
          <w:szCs w:val="20"/>
          <w:shd w:val="clear" w:color="auto" w:fill="FFFFFF"/>
        </w:rPr>
        <w:t xml:space="preserve">nto da taxa de </w:t>
      </w:r>
      <w:proofErr w:type="spellStart"/>
      <w:r w:rsidR="006376B2">
        <w:rPr>
          <w:rFonts w:ascii="Verdana" w:hAnsi="Verdana" w:cs="Arial"/>
          <w:color w:val="222222"/>
          <w:szCs w:val="20"/>
          <w:shd w:val="clear" w:color="auto" w:fill="FFFFFF"/>
        </w:rPr>
        <w:t>conteinerização</w:t>
      </w:r>
      <w:proofErr w:type="spellEnd"/>
      <w:r w:rsidR="006376B2">
        <w:rPr>
          <w:rFonts w:ascii="Verdana" w:hAnsi="Verdana" w:cs="Arial"/>
          <w:color w:val="222222"/>
          <w:szCs w:val="20"/>
          <w:shd w:val="clear" w:color="auto" w:fill="FFFFFF"/>
        </w:rPr>
        <w:t>, c</w:t>
      </w:r>
      <w:r w:rsidR="00470C8C">
        <w:rPr>
          <w:rFonts w:ascii="Verdana" w:hAnsi="Verdana" w:cs="Arial"/>
          <w:color w:val="222222"/>
          <w:szCs w:val="20"/>
          <w:shd w:val="clear" w:color="auto" w:fill="FFFFFF"/>
        </w:rPr>
        <w:t>om base em dados da ANTAQ, no período de 2010 a 2013, foi quase 3 vezes superior a</w:t>
      </w:r>
      <w:r w:rsidR="001831A5">
        <w:rPr>
          <w:rFonts w:ascii="Verdana" w:hAnsi="Verdana" w:cs="Arial"/>
          <w:color w:val="222222"/>
          <w:szCs w:val="20"/>
          <w:shd w:val="clear" w:color="auto" w:fill="FFFFFF"/>
        </w:rPr>
        <w:t>o</w:t>
      </w:r>
      <w:r w:rsidR="00470C8C">
        <w:rPr>
          <w:rFonts w:ascii="Verdana" w:hAnsi="Verdana" w:cs="Arial"/>
          <w:color w:val="222222"/>
          <w:szCs w:val="20"/>
          <w:shd w:val="clear" w:color="auto" w:fill="FFFFFF"/>
        </w:rPr>
        <w:t xml:space="preserve"> de Santos e</w:t>
      </w:r>
      <w:r w:rsidR="001831A5">
        <w:rPr>
          <w:rFonts w:ascii="Verdana" w:hAnsi="Verdana" w:cs="Arial"/>
          <w:color w:val="222222"/>
          <w:szCs w:val="20"/>
          <w:shd w:val="clear" w:color="auto" w:fill="FFFFFF"/>
        </w:rPr>
        <w:t>,</w:t>
      </w:r>
      <w:r w:rsidR="00470C8C">
        <w:rPr>
          <w:rFonts w:ascii="Verdana" w:hAnsi="Verdana" w:cs="Arial"/>
          <w:color w:val="222222"/>
          <w:szCs w:val="20"/>
          <w:shd w:val="clear" w:color="auto" w:fill="FFFFFF"/>
        </w:rPr>
        <w:t xml:space="preserve"> no caso de contêineres</w:t>
      </w:r>
      <w:r w:rsidR="00F05289">
        <w:rPr>
          <w:rFonts w:ascii="Verdana" w:hAnsi="Verdana" w:cs="Arial"/>
          <w:color w:val="222222"/>
          <w:szCs w:val="20"/>
          <w:shd w:val="clear" w:color="auto" w:fill="FFFFFF"/>
        </w:rPr>
        <w:t xml:space="preserve"> cheios</w:t>
      </w:r>
      <w:r w:rsidR="001831A5">
        <w:rPr>
          <w:rFonts w:ascii="Verdana" w:hAnsi="Verdana" w:cs="Arial"/>
          <w:color w:val="222222"/>
          <w:szCs w:val="20"/>
          <w:shd w:val="clear" w:color="auto" w:fill="FFFFFF"/>
        </w:rPr>
        <w:t>,</w:t>
      </w:r>
      <w:r w:rsidR="00F05289">
        <w:rPr>
          <w:rFonts w:ascii="Verdana" w:hAnsi="Verdana" w:cs="Arial"/>
          <w:color w:val="222222"/>
          <w:szCs w:val="20"/>
          <w:shd w:val="clear" w:color="auto" w:fill="FFFFFF"/>
        </w:rPr>
        <w:t xml:space="preserve"> foi de 4 vezes.</w:t>
      </w:r>
    </w:p>
    <w:p w:rsidR="001831A5" w:rsidRDefault="001831A5" w:rsidP="001831A5">
      <w:pPr>
        <w:spacing w:after="0" w:line="240" w:lineRule="auto"/>
        <w:jc w:val="both"/>
        <w:rPr>
          <w:rFonts w:ascii="Verdana" w:hAnsi="Verdana" w:cs="Arial"/>
          <w:color w:val="222222"/>
          <w:szCs w:val="20"/>
          <w:shd w:val="clear" w:color="auto" w:fill="FFFFFF"/>
        </w:rPr>
      </w:pPr>
    </w:p>
    <w:p w:rsidR="001831A5" w:rsidRPr="00F45927" w:rsidRDefault="001831A5" w:rsidP="001831A5">
      <w:pPr>
        <w:pBdr>
          <w:top w:val="single" w:sz="2" w:space="1" w:color="auto"/>
          <w:left w:val="single" w:sz="2" w:space="4" w:color="auto"/>
          <w:bottom w:val="single" w:sz="4" w:space="1" w:color="auto"/>
          <w:right w:val="single" w:sz="2" w:space="4" w:color="auto"/>
        </w:pBdr>
        <w:spacing w:after="0" w:line="240" w:lineRule="auto"/>
        <w:rPr>
          <w:rFonts w:ascii="Verdana" w:hAnsi="Verdana" w:cs="Arial"/>
          <w:b/>
          <w:color w:val="222222"/>
          <w:sz w:val="20"/>
          <w:szCs w:val="20"/>
          <w:shd w:val="clear" w:color="auto" w:fill="FFFFFF"/>
        </w:rPr>
      </w:pPr>
      <w:r>
        <w:rPr>
          <w:rFonts w:ascii="Verdana" w:hAnsi="Verdana" w:cs="Arial"/>
          <w:b/>
          <w:color w:val="222222"/>
          <w:sz w:val="20"/>
          <w:szCs w:val="20"/>
          <w:shd w:val="clear" w:color="auto" w:fill="FFFFFF"/>
        </w:rPr>
        <w:t>Situação do Fluxo de Cargas</w:t>
      </w:r>
    </w:p>
    <w:p w:rsidR="001831A5" w:rsidRDefault="001831A5" w:rsidP="001831A5">
      <w:pPr>
        <w:spacing w:after="0" w:line="240" w:lineRule="auto"/>
        <w:jc w:val="both"/>
        <w:rPr>
          <w:rFonts w:ascii="Verdana" w:hAnsi="Verdana"/>
        </w:rPr>
      </w:pPr>
    </w:p>
    <w:p w:rsidR="001831A5" w:rsidRPr="00AD5480" w:rsidRDefault="001831A5" w:rsidP="00AD5480">
      <w:pPr>
        <w:pStyle w:val="Ttulo2"/>
        <w:rPr>
          <w:rStyle w:val="nfaseIntensa"/>
          <w:i w:val="0"/>
        </w:rPr>
      </w:pPr>
      <w:r w:rsidRPr="00AD5480">
        <w:rPr>
          <w:rStyle w:val="nfaseIntensa"/>
          <w:i w:val="0"/>
        </w:rPr>
        <w:t xml:space="preserve">BTP e </w:t>
      </w:r>
      <w:proofErr w:type="spellStart"/>
      <w:r w:rsidRPr="00AD5480">
        <w:rPr>
          <w:rStyle w:val="nfaseIntensa"/>
          <w:i w:val="0"/>
        </w:rPr>
        <w:t>Embraport</w:t>
      </w:r>
      <w:proofErr w:type="spellEnd"/>
      <w:r w:rsidRPr="00AD5480">
        <w:rPr>
          <w:rStyle w:val="nfaseIntensa"/>
          <w:i w:val="0"/>
        </w:rPr>
        <w:t xml:space="preserve"> aumentam sua participação em Santos</w:t>
      </w:r>
    </w:p>
    <w:p w:rsidR="001831A5" w:rsidRDefault="001831A5" w:rsidP="000452C6">
      <w:pPr>
        <w:spacing w:after="0" w:line="240" w:lineRule="auto"/>
        <w:jc w:val="both"/>
        <w:rPr>
          <w:rFonts w:ascii="Verdana" w:hAnsi="Verdana"/>
        </w:rPr>
      </w:pPr>
      <w:r w:rsidRPr="00617BF8">
        <w:rPr>
          <w:rFonts w:ascii="Verdana" w:hAnsi="Verdana"/>
        </w:rPr>
        <w:t xml:space="preserve">BTP e </w:t>
      </w:r>
      <w:proofErr w:type="spellStart"/>
      <w:r w:rsidRPr="00617BF8">
        <w:rPr>
          <w:rFonts w:ascii="Verdana" w:hAnsi="Verdana"/>
        </w:rPr>
        <w:t>Em</w:t>
      </w:r>
      <w:r>
        <w:rPr>
          <w:rFonts w:ascii="Verdana" w:hAnsi="Verdana"/>
        </w:rPr>
        <w:t>braport</w:t>
      </w:r>
      <w:proofErr w:type="spellEnd"/>
      <w:r>
        <w:rPr>
          <w:rFonts w:ascii="Verdana" w:hAnsi="Verdana"/>
        </w:rPr>
        <w:t xml:space="preserve"> já capturam até aqui </w:t>
      </w:r>
      <w:r w:rsidR="00AD5480">
        <w:rPr>
          <w:rFonts w:ascii="Verdana" w:hAnsi="Verdana"/>
        </w:rPr>
        <w:t>1/3</w:t>
      </w:r>
      <w:r w:rsidRPr="00617BF8">
        <w:rPr>
          <w:rFonts w:ascii="Verdana" w:hAnsi="Verdana"/>
        </w:rPr>
        <w:t xml:space="preserve"> </w:t>
      </w:r>
      <w:r w:rsidR="00AD5480">
        <w:rPr>
          <w:rFonts w:ascii="Verdana" w:hAnsi="Verdana"/>
        </w:rPr>
        <w:t>de</w:t>
      </w:r>
      <w:r w:rsidRPr="00617BF8">
        <w:rPr>
          <w:rFonts w:ascii="Verdana" w:hAnsi="Verdana"/>
        </w:rPr>
        <w:t xml:space="preserve"> movimentação de carga de contêineres </w:t>
      </w:r>
      <w:r w:rsidR="00AD5480">
        <w:rPr>
          <w:rFonts w:ascii="Verdana" w:hAnsi="Verdana"/>
        </w:rPr>
        <w:t>de Santos</w:t>
      </w:r>
      <w:r>
        <w:rPr>
          <w:rFonts w:ascii="Verdana" w:hAnsi="Verdana"/>
        </w:rPr>
        <w:t xml:space="preserve"> e o ritmo só cresce.</w:t>
      </w:r>
      <w:r w:rsidR="002512FA">
        <w:rPr>
          <w:rFonts w:ascii="Verdana" w:hAnsi="Verdana"/>
        </w:rPr>
        <w:t xml:space="preserve"> </w:t>
      </w:r>
      <w:r w:rsidR="00AD5480">
        <w:rPr>
          <w:rFonts w:ascii="Verdana" w:hAnsi="Verdana"/>
        </w:rPr>
        <w:t>Já o</w:t>
      </w:r>
      <w:r w:rsidRPr="00617BF8">
        <w:rPr>
          <w:rFonts w:ascii="Verdana" w:hAnsi="Verdana"/>
        </w:rPr>
        <w:t>s demais</w:t>
      </w:r>
      <w:r w:rsidR="00AD5480">
        <w:rPr>
          <w:rFonts w:ascii="Verdana" w:hAnsi="Verdana"/>
        </w:rPr>
        <w:t xml:space="preserve"> foram abalados – o que </w:t>
      </w:r>
      <w:r w:rsidRPr="00617BF8">
        <w:rPr>
          <w:rFonts w:ascii="Verdana" w:hAnsi="Verdana"/>
        </w:rPr>
        <w:t xml:space="preserve">menos </w:t>
      </w:r>
      <w:r w:rsidR="00AD5480">
        <w:rPr>
          <w:rFonts w:ascii="Verdana" w:hAnsi="Verdana"/>
        </w:rPr>
        <w:t xml:space="preserve">perdeu </w:t>
      </w:r>
      <w:r w:rsidRPr="00617BF8">
        <w:rPr>
          <w:rFonts w:ascii="Verdana" w:hAnsi="Verdana"/>
        </w:rPr>
        <w:t xml:space="preserve">já contabiliza uma queda de mais </w:t>
      </w:r>
      <w:r>
        <w:rPr>
          <w:rFonts w:ascii="Verdana" w:hAnsi="Verdana"/>
        </w:rPr>
        <w:t>de 20,0% em relação a 2013.</w:t>
      </w:r>
    </w:p>
    <w:p w:rsidR="000452C6" w:rsidRDefault="000452C6" w:rsidP="000452C6">
      <w:pPr>
        <w:spacing w:after="0" w:line="240" w:lineRule="auto"/>
        <w:jc w:val="both"/>
        <w:rPr>
          <w:rFonts w:ascii="Verdana" w:hAnsi="Verdana"/>
        </w:rPr>
      </w:pPr>
    </w:p>
    <w:p w:rsidR="00AD5480" w:rsidRPr="00AD5480" w:rsidRDefault="00AD5480" w:rsidP="00AD5480">
      <w:pPr>
        <w:pStyle w:val="Ttulo2"/>
        <w:rPr>
          <w:rStyle w:val="nfaseIntensa"/>
          <w:i w:val="0"/>
        </w:rPr>
      </w:pPr>
      <w:r w:rsidRPr="00AD5480">
        <w:rPr>
          <w:rStyle w:val="nfaseIntensa"/>
          <w:i w:val="0"/>
        </w:rPr>
        <w:t>A fraqueza e a força</w:t>
      </w:r>
    </w:p>
    <w:p w:rsidR="00AD5480" w:rsidRDefault="000452C6" w:rsidP="00AD5480">
      <w:pPr>
        <w:spacing w:after="0" w:line="240" w:lineRule="auto"/>
        <w:jc w:val="both"/>
        <w:rPr>
          <w:rFonts w:ascii="Verdana" w:hAnsi="Verdana"/>
        </w:rPr>
      </w:pPr>
      <w:r w:rsidRPr="00617BF8">
        <w:rPr>
          <w:rFonts w:ascii="Verdana" w:hAnsi="Verdana"/>
        </w:rPr>
        <w:t xml:space="preserve">BTP tem </w:t>
      </w:r>
      <w:proofErr w:type="spellStart"/>
      <w:r w:rsidRPr="00617BF8">
        <w:rPr>
          <w:rFonts w:ascii="Verdana" w:hAnsi="Verdana"/>
        </w:rPr>
        <w:t>Maersk</w:t>
      </w:r>
      <w:proofErr w:type="spellEnd"/>
      <w:r w:rsidRPr="00617BF8">
        <w:rPr>
          <w:rFonts w:ascii="Verdana" w:hAnsi="Verdana"/>
        </w:rPr>
        <w:t xml:space="preserve"> e MSC, assim como </w:t>
      </w:r>
      <w:proofErr w:type="spellStart"/>
      <w:r w:rsidRPr="00617BF8">
        <w:rPr>
          <w:rFonts w:ascii="Verdana" w:hAnsi="Verdana"/>
        </w:rPr>
        <w:t>Embraport</w:t>
      </w:r>
      <w:proofErr w:type="spellEnd"/>
      <w:r w:rsidRPr="00617BF8">
        <w:rPr>
          <w:rFonts w:ascii="Verdana" w:hAnsi="Verdana"/>
        </w:rPr>
        <w:t xml:space="preserve"> tem a Dubai </w:t>
      </w:r>
      <w:proofErr w:type="spellStart"/>
      <w:r w:rsidRPr="00617BF8">
        <w:rPr>
          <w:rFonts w:ascii="Verdana" w:hAnsi="Verdana"/>
        </w:rPr>
        <w:t>Ports</w:t>
      </w:r>
      <w:proofErr w:type="spellEnd"/>
      <w:r w:rsidRPr="00617BF8">
        <w:rPr>
          <w:rFonts w:ascii="Verdana" w:hAnsi="Verdana"/>
        </w:rPr>
        <w:t xml:space="preserve"> World em suas retaguardas de negócio, </w:t>
      </w:r>
      <w:r>
        <w:rPr>
          <w:rFonts w:ascii="Verdana" w:hAnsi="Verdana"/>
        </w:rPr>
        <w:t>o que</w:t>
      </w:r>
      <w:r w:rsidRPr="00617BF8">
        <w:rPr>
          <w:rFonts w:ascii="Verdana" w:hAnsi="Verdana"/>
        </w:rPr>
        <w:t xml:space="preserve"> aumenta ainda mais </w:t>
      </w:r>
      <w:r>
        <w:rPr>
          <w:rFonts w:ascii="Verdana" w:hAnsi="Verdana"/>
        </w:rPr>
        <w:t>a pressão sobre os demais.</w:t>
      </w:r>
      <w:r w:rsidR="00AD5480">
        <w:rPr>
          <w:rFonts w:ascii="Verdana" w:hAnsi="Verdana"/>
        </w:rPr>
        <w:t xml:space="preserve"> </w:t>
      </w:r>
      <w:bookmarkStart w:id="0" w:name="_GoBack"/>
      <w:bookmarkEnd w:id="0"/>
      <w:r w:rsidR="00AD5480">
        <w:rPr>
          <w:rFonts w:ascii="Verdana" w:hAnsi="Verdana"/>
        </w:rPr>
        <w:t xml:space="preserve">A grande questão </w:t>
      </w:r>
      <w:r w:rsidR="00AD5480" w:rsidRPr="00617BF8">
        <w:rPr>
          <w:rFonts w:ascii="Verdana" w:hAnsi="Verdana"/>
        </w:rPr>
        <w:t xml:space="preserve">é saber se </w:t>
      </w:r>
      <w:r w:rsidR="00AD5480">
        <w:rPr>
          <w:rFonts w:ascii="Verdana" w:hAnsi="Verdana"/>
        </w:rPr>
        <w:t>os Terminais vão</w:t>
      </w:r>
      <w:r w:rsidR="00AD5480" w:rsidRPr="00617BF8">
        <w:rPr>
          <w:rFonts w:ascii="Verdana" w:hAnsi="Verdana"/>
        </w:rPr>
        <w:t xml:space="preserve"> aguentar o tranco dos entrantes, absorvendo então as repercussões em volume, </w:t>
      </w:r>
      <w:r w:rsidR="00AD5480">
        <w:rPr>
          <w:rFonts w:ascii="Verdana" w:hAnsi="Verdana"/>
        </w:rPr>
        <w:t>n</w:t>
      </w:r>
      <w:r w:rsidR="00AD5480" w:rsidRPr="00617BF8">
        <w:rPr>
          <w:rFonts w:ascii="Verdana" w:hAnsi="Verdana"/>
        </w:rPr>
        <w:t xml:space="preserve">os preços e </w:t>
      </w:r>
      <w:r w:rsidR="00AD5480">
        <w:rPr>
          <w:rFonts w:ascii="Verdana" w:hAnsi="Verdana"/>
        </w:rPr>
        <w:t>margens.</w:t>
      </w:r>
    </w:p>
    <w:p w:rsidR="002512FA" w:rsidRDefault="002512FA" w:rsidP="000452C6">
      <w:pPr>
        <w:spacing w:after="0" w:line="240" w:lineRule="auto"/>
        <w:jc w:val="both"/>
        <w:rPr>
          <w:rFonts w:ascii="Verdana" w:hAnsi="Verdana"/>
        </w:rPr>
      </w:pPr>
    </w:p>
    <w:p w:rsidR="00AD5480" w:rsidRPr="00AD5480" w:rsidRDefault="00AD5480" w:rsidP="00AD5480">
      <w:pPr>
        <w:pStyle w:val="Ttulo2"/>
        <w:rPr>
          <w:rStyle w:val="nfaseIntensa"/>
          <w:i w:val="0"/>
        </w:rPr>
      </w:pPr>
      <w:r w:rsidRPr="00AD5480">
        <w:rPr>
          <w:rStyle w:val="nfaseIntensa"/>
          <w:i w:val="0"/>
        </w:rPr>
        <w:t>A reação esboçada</w:t>
      </w:r>
    </w:p>
    <w:p w:rsidR="000452C6" w:rsidRDefault="002512FA" w:rsidP="000452C6">
      <w:pPr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A</w:t>
      </w:r>
      <w:r w:rsidR="000452C6" w:rsidRPr="00617BF8">
        <w:rPr>
          <w:rFonts w:ascii="Verdana" w:hAnsi="Verdana"/>
        </w:rPr>
        <w:t xml:space="preserve"> maioria dos antigos acenou com novos investimentos, inclusive </w:t>
      </w:r>
      <w:r>
        <w:rPr>
          <w:rFonts w:ascii="Verdana" w:hAnsi="Verdana"/>
        </w:rPr>
        <w:t xml:space="preserve">com </w:t>
      </w:r>
      <w:r w:rsidR="000452C6">
        <w:rPr>
          <w:rFonts w:ascii="Verdana" w:hAnsi="Verdana"/>
        </w:rPr>
        <w:t xml:space="preserve">pedidos de </w:t>
      </w:r>
      <w:r w:rsidR="000452C6" w:rsidRPr="00617BF8">
        <w:rPr>
          <w:rFonts w:ascii="Verdana" w:hAnsi="Verdana"/>
        </w:rPr>
        <w:t>prorrogação antecipada</w:t>
      </w:r>
      <w:r>
        <w:rPr>
          <w:rFonts w:ascii="Verdana" w:hAnsi="Verdana"/>
        </w:rPr>
        <w:t>,</w:t>
      </w:r>
      <w:r w:rsidR="000452C6" w:rsidRPr="00617BF8">
        <w:rPr>
          <w:rFonts w:ascii="Verdana" w:hAnsi="Verdana"/>
        </w:rPr>
        <w:t xml:space="preserve"> de</w:t>
      </w:r>
      <w:r w:rsidR="000452C6">
        <w:rPr>
          <w:rFonts w:ascii="Verdana" w:hAnsi="Verdana"/>
        </w:rPr>
        <w:t xml:space="preserve"> </w:t>
      </w:r>
      <w:r w:rsidR="000452C6" w:rsidRPr="00617BF8">
        <w:rPr>
          <w:rFonts w:ascii="Verdana" w:hAnsi="Verdana"/>
        </w:rPr>
        <w:t>modo a absorver em maior horizonte as amort</w:t>
      </w:r>
      <w:r w:rsidR="000452C6">
        <w:rPr>
          <w:rFonts w:ascii="Verdana" w:hAnsi="Verdana"/>
        </w:rPr>
        <w:t>izações dessas novas inversões.</w:t>
      </w:r>
    </w:p>
    <w:p w:rsidR="000452C6" w:rsidRPr="000452C6" w:rsidRDefault="000452C6" w:rsidP="000452C6">
      <w:pPr>
        <w:spacing w:after="0" w:line="240" w:lineRule="auto"/>
        <w:jc w:val="both"/>
        <w:rPr>
          <w:rFonts w:ascii="Verdana" w:hAnsi="Verdana"/>
        </w:rPr>
      </w:pPr>
    </w:p>
    <w:p w:rsidR="00F05289" w:rsidRPr="00F45927" w:rsidRDefault="001831A5" w:rsidP="001831A5">
      <w:pPr>
        <w:pBdr>
          <w:top w:val="single" w:sz="2" w:space="1" w:color="auto"/>
          <w:left w:val="single" w:sz="2" w:space="4" w:color="auto"/>
          <w:bottom w:val="single" w:sz="4" w:space="1" w:color="auto"/>
          <w:right w:val="single" w:sz="2" w:space="4" w:color="auto"/>
        </w:pBdr>
        <w:spacing w:after="0" w:line="240" w:lineRule="auto"/>
        <w:rPr>
          <w:rFonts w:ascii="Verdana" w:hAnsi="Verdana" w:cs="Arial"/>
          <w:b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Verdana" w:hAnsi="Verdana" w:cs="Arial"/>
          <w:b/>
          <w:color w:val="222222"/>
          <w:sz w:val="20"/>
          <w:szCs w:val="20"/>
          <w:shd w:val="clear" w:color="auto" w:fill="FFFFFF"/>
        </w:rPr>
        <w:t>Pricing</w:t>
      </w:r>
      <w:proofErr w:type="spellEnd"/>
    </w:p>
    <w:p w:rsidR="001831A5" w:rsidRDefault="001831A5" w:rsidP="00F05289">
      <w:pPr>
        <w:spacing w:after="0" w:line="240" w:lineRule="auto"/>
        <w:mirrorIndents/>
        <w:jc w:val="both"/>
        <w:rPr>
          <w:rFonts w:ascii="Verdana" w:hAnsi="Verdana"/>
        </w:rPr>
      </w:pPr>
    </w:p>
    <w:p w:rsidR="007C0C58" w:rsidRPr="006376B2" w:rsidRDefault="00F05289" w:rsidP="00F05289">
      <w:pPr>
        <w:spacing w:after="0" w:line="240" w:lineRule="auto"/>
        <w:mirrorIndents/>
        <w:jc w:val="both"/>
        <w:rPr>
          <w:rFonts w:ascii="Verdana" w:hAnsi="Verdana"/>
        </w:rPr>
      </w:pPr>
      <w:r>
        <w:rPr>
          <w:rFonts w:ascii="Verdana" w:hAnsi="Verdana"/>
        </w:rPr>
        <w:t>A mét</w:t>
      </w:r>
      <w:r w:rsidR="00C34E3E">
        <w:rPr>
          <w:rFonts w:ascii="Verdana" w:hAnsi="Verdana"/>
        </w:rPr>
        <w:t>rica internacional de preços</w:t>
      </w:r>
      <w:r>
        <w:rPr>
          <w:rFonts w:ascii="Verdana" w:hAnsi="Verdana"/>
        </w:rPr>
        <w:t xml:space="preserve"> revela uma situação que os Terminais classe mundial operam a pat</w:t>
      </w:r>
      <w:r w:rsidR="001831A5">
        <w:rPr>
          <w:rFonts w:ascii="Verdana" w:hAnsi="Verdana"/>
        </w:rPr>
        <w:t>amares entre US$ 100 e 150∕TEU.</w:t>
      </w:r>
      <w:r w:rsidR="002512FA">
        <w:rPr>
          <w:rFonts w:ascii="Verdana" w:hAnsi="Verdana"/>
        </w:rPr>
        <w:t xml:space="preserve"> </w:t>
      </w:r>
      <w:r w:rsidR="001831A5">
        <w:rPr>
          <w:rFonts w:ascii="Verdana" w:hAnsi="Verdana"/>
        </w:rPr>
        <w:t>Já o</w:t>
      </w:r>
      <w:r>
        <w:rPr>
          <w:rFonts w:ascii="Verdana" w:hAnsi="Verdana"/>
        </w:rPr>
        <w:t xml:space="preserve"> range nacional está acima disso alcançando até US$ 250∕TEU.</w:t>
      </w:r>
    </w:p>
    <w:sectPr w:rsidR="007C0C58" w:rsidRPr="006376B2" w:rsidSect="003B7C45">
      <w:headerReference w:type="default" r:id="rId11"/>
      <w:type w:val="continuous"/>
      <w:pgSz w:w="11906" w:h="16838"/>
      <w:pgMar w:top="1843" w:right="849" w:bottom="1417" w:left="1134" w:header="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5C48" w:rsidRDefault="00965C48" w:rsidP="009B7D56">
      <w:pPr>
        <w:spacing w:after="0" w:line="240" w:lineRule="auto"/>
      </w:pPr>
      <w:r>
        <w:separator/>
      </w:r>
    </w:p>
  </w:endnote>
  <w:endnote w:type="continuationSeparator" w:id="0">
    <w:p w:rsidR="00965C48" w:rsidRDefault="00965C48" w:rsidP="009B7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03713136"/>
      <w:docPartObj>
        <w:docPartGallery w:val="Page Numbers (Bottom of Page)"/>
        <w:docPartUnique/>
      </w:docPartObj>
    </w:sdtPr>
    <w:sdtEndPr/>
    <w:sdtContent>
      <w:p w:rsidR="00950A8E" w:rsidRDefault="00950A8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5480">
          <w:rPr>
            <w:noProof/>
          </w:rPr>
          <w:t>2</w:t>
        </w:r>
        <w:r>
          <w:fldChar w:fldCharType="end"/>
        </w:r>
      </w:p>
    </w:sdtContent>
  </w:sdt>
  <w:p w:rsidR="00950A8E" w:rsidRDefault="00950A8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5C48" w:rsidRDefault="00965C48" w:rsidP="009B7D56">
      <w:pPr>
        <w:spacing w:after="0" w:line="240" w:lineRule="auto"/>
      </w:pPr>
      <w:r>
        <w:separator/>
      </w:r>
    </w:p>
  </w:footnote>
  <w:footnote w:type="continuationSeparator" w:id="0">
    <w:p w:rsidR="00965C48" w:rsidRDefault="00965C48" w:rsidP="009B7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7D56" w:rsidRDefault="009B7D56" w:rsidP="009B7D56">
    <w:pPr>
      <w:pStyle w:val="Cabealho"/>
    </w:pPr>
    <w:r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E04D00D" wp14:editId="79AE6BB2">
              <wp:simplePos x="0" y="0"/>
              <wp:positionH relativeFrom="column">
                <wp:posOffset>1890395</wp:posOffset>
              </wp:positionH>
              <wp:positionV relativeFrom="paragraph">
                <wp:posOffset>340536</wp:posOffset>
              </wp:positionV>
              <wp:extent cx="2360930" cy="1404620"/>
              <wp:effectExtent l="0" t="0" r="0" b="127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B7D56" w:rsidRPr="009B7D56" w:rsidRDefault="009B7D56" w:rsidP="009B7D56">
                          <w:pPr>
                            <w:spacing w:after="0" w:line="240" w:lineRule="auto"/>
                            <w:jc w:val="center"/>
                            <w:rPr>
                              <w:b/>
                              <w:color w:val="2E74B5" w:themeColor="accent1" w:themeShade="BF"/>
                              <w:sz w:val="44"/>
                            </w:rPr>
                          </w:pPr>
                          <w:proofErr w:type="spellStart"/>
                          <w:r w:rsidRPr="009B7D56">
                            <w:rPr>
                              <w:b/>
                              <w:color w:val="2E74B5" w:themeColor="accent1" w:themeShade="BF"/>
                              <w:sz w:val="44"/>
                            </w:rPr>
                            <w:t>One</w:t>
                          </w:r>
                          <w:proofErr w:type="spellEnd"/>
                          <w:r w:rsidRPr="009B7D56">
                            <w:rPr>
                              <w:b/>
                              <w:color w:val="2E74B5" w:themeColor="accent1" w:themeShade="BF"/>
                              <w:sz w:val="44"/>
                            </w:rPr>
                            <w:t xml:space="preserve"> Page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E04D00D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148.85pt;margin-top:26.8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" stroked="f">
              <v:textbox style="mso-fit-shape-to-text:t">
                <w:txbxContent>
                  <w:p w:rsidR="009B7D56" w:rsidRPr="009B7D56" w:rsidRDefault="009B7D56" w:rsidP="009B7D56">
                    <w:pPr>
                      <w:spacing w:after="0" w:line="240" w:lineRule="auto"/>
                      <w:jc w:val="center"/>
                      <w:rPr>
                        <w:b/>
                        <w:color w:val="2E74B5" w:themeColor="accent1" w:themeShade="BF"/>
                        <w:sz w:val="44"/>
                      </w:rPr>
                    </w:pPr>
                    <w:proofErr w:type="spellStart"/>
                    <w:r w:rsidRPr="009B7D56">
                      <w:rPr>
                        <w:b/>
                        <w:color w:val="2E74B5" w:themeColor="accent1" w:themeShade="BF"/>
                        <w:sz w:val="44"/>
                      </w:rPr>
                      <w:t>One</w:t>
                    </w:r>
                    <w:proofErr w:type="spellEnd"/>
                    <w:r w:rsidRPr="009B7D56">
                      <w:rPr>
                        <w:b/>
                        <w:color w:val="2E74B5" w:themeColor="accent1" w:themeShade="BF"/>
                        <w:sz w:val="44"/>
                      </w:rPr>
                      <w:t xml:space="preserve"> Page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t xml:space="preserve">                                                                                                                                         </w:t>
    </w:r>
    <w:r>
      <w:rPr>
        <w:noProof/>
        <w:lang w:eastAsia="pt-BR"/>
      </w:rPr>
      <w:drawing>
        <wp:inline distT="0" distB="0" distL="0" distR="0" wp14:anchorId="336677DD" wp14:editId="7D1117D9">
          <wp:extent cx="1154737" cy="769620"/>
          <wp:effectExtent l="0" t="0" r="0" b="0"/>
          <wp:docPr id="248" name="Imagem 248" descr="Monitor de Mercado_Contêin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nitor de Mercado_Contêiner.png"/>
                  <pic:cNvPicPr/>
                </pic:nvPicPr>
                <pic:blipFill rotWithShape="1">
                  <a:blip r:embed="rId1"/>
                  <a:srcRect l="76157" t="36186" r="5168" b="45"/>
                  <a:stretch/>
                </pic:blipFill>
                <pic:spPr bwMode="auto">
                  <a:xfrm>
                    <a:off x="0" y="0"/>
                    <a:ext cx="1218849" cy="8123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t xml:space="preserve"> </w:t>
    </w:r>
  </w:p>
  <w:p w:rsidR="009B7D56" w:rsidRDefault="00DB03DC" w:rsidP="009B7D56">
    <w:pPr>
      <w:pStyle w:val="Cabealho"/>
      <w:jc w:val="right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CCD360" wp14:editId="33D5C0F3">
              <wp:simplePos x="0" y="0"/>
              <wp:positionH relativeFrom="column">
                <wp:posOffset>-671830</wp:posOffset>
              </wp:positionH>
              <wp:positionV relativeFrom="paragraph">
                <wp:posOffset>182245</wp:posOffset>
              </wp:positionV>
              <wp:extent cx="7451725" cy="13335"/>
              <wp:effectExtent l="19050" t="38100" r="53975" b="43815"/>
              <wp:wrapNone/>
              <wp:docPr id="1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451725" cy="13335"/>
                      </a:xfrm>
                      <a:prstGeom prst="straightConnector1">
                        <a:avLst/>
                      </a:prstGeom>
                      <a:noFill/>
                      <a:ln w="76200">
                        <a:solidFill>
                          <a:srgbClr val="0033CC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54A68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52.9pt;margin-top:14.35pt;width:586.75pt;height:1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" strokecolor="#03c" strokeweight="6pt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0C58" w:rsidRDefault="007C0C58" w:rsidP="009B7D56">
    <w:pPr>
      <w:pStyle w:val="Cabealho"/>
    </w:pPr>
    <w:r>
      <w:t xml:space="preserve">                                                                                                                                          </w:t>
    </w:r>
  </w:p>
  <w:p w:rsidR="007C0C58" w:rsidRDefault="007C0C58" w:rsidP="009B7D56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E65379"/>
    <w:multiLevelType w:val="hybridMultilevel"/>
    <w:tmpl w:val="254661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9912D8"/>
    <w:multiLevelType w:val="hybridMultilevel"/>
    <w:tmpl w:val="4EEE86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A8E"/>
    <w:rsid w:val="00040586"/>
    <w:rsid w:val="000452C6"/>
    <w:rsid w:val="0005179C"/>
    <w:rsid w:val="000A4439"/>
    <w:rsid w:val="000C0CC7"/>
    <w:rsid w:val="000C5B63"/>
    <w:rsid w:val="00100434"/>
    <w:rsid w:val="00174995"/>
    <w:rsid w:val="001831A5"/>
    <w:rsid w:val="001C7F9F"/>
    <w:rsid w:val="001D4861"/>
    <w:rsid w:val="001D6FC3"/>
    <w:rsid w:val="001F52DF"/>
    <w:rsid w:val="002512FA"/>
    <w:rsid w:val="002700A7"/>
    <w:rsid w:val="002A6537"/>
    <w:rsid w:val="002C0497"/>
    <w:rsid w:val="002E24C0"/>
    <w:rsid w:val="002E698C"/>
    <w:rsid w:val="0031353F"/>
    <w:rsid w:val="003367F3"/>
    <w:rsid w:val="003B7C45"/>
    <w:rsid w:val="00414563"/>
    <w:rsid w:val="00434846"/>
    <w:rsid w:val="00445CA7"/>
    <w:rsid w:val="004571DF"/>
    <w:rsid w:val="00470C8C"/>
    <w:rsid w:val="00476235"/>
    <w:rsid w:val="004864A6"/>
    <w:rsid w:val="004D1756"/>
    <w:rsid w:val="00504625"/>
    <w:rsid w:val="00570D51"/>
    <w:rsid w:val="00572AAE"/>
    <w:rsid w:val="006376B2"/>
    <w:rsid w:val="006403F6"/>
    <w:rsid w:val="00644330"/>
    <w:rsid w:val="00652756"/>
    <w:rsid w:val="006E6F8F"/>
    <w:rsid w:val="007236D1"/>
    <w:rsid w:val="00763C6D"/>
    <w:rsid w:val="007727E9"/>
    <w:rsid w:val="00774959"/>
    <w:rsid w:val="007C0C58"/>
    <w:rsid w:val="00811AEE"/>
    <w:rsid w:val="0082144F"/>
    <w:rsid w:val="008648CF"/>
    <w:rsid w:val="0086493B"/>
    <w:rsid w:val="00886E58"/>
    <w:rsid w:val="008C63A2"/>
    <w:rsid w:val="008C691F"/>
    <w:rsid w:val="008E2260"/>
    <w:rsid w:val="008F4B06"/>
    <w:rsid w:val="00920A34"/>
    <w:rsid w:val="009334D2"/>
    <w:rsid w:val="00950A8E"/>
    <w:rsid w:val="00965C48"/>
    <w:rsid w:val="009938D6"/>
    <w:rsid w:val="00995044"/>
    <w:rsid w:val="009B66A4"/>
    <w:rsid w:val="009B7D56"/>
    <w:rsid w:val="009C115F"/>
    <w:rsid w:val="009E67EF"/>
    <w:rsid w:val="00A5323F"/>
    <w:rsid w:val="00A9299B"/>
    <w:rsid w:val="00AB2D5C"/>
    <w:rsid w:val="00AC7A85"/>
    <w:rsid w:val="00AD5480"/>
    <w:rsid w:val="00B0281F"/>
    <w:rsid w:val="00B04462"/>
    <w:rsid w:val="00B37860"/>
    <w:rsid w:val="00B520EA"/>
    <w:rsid w:val="00BA7A4B"/>
    <w:rsid w:val="00C34E3E"/>
    <w:rsid w:val="00C63330"/>
    <w:rsid w:val="00C8099E"/>
    <w:rsid w:val="00C85ED8"/>
    <w:rsid w:val="00CF6C6A"/>
    <w:rsid w:val="00D2724D"/>
    <w:rsid w:val="00D52570"/>
    <w:rsid w:val="00D75895"/>
    <w:rsid w:val="00DB03DC"/>
    <w:rsid w:val="00DD2D16"/>
    <w:rsid w:val="00DF6698"/>
    <w:rsid w:val="00E04506"/>
    <w:rsid w:val="00E140A4"/>
    <w:rsid w:val="00E83C93"/>
    <w:rsid w:val="00E87964"/>
    <w:rsid w:val="00EA6E30"/>
    <w:rsid w:val="00EB1C48"/>
    <w:rsid w:val="00ED3534"/>
    <w:rsid w:val="00ED3541"/>
    <w:rsid w:val="00F05289"/>
    <w:rsid w:val="00F335C8"/>
    <w:rsid w:val="00FB2B02"/>
    <w:rsid w:val="00FB3F9F"/>
    <w:rsid w:val="00FC72BF"/>
    <w:rsid w:val="00FD3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AB9ADD2-7EB3-4801-B3A8-C9EFD861D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AD5480"/>
    <w:pPr>
      <w:keepNext/>
      <w:keepLines/>
      <w:spacing w:after="0" w:line="240" w:lineRule="auto"/>
      <w:jc w:val="both"/>
      <w:outlineLvl w:val="1"/>
    </w:pPr>
    <w:rPr>
      <w:rFonts w:eastAsiaTheme="majorEastAsia" w:cstheme="majorBidi"/>
      <w:b/>
      <w:bCs/>
      <w:color w:val="5B9BD5" w:themeColor="accent1"/>
      <w:sz w:val="24"/>
      <w:szCs w:val="26"/>
      <w:shd w:val="clear" w:color="auto" w:fill="FFFFF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0A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D5480"/>
    <w:rPr>
      <w:rFonts w:eastAsiaTheme="majorEastAsia" w:cstheme="majorBidi"/>
      <w:b/>
      <w:bCs/>
      <w:color w:val="5B9BD5" w:themeColor="accent1"/>
      <w:sz w:val="24"/>
      <w:szCs w:val="26"/>
    </w:rPr>
  </w:style>
  <w:style w:type="character" w:styleId="nfaseIntensa">
    <w:name w:val="Intense Emphasis"/>
    <w:basedOn w:val="Fontepargpadro"/>
    <w:uiPriority w:val="21"/>
    <w:qFormat/>
    <w:rsid w:val="00950A8E"/>
    <w:rPr>
      <w:i/>
      <w:iCs/>
      <w:color w:val="5B9BD5" w:themeColor="accent1"/>
    </w:rPr>
  </w:style>
  <w:style w:type="paragraph" w:styleId="Rodap">
    <w:name w:val="footer"/>
    <w:basedOn w:val="Normal"/>
    <w:link w:val="RodapChar"/>
    <w:uiPriority w:val="99"/>
    <w:unhideWhenUsed/>
    <w:rsid w:val="00950A8E"/>
    <w:pPr>
      <w:tabs>
        <w:tab w:val="center" w:pos="4252"/>
        <w:tab w:val="right" w:pos="8504"/>
      </w:tabs>
      <w:spacing w:after="0" w:line="240" w:lineRule="auto"/>
      <w:jc w:val="both"/>
    </w:pPr>
  </w:style>
  <w:style w:type="character" w:customStyle="1" w:styleId="RodapChar">
    <w:name w:val="Rodapé Char"/>
    <w:basedOn w:val="Fontepargpadro"/>
    <w:link w:val="Rodap"/>
    <w:uiPriority w:val="99"/>
    <w:rsid w:val="00950A8E"/>
  </w:style>
  <w:style w:type="paragraph" w:styleId="PargrafodaLista">
    <w:name w:val="List Paragraph"/>
    <w:basedOn w:val="Normal"/>
    <w:uiPriority w:val="34"/>
    <w:qFormat/>
    <w:rsid w:val="003B7C45"/>
    <w:pPr>
      <w:spacing w:after="0" w:line="240" w:lineRule="auto"/>
      <w:ind w:left="720"/>
      <w:contextualSpacing/>
      <w:jc w:val="both"/>
    </w:pPr>
  </w:style>
  <w:style w:type="paragraph" w:styleId="Cabealho">
    <w:name w:val="header"/>
    <w:basedOn w:val="Normal"/>
    <w:link w:val="CabealhoChar"/>
    <w:uiPriority w:val="99"/>
    <w:unhideWhenUsed/>
    <w:rsid w:val="009B7D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B7D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55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4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E0E4C3-4433-4DE3-8EC1-E1C45FE82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366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</dc:creator>
  <cp:keywords/>
  <dc:description/>
  <cp:lastModifiedBy>Daniele</cp:lastModifiedBy>
  <cp:revision>3</cp:revision>
  <cp:lastPrinted>2015-01-16T18:44:00Z</cp:lastPrinted>
  <dcterms:created xsi:type="dcterms:W3CDTF">2015-01-22T13:12:00Z</dcterms:created>
  <dcterms:modified xsi:type="dcterms:W3CDTF">2015-01-22T13:32:00Z</dcterms:modified>
</cp:coreProperties>
</file>