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月初结存材料计划成本为200万元，材料成本差异为节约20万元，当月购入材料一批，实际成本为135万元，计划成本为150万元，领用材料的计划成本为180万元。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本月材料成本差异率=(月初结存材料的成本差异+本月验收入库材料的成本差异）÷(月初结存材料的计划成本+本月验收入库材料的计划成本）×100%=（-20-15）÷（200+150）×100%= -10%；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本月发出材料的实际成本=发出材料的计划成本×（1+材料成本差异率）=180×（1-10%）=162（万元）；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本月发出材料的实际成本=发出材料的计划成本×（1+材料成本差异率）=180×（1-10%）=162（万元）；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  <w:t>可以看出计划的都是分母。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材料成本差异贷方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为负数，因为为资产。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委托加工应税消费品，收回后直接用于销售的，应将受托方代收代缴的消费税计入委托加工物资的成本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运输途中的合理损耗应计入存货的成本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12"/>
          <w:szCs w:val="12"/>
          <w:bdr w:val="none" w:color="auto" w:sz="0" w:space="0"/>
          <w:shd w:val="clear" w:fill="ADD8E6"/>
        </w:rPr>
      </w:pPr>
      <w:r>
        <w:rPr>
          <w:rFonts w:ascii="Arial" w:hAnsi="Arial" w:eastAsia="宋体" w:cs="Arial"/>
          <w:i w:val="0"/>
          <w:iCs w:val="0"/>
          <w:caps w:val="0"/>
          <w:color w:val="444444"/>
          <w:spacing w:val="0"/>
          <w:sz w:val="12"/>
          <w:szCs w:val="12"/>
          <w:bdr w:val="none" w:color="auto" w:sz="0" w:space="0"/>
          <w:shd w:val="clear" w:fill="ADD8E6"/>
        </w:rPr>
        <w:t>小企业（批发业、零售业）在采购商品过程中发生的费用（包括运输费、装卸费、保险费、运输途中的合理损耗和入库前的挑选整理费用等），记入“</w: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12"/>
          <w:szCs w:val="12"/>
          <w:u w:val="single"/>
          <w:bdr w:val="none" w:color="auto" w:sz="0" w:space="0"/>
          <w:shd w:val="clear" w:fill="ADD8E6"/>
        </w:rPr>
        <w:t>销售费用</w: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12"/>
          <w:szCs w:val="12"/>
          <w:bdr w:val="none" w:color="auto" w:sz="0" w:space="0"/>
          <w:shd w:val="clear" w:fill="ADD8E6"/>
        </w:rPr>
        <w:t>”科目核算。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12"/>
          <w:szCs w:val="12"/>
          <w:bdr w:val="none" w:color="auto" w:sz="0" w:space="0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2021年5月初库存商品售价总额为14.4万元，进销差价率为15%；本月购入库存商品进价成本总额为18万元，售价总额为21.6万元；本月销售商品收入为20万元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.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本月的商品进销差价率=（期初库存商品进销差价+本期购入商品进销差价）÷（期初库存商品售价+本期购入商品售价）×100%=[14.4×15%+(21.6-18）]÷（14.4+21.6） ×100%=16%，所以该企业本月销售商品的实际成本=20-20×16%=16.8（万元）。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  <w:t>可以看出进销差价率乘以销售价格其实就是利润。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据“谁受益谁承担”原则，管理不善是企业本身的原因，故计入管理费用，；自然灾害造成的存货净损失计入营业外支出，由保险公司赔偿的存货损失计入其他应收款，应由过失人赔偿的存货损失计入其他应收款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  <w:t>材料成本差异借方表示买贵了。算差异率，用借方减贷方，也就是说贷方为负数，戴夫便宜。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1FAE5474"/>
    <w:rsid w:val="2DB84B2C"/>
    <w:rsid w:val="358D4A67"/>
    <w:rsid w:val="4644123D"/>
    <w:rsid w:val="4A005C7B"/>
    <w:rsid w:val="57B3694F"/>
    <w:rsid w:val="70A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707</Words>
  <Characters>821</Characters>
  <Lines>0</Lines>
  <Paragraphs>0</Paragraphs>
  <TotalTime>40</TotalTime>
  <ScaleCrop>false</ScaleCrop>
  <LinksUpToDate>false</LinksUpToDate>
  <CharactersWithSpaces>823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2023-04-18T04:52:28Z</dcterms:created>
  <dc:creator>Administrator</dc:creator>
  <cp:lastModifiedBy>StarT灬星陨SkyFly灬</cp:lastModifiedBy>
  <dcterms:modified xsi:type="dcterms:W3CDTF">2023-04-18T05:32:46Z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8DA2CFD1448F42988B2F31E180183D49_12</vt:lpwstr>
  </property>
</Properties>
</file>