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  <w:t>以权益结算的股份支付在等待期内形成的所有者权益，记入“资本公积——其他资本公积”科目。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资本公积不能从净利润中提取，从净利润中提取的是盈余公积。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提取法定盈余公积不影响企业年末可供分配利润。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企业可供分配利润=当年实现的净利润（或净亏损）+年初未分配利润（或-年初未弥补亏损）+其他转入（即盈余公积补亏）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提取法定盈余公积，留存收益一增一减，总额不变：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借：利润分配——提取法定盈余公积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　　贷：盈余公积——法定盈余公积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年度终了，企业应当将当年实现的净利润或发生的净亏损，自“本年利润”科目转入到“利润分配——未分配利润”科目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就是先把全部净利润转入，在用资本公积，现金股利冲掉。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如果以前年度未分配利润有盈余（即年初未分配利润余额为正数），在计算提取法定盈余公积金的基数时，不应包括企业的年初未分配利润；如果以前年度有亏损（即年初未分配利润余额为负数），应先弥补以前年度亏损再提取盈余公积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支付股利后留存的法定盈余公积不得低于股利支付前注册资本金的25%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非机9，非房企，一般计税，在不动产所在地，无论是自建还是先买后卖，都是除以(1+9%)*9%;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193租房，指一般计税，不动产所在地，按租金除以(1+9%)*3%,注意机构所在地是*9%;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个体户，其他个人出租住房是(1+5%)*1.5%,其余是*5%；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一般计税是192建筑，在项目所在地是按差额，机构所在地按全额(1+9%)*9%,但简易计税是(1+3%)*3%;19293；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实际发生劳务成本时：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 xml:space="preserve">借：合同履约成本     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 xml:space="preserve">      贷：应付职工薪酬    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合同约定装修价款为100万元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增值税税额为9万元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确认完工程度为20%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确认劳务收入并结转劳务成本：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借：银行存款                                   21.8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贷：主营业务收入                                             20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       应交税费——应交增值税（销项税额）         1.8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借：主营业务成本                            10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        贷：合同履约成本                                           10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合同履约成本及销售收入的账务处理</w:t>
      </w: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发生合同履约成本时（确认资产折旧费、摊销费等）：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借：合同履约成本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贷：累计折旧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　　累计摊销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　　银行存款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　　应付职工薪酬等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确认收入并摊销合同履约成本时：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借：银行存款等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贷：主营业务收入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　　应交税费——应交增值税（销项税额）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借：主营业务成本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75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ADD8E6"/>
        </w:rPr>
        <w:t>　　贷：合同履约成本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可以看出发生合同履约成本是慢慢积累的，然后确认收入一口气转到主营业务成本。转的时候是按比例。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合同中存在可变对价的，企业应当按照期望值或最可能发生金额确定可变对价的最佳估计数，但包含可变对价的交易价格，应当不超过在相关不确定性消除时，累计已确认收入极可能不会发生重大转回的金额。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drawing>
          <wp:inline distT="0" distB="0" distL="114300" distR="114300">
            <wp:extent cx="4960620" cy="80708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</w:pP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/10 意思是说10天付款，给予总货款2%的现金折扣，1/20 意思是说20天付款，给予总货款1%的现金折扣，N/30意思是说超过20天付款，要付全款，没有折扣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代销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手续费计入销售费用，不冲减收入。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收入确认和计量大致分为五步：①识别与客户订立的合同（选项A）；②识别合同中的单项履约义务（选项B）；③确定交易价格；④将交易价格分摊至各单项履约义务（选项C）；⑤履行各单项履约义务时确认收入（选项D）。其中，第①②⑤步主要与收入的确认有关，第③④步主要与收入的计量有关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0F629D1"/>
    <w:rsid w:val="02584761"/>
    <w:rsid w:val="02847B9A"/>
    <w:rsid w:val="040B7E59"/>
    <w:rsid w:val="0B920629"/>
    <w:rsid w:val="0BFF613F"/>
    <w:rsid w:val="0E882175"/>
    <w:rsid w:val="19377AA7"/>
    <w:rsid w:val="1A2657E4"/>
    <w:rsid w:val="1C3E2CD2"/>
    <w:rsid w:val="2F097064"/>
    <w:rsid w:val="3014442E"/>
    <w:rsid w:val="32100B57"/>
    <w:rsid w:val="3BB07220"/>
    <w:rsid w:val="3F3F5529"/>
    <w:rsid w:val="434F1725"/>
    <w:rsid w:val="48D853BE"/>
    <w:rsid w:val="4FD326EA"/>
    <w:rsid w:val="5A0E4489"/>
    <w:rsid w:val="5A6E250C"/>
    <w:rsid w:val="682D2E5A"/>
    <w:rsid w:val="74644495"/>
    <w:rsid w:val="79B25E17"/>
    <w:rsid w:val="7D8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1158</Words>
  <Characters>1248</Characters>
  <Lines>0</Lines>
  <Paragraphs>0</Paragraphs>
  <TotalTime>147</TotalTime>
  <ScaleCrop>false</ScaleCrop>
  <LinksUpToDate>false</LinksUpToDate>
  <CharactersWithSpaces>1492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2023-04-24T02:09:00Z</dcterms:created>
  <dc:creator>z00810399</dc:creator>
  <cp:lastModifiedBy>z00810399</cp:lastModifiedBy>
  <dcterms:modified xsi:type="dcterms:W3CDTF">2023-04-24T09:09:25Z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D7233E057CB9451A95F9FDE4DDF44BA1_12</vt:lpwstr>
  </property>
  <property fmtid="{D5CDD505-2E9C-101B-9397-08002B2CF9AE}" pid="4" name="_2015_ms_pID_725343">
    <vt:lpwstr>(3)dw4ZzLP+uu4a+Z4OOtge++YXdjEeFy7ZPndxfP1s6XUMcFH2yZxNy3xqLPtI5gImo7R1mVHY
X5PUetIH+LUcBO7AGpDOJo8aRcZew/xeQld5fyFf5OHQxJsQ7s3mVzcrdYrCdJANysinlv+F
buFBhyHZjrJ3MTNIfDUe4Uj9O6pkNcGKN+55JDlq9kSZV23iwm3kGmbrsMpkhhi2HCYqVhKC
+lajGF6ivxIHgMZ6mx</vt:lpwstr>
  </property>
  <property fmtid="{D5CDD505-2E9C-101B-9397-08002B2CF9AE}" pid="5" name="_2015_ms_pID_7253431">
    <vt:lpwstr>e2wPQw8UfyQ/lYDx9cGXo3kMUits1KM6vncNOQpbyrQNCiw0uOdSA6
lQSC8USvZKN9F+Zm80dpqCPM8alcOK4qCePPCoV1/CH+P/+rlldKy+8toFjAswJgRR3vATcY
lTBic3qG14Ko22CZAfaEhUzpmk+MtxDjpdFXE6RyBjbdZHlhETFoWMQD/tXxhsL5QmJ1XU+E
yrs91Th4Z/LmhJ2ez09tNVaze7VIVclepLV5</vt:lpwstr>
  </property>
  <property fmtid="{D5CDD505-2E9C-101B-9397-08002B2CF9AE}" pid="6" name="_2015_ms_pID_7253432">
    <vt:lpwstr>cw==</vt:lpwstr>
  </property>
</Properties>
</file>