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087D8F"/>
          <w:sz w:val="22"/>
        </w:rPr>
        <w:t>CAPSTONE PRESBYTERIAN CHURCH</w:t>
      </w:r>
    </w:p>
    <w:p>
      <w:pPr>
        <w:spacing w:after="160"/>
        <w:jc w:val="center"/>
      </w:pPr>
      <w:r>
        <w:rPr>
          <w:rFonts w:ascii="Aptos Display" w:hAnsi="Aptos Display"/>
          <w:b/>
          <w:color w:val="123047"/>
          <w:sz w:val="60"/>
        </w:rPr>
        <w:t>Church Operations</w:t>
      </w:r>
    </w:p>
    <w:p>
      <w:pPr>
        <w:spacing w:after="480"/>
        <w:jc w:val="center"/>
      </w:pPr>
      <w:r>
        <w:rPr>
          <w:rFonts w:ascii="Aptos Display" w:hAnsi="Aptos Display"/>
          <w:b/>
          <w:color w:val="2E5F85"/>
          <w:sz w:val="36"/>
        </w:rPr>
        <w:t>User Guide</w:t>
      </w:r>
    </w:p>
    <w:p>
      <w:pPr>
        <w:spacing w:after="100"/>
        <w:jc w:val="center"/>
      </w:pPr>
      <w:r>
        <w:rPr>
          <w:rFonts w:ascii="Aptos" w:hAnsi="Aptos"/>
          <w:i/>
          <w:color w:val="667085"/>
          <w:sz w:val="21"/>
        </w:rPr>
        <w:t>For Admin, Treasurer, Pastor, Membership, Viewer, and Member roles</w:t>
      </w:r>
    </w:p>
    <w:p>
      <w:pPr>
        <w:jc w:val="center"/>
      </w:pPr>
      <w:r>
        <w:rPr>
          <w:rFonts w:ascii="Aptos" w:hAnsi="Aptos"/>
          <w:b/>
          <w:color w:val="667085"/>
          <w:sz w:val="20"/>
        </w:rPr>
        <w:t>Version 1.0  |  July 2026</w:t>
      </w:r>
    </w:p>
    <w:p>
      <w:r>
        <w:br w:type="page"/>
      </w:r>
    </w:p>
    <w:p>
      <w:pPr>
        <w:pStyle w:val="Heading1"/>
      </w:pPr>
      <w:r>
        <w:t>Contents</w:t>
      </w:r>
    </w:p>
    <w:p>
      <w:pPr>
        <w:pStyle w:val="ListBullet"/>
      </w:pPr>
      <w:r>
        <w:t>About This Guide</w:t>
      </w:r>
    </w:p>
    <w:p>
      <w:pPr>
        <w:pStyle w:val="ListBullet"/>
      </w:pPr>
      <w:r>
        <w:t>Roles and Access</w:t>
      </w:r>
    </w:p>
    <w:p>
      <w:pPr>
        <w:pStyle w:val="ListBullet"/>
      </w:pPr>
      <w:r>
        <w:t>Getting Started</w:t>
      </w:r>
    </w:p>
    <w:p>
      <w:pPr>
        <w:pStyle w:val="ListBullet"/>
      </w:pPr>
      <w:r>
        <w:t>Dashboard</w:t>
      </w:r>
    </w:p>
    <w:p>
      <w:pPr>
        <w:pStyle w:val="ListBullet"/>
      </w:pPr>
      <w:r>
        <w:t>Member Information</w:t>
      </w:r>
    </w:p>
    <w:p>
      <w:pPr>
        <w:pStyle w:val="ListBullet"/>
      </w:pPr>
      <w:r>
        <w:t>Offering Management</w:t>
      </w:r>
    </w:p>
    <w:p>
      <w:pPr>
        <w:pStyle w:val="ListBullet"/>
      </w:pPr>
      <w:r>
        <w:t>Financial Management</w:t>
      </w:r>
    </w:p>
    <w:p>
      <w:pPr>
        <w:pStyle w:val="ListBullet"/>
      </w:pPr>
      <w:r>
        <w:t>Budget Management</w:t>
      </w:r>
    </w:p>
    <w:p>
      <w:pPr>
        <w:pStyle w:val="ListBullet"/>
      </w:pPr>
      <w:r>
        <w:t>Reference Data</w:t>
      </w:r>
    </w:p>
    <w:p>
      <w:pPr>
        <w:pStyle w:val="ListBullet"/>
      </w:pPr>
      <w:r>
        <w:t>Reports</w:t>
      </w:r>
    </w:p>
    <w:p>
      <w:pPr>
        <w:pStyle w:val="ListBullet"/>
      </w:pPr>
      <w:r>
        <w:t>My Profile</w:t>
      </w:r>
    </w:p>
    <w:p>
      <w:pPr>
        <w:pStyle w:val="ListBullet"/>
      </w:pPr>
      <w:r>
        <w:t>System Administration</w:t>
      </w:r>
    </w:p>
    <w:p>
      <w:pPr>
        <w:pStyle w:val="ListBullet"/>
      </w:pPr>
      <w:r>
        <w:t>Logout</w:t>
      </w:r>
    </w:p>
    <w:p>
      <w:pPr>
        <w:pStyle w:val="ListBullet"/>
      </w:pPr>
      <w:r>
        <w:t>Troubleshooting and Security Notes</w:t>
      </w:r>
    </w:p>
    <w:p>
      <w:pPr>
        <w:spacing w:before="240"/>
      </w:pPr>
      <w:r>
        <w:rPr>
          <w:rFonts w:ascii="Aptos" w:hAnsi="Aptos"/>
          <w:i/>
          <w:color w:val="667085"/>
          <w:sz w:val="19"/>
        </w:rPr>
        <w:t>Tip: In Word, use the Navigation pane to jump between headings.</w:t>
      </w:r>
    </w:p>
    <w:p>
      <w:r>
        <w:br w:type="page"/>
      </w:r>
    </w:p>
    <w:p>
      <w:pPr>
        <w:pStyle w:val="Heading1"/>
      </w:pPr>
      <w:r>
        <w:t>About This Guide</w:t>
      </w:r>
    </w:p>
    <w:p>
      <w:r>
        <w:t>This guide explains the day-to-day tasks available in Church Operations. It is organized by function so users can go directly to the work they need to perform. The screens shown use the current Capstone Presbyterian Church branding and sample records.</w:t>
      </w:r>
    </w:p>
    <w:p>
      <w:r>
        <w:t>The menu changes according to the roles assigned to the signed-in member. A user with more than one role receives the combined access of those roles.</w:t>
      </w:r>
    </w:p>
    <w:p>
      <w:pPr>
        <w:pStyle w:val="Heading1"/>
      </w:pPr>
      <w:r>
        <w:t>Roles and Access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5040"/>
            <w:shd w:fill="123047"/>
            <w:tcMar>
              <w:top w:w="100" w:type="dxa"/>
              <w:start w:w="120" w:type="dxa"/>
              <w:bottom w:w="100" w:type="dxa"/>
              <w:end w:w="120" w:type="dxa"/>
            </w:tcMar>
            <w:vAlign w:val="center"/>
          </w:tcPr>
          <w:p>
            <w:pPr>
              <w:spacing w:after="0"/>
            </w:pPr>
            <w:r>
              <w:rPr>
                <w:rFonts w:ascii="Aptos" w:hAnsi="Aptos"/>
                <w:b/>
                <w:color w:val="FFFFFF"/>
                <w:sz w:val="18"/>
              </w:rPr>
              <w:t>Role</w:t>
            </w:r>
          </w:p>
        </w:tc>
        <w:tc>
          <w:tcPr>
            <w:tcW w:type="dxa" w:w="5040"/>
            <w:shd w:fill="123047"/>
            <w:tcMar>
              <w:top w:w="100" w:type="dxa"/>
              <w:start w:w="120" w:type="dxa"/>
              <w:bottom w:w="100" w:type="dxa"/>
              <w:end w:w="120" w:type="dxa"/>
            </w:tcMar>
            <w:vAlign w:val="center"/>
          </w:tcPr>
          <w:p>
            <w:pPr>
              <w:spacing w:after="0"/>
            </w:pPr>
            <w:r>
              <w:rPr>
                <w:rFonts w:ascii="Aptos" w:hAnsi="Aptos"/>
                <w:b/>
                <w:color w:val="FFFFFF"/>
                <w:sz w:val="18"/>
              </w:rPr>
              <w:t>Primary responsibilities</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Admin</w:t>
            </w:r>
          </w:p>
        </w:tc>
        <w:tc>
          <w:tcPr>
            <w:tcW w:type="dxa" w:w="5040"/>
            <w:tcMar>
              <w:top w:w="100" w:type="dxa"/>
              <w:start w:w="120" w:type="dxa"/>
              <w:bottom w:w="100" w:type="dxa"/>
              <w:end w:w="120" w:type="dxa"/>
            </w:tcMar>
            <w:vAlign w:val="center"/>
          </w:tcPr>
          <w:p>
            <w:pPr>
              <w:spacing w:after="0"/>
            </w:pPr>
            <w:r>
              <w:rPr>
                <w:rFonts w:ascii="Aptos" w:hAnsi="Aptos"/>
                <w:color w:val="202833"/>
                <w:sz w:val="18"/>
              </w:rPr>
              <w:t>Full operational access, member accounts, reference data, finance, budgets, and reports</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Treasurer</w:t>
            </w:r>
          </w:p>
        </w:tc>
        <w:tc>
          <w:tcPr>
            <w:tcW w:type="dxa" w:w="5040"/>
            <w:tcMar>
              <w:top w:w="100" w:type="dxa"/>
              <w:start w:w="120" w:type="dxa"/>
              <w:bottom w:w="100" w:type="dxa"/>
              <w:end w:w="120" w:type="dxa"/>
            </w:tcMar>
            <w:vAlign w:val="center"/>
          </w:tcPr>
          <w:p>
            <w:pPr>
              <w:spacing w:after="0"/>
            </w:pPr>
            <w:r>
              <w:rPr>
                <w:rFonts w:ascii="Aptos" w:hAnsi="Aptos"/>
                <w:color w:val="202833"/>
                <w:sz w:val="18"/>
              </w:rPr>
              <w:t>Offerings, finance, budgets, reports, and official tax extracts</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Pastor</w:t>
            </w:r>
          </w:p>
        </w:tc>
        <w:tc>
          <w:tcPr>
            <w:tcW w:type="dxa" w:w="5040"/>
            <w:tcMar>
              <w:top w:w="100" w:type="dxa"/>
              <w:start w:w="120" w:type="dxa"/>
              <w:bottom w:w="100" w:type="dxa"/>
              <w:end w:w="120" w:type="dxa"/>
            </w:tcMar>
            <w:vAlign w:val="center"/>
          </w:tcPr>
          <w:p>
            <w:pPr>
              <w:spacing w:after="0"/>
            </w:pPr>
            <w:r>
              <w:rPr>
                <w:rFonts w:ascii="Aptos" w:hAnsi="Aptos"/>
                <w:color w:val="202833"/>
                <w:sz w:val="18"/>
              </w:rPr>
              <w:t>Dashboard and reports</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Membership</w:t>
            </w:r>
          </w:p>
        </w:tc>
        <w:tc>
          <w:tcPr>
            <w:tcW w:type="dxa" w:w="5040"/>
            <w:tcMar>
              <w:top w:w="100" w:type="dxa"/>
              <w:start w:w="120" w:type="dxa"/>
              <w:bottom w:w="100" w:type="dxa"/>
              <w:end w:w="120" w:type="dxa"/>
            </w:tcMar>
            <w:vAlign w:val="center"/>
          </w:tcPr>
          <w:p>
            <w:pPr>
              <w:spacing w:after="0"/>
            </w:pPr>
            <w:r>
              <w:rPr>
                <w:rFonts w:ascii="Aptos" w:hAnsi="Aptos"/>
                <w:color w:val="202833"/>
                <w:sz w:val="18"/>
              </w:rPr>
              <w:t>Dashboard and member records</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Viewer</w:t>
            </w:r>
          </w:p>
        </w:tc>
        <w:tc>
          <w:tcPr>
            <w:tcW w:type="dxa" w:w="5040"/>
            <w:tcMar>
              <w:top w:w="100" w:type="dxa"/>
              <w:start w:w="120" w:type="dxa"/>
              <w:bottom w:w="100" w:type="dxa"/>
              <w:end w:w="120" w:type="dxa"/>
            </w:tcMar>
            <w:vAlign w:val="center"/>
          </w:tcPr>
          <w:p>
            <w:pPr>
              <w:spacing w:after="0"/>
            </w:pPr>
            <w:r>
              <w:rPr>
                <w:rFonts w:ascii="Aptos" w:hAnsi="Aptos"/>
                <w:color w:val="202833"/>
                <w:sz w:val="18"/>
              </w:rPr>
              <w:t>Dashboard and read-only reporting</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Member</w:t>
            </w:r>
          </w:p>
        </w:tc>
        <w:tc>
          <w:tcPr>
            <w:tcW w:type="dxa" w:w="5040"/>
            <w:tcMar>
              <w:top w:w="100" w:type="dxa"/>
              <w:start w:w="120" w:type="dxa"/>
              <w:bottom w:w="100" w:type="dxa"/>
              <w:end w:w="120" w:type="dxa"/>
            </w:tcMar>
            <w:vAlign w:val="center"/>
          </w:tcPr>
          <w:p>
            <w:pPr>
              <w:spacing w:after="0"/>
            </w:pPr>
            <w:r>
              <w:rPr>
                <w:rFonts w:ascii="Aptos" w:hAnsi="Aptos"/>
                <w:color w:val="202833"/>
                <w:sz w:val="18"/>
              </w:rPr>
              <w:t>Personal profile access and self-service password reset</w:t>
            </w:r>
          </w:p>
        </w:tc>
      </w:tr>
    </w:tbl>
    <w:p>
      <w:pPr>
        <w:spacing w:after="40"/>
      </w:pPr>
    </w:p>
    <w:p>
      <w:pPr>
        <w:pStyle w:val="Heading2"/>
      </w:pPr>
      <w:r>
        <w:t>Function access summary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5040"/>
            <w:shd w:fill="123047"/>
            <w:tcMar>
              <w:top w:w="100" w:type="dxa"/>
              <w:start w:w="120" w:type="dxa"/>
              <w:bottom w:w="100" w:type="dxa"/>
              <w:end w:w="120" w:type="dxa"/>
            </w:tcMar>
            <w:vAlign w:val="center"/>
          </w:tcPr>
          <w:p>
            <w:pPr>
              <w:spacing w:after="0"/>
            </w:pPr>
            <w:r>
              <w:rPr>
                <w:rFonts w:ascii="Aptos" w:hAnsi="Aptos"/>
                <w:b/>
                <w:color w:val="FFFFFF"/>
                <w:sz w:val="18"/>
              </w:rPr>
              <w:t>Function</w:t>
            </w:r>
          </w:p>
        </w:tc>
        <w:tc>
          <w:tcPr>
            <w:tcW w:type="dxa" w:w="5040"/>
            <w:shd w:fill="123047"/>
            <w:tcMar>
              <w:top w:w="100" w:type="dxa"/>
              <w:start w:w="120" w:type="dxa"/>
              <w:bottom w:w="100" w:type="dxa"/>
              <w:end w:w="120" w:type="dxa"/>
            </w:tcMar>
            <w:vAlign w:val="center"/>
          </w:tcPr>
          <w:p>
            <w:pPr>
              <w:spacing w:after="0"/>
            </w:pPr>
            <w:r>
              <w:rPr>
                <w:rFonts w:ascii="Aptos" w:hAnsi="Aptos"/>
                <w:b/>
                <w:color w:val="FFFFFF"/>
                <w:sz w:val="18"/>
              </w:rPr>
              <w:t>Available to</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Dashboard</w:t>
            </w:r>
          </w:p>
        </w:tc>
        <w:tc>
          <w:tcPr>
            <w:tcW w:type="dxa" w:w="5040"/>
            <w:tcMar>
              <w:top w:w="100" w:type="dxa"/>
              <w:start w:w="120" w:type="dxa"/>
              <w:bottom w:w="100" w:type="dxa"/>
              <w:end w:w="120" w:type="dxa"/>
            </w:tcMar>
            <w:vAlign w:val="center"/>
          </w:tcPr>
          <w:p>
            <w:pPr>
              <w:spacing w:after="0"/>
            </w:pPr>
            <w:r>
              <w:rPr>
                <w:rFonts w:ascii="Aptos" w:hAnsi="Aptos"/>
                <w:color w:val="202833"/>
                <w:sz w:val="18"/>
              </w:rPr>
              <w:t>Admin, Treasurer, Pastor, Membership, Viewer</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Members</w:t>
            </w:r>
          </w:p>
        </w:tc>
        <w:tc>
          <w:tcPr>
            <w:tcW w:type="dxa" w:w="5040"/>
            <w:tcMar>
              <w:top w:w="100" w:type="dxa"/>
              <w:start w:w="120" w:type="dxa"/>
              <w:bottom w:w="100" w:type="dxa"/>
              <w:end w:w="120" w:type="dxa"/>
            </w:tcMar>
            <w:vAlign w:val="center"/>
          </w:tcPr>
          <w:p>
            <w:pPr>
              <w:spacing w:after="0"/>
            </w:pPr>
            <w:r>
              <w:rPr>
                <w:rFonts w:ascii="Aptos" w:hAnsi="Aptos"/>
                <w:color w:val="202833"/>
                <w:sz w:val="18"/>
              </w:rPr>
              <w:t>Admin, Membership</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Offerings</w:t>
            </w:r>
          </w:p>
        </w:tc>
        <w:tc>
          <w:tcPr>
            <w:tcW w:type="dxa" w:w="5040"/>
            <w:tcMar>
              <w:top w:w="100" w:type="dxa"/>
              <w:start w:w="120" w:type="dxa"/>
              <w:bottom w:w="100" w:type="dxa"/>
              <w:end w:w="120" w:type="dxa"/>
            </w:tcMar>
            <w:vAlign w:val="center"/>
          </w:tcPr>
          <w:p>
            <w:pPr>
              <w:spacing w:after="0"/>
            </w:pPr>
            <w:r>
              <w:rPr>
                <w:rFonts w:ascii="Aptos" w:hAnsi="Aptos"/>
                <w:color w:val="202833"/>
                <w:sz w:val="18"/>
              </w:rPr>
              <w:t>Admin, Treasurer</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Finance</w:t>
            </w:r>
          </w:p>
        </w:tc>
        <w:tc>
          <w:tcPr>
            <w:tcW w:type="dxa" w:w="5040"/>
            <w:tcMar>
              <w:top w:w="100" w:type="dxa"/>
              <w:start w:w="120" w:type="dxa"/>
              <w:bottom w:w="100" w:type="dxa"/>
              <w:end w:w="120" w:type="dxa"/>
            </w:tcMar>
            <w:vAlign w:val="center"/>
          </w:tcPr>
          <w:p>
            <w:pPr>
              <w:spacing w:after="0"/>
            </w:pPr>
            <w:r>
              <w:rPr>
                <w:rFonts w:ascii="Aptos" w:hAnsi="Aptos"/>
                <w:color w:val="202833"/>
                <w:sz w:val="18"/>
              </w:rPr>
              <w:t>Admin, Treasurer</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Budgets</w:t>
            </w:r>
          </w:p>
        </w:tc>
        <w:tc>
          <w:tcPr>
            <w:tcW w:type="dxa" w:w="5040"/>
            <w:tcMar>
              <w:top w:w="100" w:type="dxa"/>
              <w:start w:w="120" w:type="dxa"/>
              <w:bottom w:w="100" w:type="dxa"/>
              <w:end w:w="120" w:type="dxa"/>
            </w:tcMar>
            <w:vAlign w:val="center"/>
          </w:tcPr>
          <w:p>
            <w:pPr>
              <w:spacing w:after="0"/>
            </w:pPr>
            <w:r>
              <w:rPr>
                <w:rFonts w:ascii="Aptos" w:hAnsi="Aptos"/>
                <w:color w:val="202833"/>
                <w:sz w:val="18"/>
              </w:rPr>
              <w:t>Admin, Treasurer</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Reference Data</w:t>
            </w:r>
          </w:p>
        </w:tc>
        <w:tc>
          <w:tcPr>
            <w:tcW w:type="dxa" w:w="5040"/>
            <w:tcMar>
              <w:top w:w="100" w:type="dxa"/>
              <w:start w:w="120" w:type="dxa"/>
              <w:bottom w:w="100" w:type="dxa"/>
              <w:end w:w="120" w:type="dxa"/>
            </w:tcMar>
            <w:vAlign w:val="center"/>
          </w:tcPr>
          <w:p>
            <w:pPr>
              <w:spacing w:after="0"/>
            </w:pPr>
            <w:r>
              <w:rPr>
                <w:rFonts w:ascii="Aptos" w:hAnsi="Aptos"/>
                <w:color w:val="202833"/>
                <w:sz w:val="18"/>
              </w:rPr>
              <w:t>Admin</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Reports</w:t>
            </w:r>
          </w:p>
        </w:tc>
        <w:tc>
          <w:tcPr>
            <w:tcW w:type="dxa" w:w="5040"/>
            <w:tcMar>
              <w:top w:w="100" w:type="dxa"/>
              <w:start w:w="120" w:type="dxa"/>
              <w:bottom w:w="100" w:type="dxa"/>
              <w:end w:w="120" w:type="dxa"/>
            </w:tcMar>
            <w:vAlign w:val="center"/>
          </w:tcPr>
          <w:p>
            <w:pPr>
              <w:spacing w:after="0"/>
            </w:pPr>
            <w:r>
              <w:rPr>
                <w:rFonts w:ascii="Aptos" w:hAnsi="Aptos"/>
                <w:color w:val="202833"/>
                <w:sz w:val="18"/>
              </w:rPr>
              <w:t>Admin, Treasurer, Pastor, Viewer</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Official Tax Return report</w:t>
            </w:r>
          </w:p>
        </w:tc>
        <w:tc>
          <w:tcPr>
            <w:tcW w:type="dxa" w:w="5040"/>
            <w:tcMar>
              <w:top w:w="100" w:type="dxa"/>
              <w:start w:w="120" w:type="dxa"/>
              <w:bottom w:w="100" w:type="dxa"/>
              <w:end w:w="120" w:type="dxa"/>
            </w:tcMar>
            <w:vAlign w:val="center"/>
          </w:tcPr>
          <w:p>
            <w:pPr>
              <w:spacing w:after="0"/>
            </w:pPr>
            <w:r>
              <w:rPr>
                <w:rFonts w:ascii="Aptos" w:hAnsi="Aptos"/>
                <w:color w:val="202833"/>
                <w:sz w:val="18"/>
              </w:rPr>
              <w:t>Treasurer</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My Profile</w:t>
            </w:r>
          </w:p>
        </w:tc>
        <w:tc>
          <w:tcPr>
            <w:tcW w:type="dxa" w:w="5040"/>
            <w:tcMar>
              <w:top w:w="100" w:type="dxa"/>
              <w:start w:w="120" w:type="dxa"/>
              <w:bottom w:w="100" w:type="dxa"/>
              <w:end w:w="120" w:type="dxa"/>
            </w:tcMar>
            <w:vAlign w:val="center"/>
          </w:tcPr>
          <w:p>
            <w:pPr>
              <w:spacing w:after="0"/>
            </w:pPr>
            <w:r>
              <w:rPr>
                <w:rFonts w:ascii="Aptos" w:hAnsi="Aptos"/>
                <w:color w:val="202833"/>
                <w:sz w:val="18"/>
              </w:rPr>
              <w:t>Admin, Member</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System Administration</w:t>
            </w:r>
          </w:p>
        </w:tc>
        <w:tc>
          <w:tcPr>
            <w:tcW w:type="dxa" w:w="5040"/>
            <w:tcMar>
              <w:top w:w="100" w:type="dxa"/>
              <w:start w:w="120" w:type="dxa"/>
              <w:bottom w:w="100" w:type="dxa"/>
              <w:end w:w="120" w:type="dxa"/>
            </w:tcMar>
            <w:vAlign w:val="center"/>
          </w:tcPr>
          <w:p>
            <w:pPr>
              <w:spacing w:after="0"/>
            </w:pPr>
            <w:r>
              <w:rPr>
                <w:rFonts w:ascii="Aptos" w:hAnsi="Aptos"/>
                <w:color w:val="202833"/>
                <w:sz w:val="18"/>
              </w:rPr>
              <w:t>Admin</w:t>
            </w:r>
          </w:p>
        </w:tc>
      </w:tr>
      <w:tr>
        <w:tc>
          <w:tcPr>
            <w:tcW w:type="dxa" w:w="5040"/>
            <w:tcMar>
              <w:top w:w="100" w:type="dxa"/>
              <w:start w:w="120" w:type="dxa"/>
              <w:bottom w:w="100" w:type="dxa"/>
              <w:end w:w="120" w:type="dxa"/>
            </w:tcMar>
            <w:vAlign w:val="center"/>
          </w:tcPr>
          <w:p>
            <w:pPr>
              <w:spacing w:after="0"/>
            </w:pPr>
            <w:r>
              <w:rPr>
                <w:rFonts w:ascii="Aptos" w:hAnsi="Aptos"/>
                <w:color w:val="202833"/>
                <w:sz w:val="18"/>
              </w:rPr>
              <w:t>Password reset and Logout</w:t>
            </w:r>
          </w:p>
        </w:tc>
        <w:tc>
          <w:tcPr>
            <w:tcW w:type="dxa" w:w="5040"/>
            <w:tcMar>
              <w:top w:w="100" w:type="dxa"/>
              <w:start w:w="120" w:type="dxa"/>
              <w:bottom w:w="100" w:type="dxa"/>
              <w:end w:w="120" w:type="dxa"/>
            </w:tcMar>
            <w:vAlign w:val="center"/>
          </w:tcPr>
          <w:p>
            <w:pPr>
              <w:spacing w:after="0"/>
            </w:pPr>
            <w:r>
              <w:rPr>
                <w:rFonts w:ascii="Aptos" w:hAnsi="Aptos"/>
                <w:color w:val="202833"/>
                <w:sz w:val="18"/>
              </w:rPr>
              <w:t>All users</w:t>
            </w:r>
          </w:p>
        </w:tc>
      </w:tr>
    </w:tbl>
    <w:p>
      <w:pPr>
        <w:spacing w:after="40"/>
      </w:pPr>
    </w:p>
    <w:p>
      <w:pPr>
        <w:pStyle w:val="Heading1"/>
        <w:pageBreakBefore/>
      </w:pPr>
      <w:r>
        <w:t>Getting Started</w:t>
      </w:r>
    </w:p>
    <w:p>
      <w:pPr>
        <w:pStyle w:val="Heading2"/>
      </w:pPr>
      <w:r>
        <w:t>Sign in</w:t>
      </w:r>
    </w:p>
    <w:p>
      <w:r>
        <w:rPr>
          <w:b/>
        </w:rPr>
        <w:t>Available to:</w:t>
      </w:r>
      <w:r>
        <w:t xml:space="preserve"> All users</w:t>
      </w:r>
    </w:p>
    <w:p>
      <w:pPr>
        <w:pStyle w:val="ListNumber"/>
        <w:numPr>
          <w:ilvl w:val="0"/>
          <w:numId w:val="10"/>
        </w:numPr>
      </w:pPr>
      <w:r>
        <w:t>Open Church Operations in a web browser.</w:t>
      </w:r>
    </w:p>
    <w:p>
      <w:pPr>
        <w:pStyle w:val="ListNumber"/>
        <w:numPr>
          <w:ilvl w:val="0"/>
          <w:numId w:val="10"/>
        </w:numPr>
      </w:pPr>
      <w:r>
        <w:t xml:space="preserve">Enter the member's primary email in </w:t>
      </w:r>
      <w:r>
        <w:rPr>
          <w:b/>
        </w:rPr>
        <w:t>Login ID</w:t>
      </w:r>
      <w:r>
        <w:t xml:space="preserve">. The initial system administrator uses </w:t>
      </w:r>
      <w:r>
        <w:rPr>
          <w:rFonts w:ascii="Courier New" w:hAnsi="Courier New"/>
          <w:color w:val="123047"/>
          <w:sz w:val="19"/>
        </w:rPr>
        <w:t>admin</w:t>
      </w:r>
      <w:r>
        <w:t>.</w:t>
      </w:r>
    </w:p>
    <w:p>
      <w:pPr>
        <w:pStyle w:val="ListNumber"/>
        <w:numPr>
          <w:ilvl w:val="0"/>
          <w:numId w:val="10"/>
        </w:numPr>
      </w:pPr>
      <w:r>
        <w:t>Enter the password.</w:t>
      </w:r>
    </w:p>
    <w:p>
      <w:pPr>
        <w:pStyle w:val="ListNumber"/>
        <w:numPr>
          <w:ilvl w:val="0"/>
          <w:numId w:val="10"/>
        </w:numPr>
      </w:pPr>
      <w:r>
        <w:t xml:space="preserve">Select </w:t>
      </w:r>
      <w:r>
        <w:rPr>
          <w:b/>
        </w:rPr>
        <w:t>Sign in</w:t>
      </w:r>
      <w:r>
        <w:t>.</w:t>
      </w:r>
    </w:p>
    <w:p>
      <w:pPr>
        <w:pStyle w:val="ListNumber"/>
        <w:numPr>
          <w:ilvl w:val="0"/>
          <w:numId w:val="10"/>
        </w:numPr>
      </w:pPr>
      <w:r>
        <w:t>The application opens the functions permitted by the member's assigned roles.</w:t>
      </w:r>
    </w:p>
    <w:p>
      <w:pPr>
        <w:keepNext/>
        <w:spacing w:before="100" w:after="60"/>
        <w:jc w:val="center"/>
      </w:pPr>
      <w:r>
        <w:drawing>
          <wp:inline xmlns:a="http://schemas.openxmlformats.org/drawingml/2006/main" xmlns:pic="http://schemas.openxmlformats.org/drawingml/2006/picture">
            <wp:extent cx="4389120" cy="2470228"/>
            <wp:docPr id="1" name="Picture 1" descr="Sign-in page"/>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4389120" cy="2470228"/>
                    </a:xfrm>
                    <a:prstGeom prst="rect"/>
                  </pic:spPr>
                </pic:pic>
              </a:graphicData>
            </a:graphic>
          </wp:inline>
        </w:drawing>
      </w:r>
    </w:p>
    <w:p>
      <w:pPr>
        <w:spacing w:after="160"/>
        <w:jc w:val="center"/>
      </w:pPr>
      <w:r>
        <w:rPr>
          <w:rFonts w:ascii="Aptos" w:hAnsi="Aptos"/>
          <w:i/>
          <w:color w:val="667085"/>
          <w:sz w:val="17"/>
        </w:rPr>
        <w:t>Sign-in page</w:t>
      </w:r>
    </w:p>
    <w:p>
      <w:pPr>
        <w:pStyle w:val="Heading2"/>
      </w:pPr>
      <w:r>
        <w:t>Change the initial password</w:t>
      </w:r>
    </w:p>
    <w:p>
      <w:r>
        <w:rPr>
          <w:b/>
        </w:rPr>
        <w:t>Available to:</w:t>
      </w:r>
      <w:r>
        <w:t xml:space="preserve"> Users whose account requires a password change</w:t>
      </w:r>
    </w:p>
    <w:p>
      <w:r>
        <w:t xml:space="preserve">The initial administrator account is created with login ID </w:t>
      </w:r>
      <w:r>
        <w:rPr>
          <w:rFonts w:ascii="Courier New" w:hAnsi="Courier New"/>
          <w:color w:val="123047"/>
          <w:sz w:val="19"/>
        </w:rPr>
        <w:t>admin</w:t>
      </w:r>
      <w:r>
        <w:t xml:space="preserve"> and password </w:t>
      </w:r>
      <w:r>
        <w:rPr>
          <w:rFonts w:ascii="Courier New" w:hAnsi="Courier New"/>
          <w:color w:val="123047"/>
          <w:sz w:val="19"/>
        </w:rPr>
        <w:t>password</w:t>
      </w:r>
      <w:r>
        <w:t>. Change this password immediately.</w:t>
      </w:r>
    </w:p>
    <w:p>
      <w:pPr>
        <w:pStyle w:val="ListNumber"/>
        <w:numPr>
          <w:ilvl w:val="0"/>
          <w:numId w:val="11"/>
        </w:numPr>
      </w:pPr>
      <w:r>
        <w:t>Sign in with the temporary password.</w:t>
      </w:r>
    </w:p>
    <w:p>
      <w:pPr>
        <w:pStyle w:val="ListNumber"/>
        <w:numPr>
          <w:ilvl w:val="0"/>
          <w:numId w:val="11"/>
        </w:numPr>
      </w:pPr>
      <w:r>
        <w:t xml:space="preserve">On </w:t>
      </w:r>
      <w:r>
        <w:rPr>
          <w:b/>
        </w:rPr>
        <w:t>Change Password</w:t>
      </w:r>
      <w:r>
        <w:t>, enter the current password.</w:t>
      </w:r>
    </w:p>
    <w:p>
      <w:pPr>
        <w:pStyle w:val="ListNumber"/>
        <w:numPr>
          <w:ilvl w:val="0"/>
          <w:numId w:val="11"/>
        </w:numPr>
      </w:pPr>
      <w:r>
        <w:t>Enter a new password containing at least eight characters.</w:t>
      </w:r>
    </w:p>
    <w:p>
      <w:pPr>
        <w:pStyle w:val="ListNumber"/>
        <w:numPr>
          <w:ilvl w:val="0"/>
          <w:numId w:val="11"/>
        </w:numPr>
      </w:pPr>
      <w:r>
        <w:t xml:space="preserve">Select </w:t>
      </w:r>
      <w:r>
        <w:rPr>
          <w:b/>
        </w:rPr>
        <w:t>Update password</w:t>
      </w:r>
      <w:r>
        <w:t>.</w:t>
      </w:r>
    </w:p>
    <w:p>
      <w:pPr>
        <w:pStyle w:val="ListNumber"/>
        <w:numPr>
          <w:ilvl w:val="0"/>
          <w:numId w:val="11"/>
        </w:numPr>
      </w:pPr>
      <w:r>
        <w:t>The dashboard opens after the password is updated.</w:t>
      </w:r>
    </w:p>
    <w:p>
      <w:pPr>
        <w:keepNext/>
        <w:spacing w:before="100" w:after="60"/>
        <w:jc w:val="center"/>
      </w:pPr>
      <w:r>
        <w:drawing>
          <wp:inline xmlns:a="http://schemas.openxmlformats.org/drawingml/2006/main" xmlns:pic="http://schemas.openxmlformats.org/drawingml/2006/picture">
            <wp:extent cx="4389120" cy="2470398"/>
            <wp:docPr id="2" name="Picture 2" descr="Required first-login password change"/>
            <wp:cNvGraphicFramePr>
              <a:graphicFrameLocks noChangeAspect="1"/>
            </wp:cNvGraphicFramePr>
            <a:graphic>
              <a:graphicData uri="http://schemas.openxmlformats.org/drawingml/2006/picture">
                <pic:pic>
                  <pic:nvPicPr>
                    <pic:cNvPr id="0" name="12-change-password.png"/>
                    <pic:cNvPicPr/>
                  </pic:nvPicPr>
                  <pic:blipFill>
                    <a:blip r:embed="rId12"/>
                    <a:stretch>
                      <a:fillRect/>
                    </a:stretch>
                  </pic:blipFill>
                  <pic:spPr>
                    <a:xfrm>
                      <a:off x="0" y="0"/>
                      <a:ext cx="4389120" cy="2470398"/>
                    </a:xfrm>
                    <a:prstGeom prst="rect"/>
                  </pic:spPr>
                </pic:pic>
              </a:graphicData>
            </a:graphic>
          </wp:inline>
        </w:drawing>
      </w:r>
    </w:p>
    <w:p>
      <w:pPr>
        <w:spacing w:after="160"/>
        <w:jc w:val="center"/>
      </w:pPr>
      <w:r>
        <w:rPr>
          <w:rFonts w:ascii="Aptos" w:hAnsi="Aptos"/>
          <w:i/>
          <w:color w:val="667085"/>
          <w:sz w:val="17"/>
        </w:rPr>
        <w:t>Required first-login password change</w:t>
      </w:r>
    </w:p>
    <w:p>
      <w:pPr>
        <w:pStyle w:val="Heading2"/>
      </w:pPr>
      <w:r>
        <w:t>Create the permanent administrator account</w:t>
      </w:r>
    </w:p>
    <w:p>
      <w:r>
        <w:rPr>
          <w:b/>
        </w:rPr>
        <w:t>Available to:</w:t>
      </w:r>
      <w:r>
        <w:t xml:space="preserve"> The initial system administrator</w:t>
      </w:r>
    </w:p>
    <w:p>
      <w:r>
        <w:t xml:space="preserve">The bootstrap </w:t>
      </w:r>
      <w:r>
        <w:rPr>
          <w:rFonts w:ascii="Courier New" w:hAnsi="Courier New"/>
          <w:color w:val="123047"/>
          <w:sz w:val="19"/>
        </w:rPr>
        <w:t>admin</w:t>
      </w:r>
      <w:r>
        <w:t xml:space="preserve"> account does not have an email address and therefore cannot receive a forgotten-password email. After the first successful login and password change, create an email-based administrator for normal ongoing use.</w:t>
      </w:r>
    </w:p>
    <w:p>
      <w:pPr>
        <w:pStyle w:val="ListNumber"/>
        <w:numPr>
          <w:ilvl w:val="0"/>
          <w:numId w:val="12"/>
        </w:numPr>
      </w:pPr>
      <w:r>
        <w:t xml:space="preserve">Open </w:t>
      </w:r>
      <w:r>
        <w:rPr>
          <w:b/>
        </w:rPr>
        <w:t>Members</w:t>
      </w:r>
      <w:r>
        <w:t xml:space="preserve"> and select </w:t>
      </w:r>
      <w:r>
        <w:rPr>
          <w:b/>
        </w:rPr>
        <w:t>New member</w:t>
      </w:r>
      <w:r>
        <w:t>.</w:t>
      </w:r>
    </w:p>
    <w:p>
      <w:pPr>
        <w:pStyle w:val="ListNumber"/>
        <w:numPr>
          <w:ilvl w:val="0"/>
          <w:numId w:val="12"/>
        </w:numPr>
      </w:pPr>
      <w:r>
        <w:t xml:space="preserve">Enter the administrator's valid email address in </w:t>
      </w:r>
      <w:r>
        <w:rPr>
          <w:b/>
        </w:rPr>
        <w:t>Primary email</w:t>
      </w:r>
      <w:r>
        <w:t>. This email becomes the new administrator's login ID and password-reset address.</w:t>
      </w:r>
    </w:p>
    <w:p>
      <w:pPr>
        <w:pStyle w:val="ListNumber"/>
        <w:numPr>
          <w:ilvl w:val="0"/>
          <w:numId w:val="12"/>
        </w:numPr>
      </w:pPr>
      <w:r>
        <w:t>Enter the administrator's name and other member details as available.</w:t>
      </w:r>
    </w:p>
    <w:p>
      <w:pPr>
        <w:pStyle w:val="ListNumber"/>
        <w:numPr>
          <w:ilvl w:val="0"/>
          <w:numId w:val="12"/>
        </w:numPr>
      </w:pPr>
      <w:r>
        <w:t xml:space="preserve">In </w:t>
      </w:r>
      <w:r>
        <w:rPr>
          <w:b/>
        </w:rPr>
        <w:t>Roles</w:t>
      </w:r>
      <w:r>
        <w:t xml:space="preserve">, select </w:t>
      </w:r>
      <w:r>
        <w:rPr>
          <w:b/>
        </w:rPr>
        <w:t>ADMIN</w:t>
      </w:r>
      <w:r>
        <w:t xml:space="preserve">. Keep </w:t>
      </w:r>
      <w:r>
        <w:rPr>
          <w:b/>
        </w:rPr>
        <w:t>MEMBER</w:t>
      </w:r>
      <w:r>
        <w:t xml:space="preserve"> selected as well when the administrator needs normal member self-service access.</w:t>
      </w:r>
    </w:p>
    <w:p>
      <w:pPr>
        <w:pStyle w:val="ListNumber"/>
        <w:numPr>
          <w:ilvl w:val="0"/>
          <w:numId w:val="12"/>
        </w:numPr>
      </w:pPr>
      <w:r>
        <w:t xml:space="preserve">Ensure </w:t>
      </w:r>
      <w:r>
        <w:rPr>
          <w:b/>
        </w:rPr>
        <w:t>Login enabled</w:t>
      </w:r>
      <w:r>
        <w:t xml:space="preserve"> is selected and </w:t>
      </w:r>
      <w:r>
        <w:rPr>
          <w:b/>
        </w:rPr>
        <w:t>Login locked</w:t>
      </w:r>
      <w:r>
        <w:t xml:space="preserve"> is cleared.</w:t>
      </w:r>
    </w:p>
    <w:p>
      <w:pPr>
        <w:pStyle w:val="ListNumber"/>
        <w:numPr>
          <w:ilvl w:val="0"/>
          <w:numId w:val="12"/>
        </w:numPr>
      </w:pPr>
      <w:r>
        <w:t xml:space="preserve">Select </w:t>
      </w:r>
      <w:r>
        <w:rPr>
          <w:b/>
        </w:rPr>
        <w:t>Create member</w:t>
      </w:r>
      <w:r>
        <w:t>.</w:t>
      </w:r>
    </w:p>
    <w:p>
      <w:pPr>
        <w:pStyle w:val="ListNumber"/>
        <w:numPr>
          <w:ilvl w:val="0"/>
          <w:numId w:val="12"/>
        </w:numPr>
      </w:pPr>
      <w:r>
        <w:t xml:space="preserve">Sign out, select </w:t>
      </w:r>
      <w:r>
        <w:rPr>
          <w:b/>
        </w:rPr>
        <w:t>Forgot password?</w:t>
      </w:r>
      <w:r>
        <w:t>, and enter the new administrator's primary email.</w:t>
      </w:r>
    </w:p>
    <w:p>
      <w:pPr>
        <w:pStyle w:val="ListNumber"/>
        <w:numPr>
          <w:ilvl w:val="0"/>
          <w:numId w:val="12"/>
        </w:numPr>
      </w:pPr>
      <w:r>
        <w:t>Open the reset email, follow its link, and set the new administrator's first password.</w:t>
      </w:r>
    </w:p>
    <w:p>
      <w:pPr>
        <w:pStyle w:val="ListNumber"/>
        <w:numPr>
          <w:ilvl w:val="0"/>
          <w:numId w:val="12"/>
        </w:numPr>
      </w:pPr>
      <w:r>
        <w:t>Sign in with the new email-based administrator and confirm that the required administration menus are available.</w:t>
      </w:r>
    </w:p>
    <w:tbl>
      <w:tblPr>
        <w:tblW w:type="auto" w:w="0"/>
        <w:jc w:val="center"/>
        <w:tblLayout w:type="fixed"/>
        <w:tblLook w:firstColumn="1" w:firstRow="1" w:lastColumn="0" w:lastRow="0" w:noHBand="0" w:noVBand="1" w:val="04A0"/>
      </w:tblPr>
      <w:tblGrid>
        <w:gridCol w:w="10080"/>
      </w:tblGrid>
      <w:tr>
        <w:trPr>
          <w:tblHeader w:val="true"/>
        </w:trPr>
        <w:tc>
          <w:tcPr>
            <w:tcW w:type="dxa" w:w="9864"/>
            <w:shd w:fill="E8F1F5"/>
            <w:tcMar>
              <w:top w:w="130" w:type="dxa"/>
              <w:start w:w="160" w:type="dxa"/>
              <w:bottom w:w="130" w:type="dxa"/>
              <w:end w:w="160" w:type="dxa"/>
            </w:tcMar>
          </w:tcPr>
          <w:p>
            <w:pPr>
              <w:spacing w:after="0"/>
            </w:pPr>
            <w:r>
              <w:rPr>
                <w:rFonts w:ascii="Aptos" w:hAnsi="Aptos"/>
                <w:b/>
                <w:color w:val="123047"/>
                <w:sz w:val="19"/>
              </w:rPr>
              <w:t>Important:</w:t>
            </w:r>
            <w:r>
              <w:rPr>
                <w:rFonts w:ascii="Aptos" w:hAnsi="Aptos"/>
                <w:color w:val="123047"/>
                <w:sz w:val="19"/>
              </w:rPr>
              <w:t xml:space="preserve"> Keep the bootstrap </w:t>
            </w:r>
            <w:r>
              <w:rPr>
                <w:rFonts w:ascii="Aptos" w:hAnsi="Aptos"/>
                <w:color w:val="123047"/>
                <w:sz w:val="19"/>
              </w:rPr>
              <w:t>admin</w:t>
            </w:r>
            <w:r>
              <w:rPr>
                <w:rFonts w:ascii="Aptos" w:hAnsi="Aptos"/>
                <w:color w:val="123047"/>
                <w:sz w:val="19"/>
              </w:rPr>
              <w:t xml:space="preserve"> password in a secure church-controlled location for emergency access. Complete and verify the email-based administrator account before changing or restricting any existing administrator account.</w:t>
            </w:r>
          </w:p>
        </w:tc>
      </w:tr>
    </w:tbl>
    <w:p>
      <w:pPr>
        <w:spacing w:after="20"/>
      </w:pPr>
    </w:p>
    <w:p>
      <w:pPr>
        <w:pStyle w:val="Heading2"/>
      </w:pPr>
      <w:r>
        <w:t>Reset a forgotten password</w:t>
      </w:r>
    </w:p>
    <w:p>
      <w:r>
        <w:rPr>
          <w:b/>
        </w:rPr>
        <w:t>Available to:</w:t>
      </w:r>
      <w:r>
        <w:t xml:space="preserve"> All users with an active, unlocked account and a valid primary email</w:t>
      </w:r>
    </w:p>
    <w:p>
      <w:pPr>
        <w:pStyle w:val="ListNumber"/>
        <w:numPr>
          <w:ilvl w:val="0"/>
          <w:numId w:val="13"/>
        </w:numPr>
      </w:pPr>
      <w:r>
        <w:t xml:space="preserve">On the sign-in page, select </w:t>
      </w:r>
      <w:r>
        <w:rPr>
          <w:b/>
        </w:rPr>
        <w:t>Forgot password?</w:t>
      </w:r>
    </w:p>
    <w:p>
      <w:pPr>
        <w:pStyle w:val="ListNumber"/>
        <w:numPr>
          <w:ilvl w:val="0"/>
          <w:numId w:val="13"/>
        </w:numPr>
      </w:pPr>
      <w:r>
        <w:t>Enter the account's primary email.</w:t>
      </w:r>
    </w:p>
    <w:p>
      <w:pPr>
        <w:pStyle w:val="ListNumber"/>
        <w:numPr>
          <w:ilvl w:val="0"/>
          <w:numId w:val="13"/>
        </w:numPr>
      </w:pPr>
      <w:r>
        <w:t xml:space="preserve">Select </w:t>
      </w:r>
      <w:r>
        <w:rPr>
          <w:b/>
        </w:rPr>
        <w:t>Send reset link</w:t>
      </w:r>
      <w:r>
        <w:t>. The same confirmation appears whether or not the email matches an account.</w:t>
      </w:r>
    </w:p>
    <w:p>
      <w:pPr>
        <w:pStyle w:val="ListNumber"/>
        <w:numPr>
          <w:ilvl w:val="0"/>
          <w:numId w:val="13"/>
        </w:numPr>
      </w:pPr>
      <w:r>
        <w:t>Open the password reset email and select its link within 30 minutes.</w:t>
      </w:r>
    </w:p>
    <w:p>
      <w:pPr>
        <w:pStyle w:val="ListNumber"/>
        <w:numPr>
          <w:ilvl w:val="0"/>
          <w:numId w:val="13"/>
        </w:numPr>
      </w:pPr>
      <w:r>
        <w:t xml:space="preserve">Enter the new password twice and select </w:t>
      </w:r>
      <w:r>
        <w:rPr>
          <w:b/>
        </w:rPr>
        <w:t>Set new password</w:t>
      </w:r>
      <w:r>
        <w:t>.</w:t>
      </w:r>
    </w:p>
    <w:p>
      <w:pPr>
        <w:pStyle w:val="ListNumber"/>
        <w:numPr>
          <w:ilvl w:val="0"/>
          <w:numId w:val="13"/>
        </w:numPr>
      </w:pPr>
      <w:r>
        <w:t>Return to sign in and use the new password.</w:t>
      </w:r>
    </w:p>
    <w:p>
      <w:pPr>
        <w:keepNext/>
        <w:spacing w:before="100" w:after="60"/>
        <w:jc w:val="center"/>
      </w:pPr>
      <w:r>
        <w:drawing>
          <wp:inline xmlns:a="http://schemas.openxmlformats.org/drawingml/2006/main" xmlns:pic="http://schemas.openxmlformats.org/drawingml/2006/picture">
            <wp:extent cx="4389120" cy="3049283"/>
            <wp:docPr id="3" name="Picture 3" descr="Request a password reset link"/>
            <wp:cNvGraphicFramePr>
              <a:graphicFrameLocks noChangeAspect="1"/>
            </wp:cNvGraphicFramePr>
            <a:graphic>
              <a:graphicData uri="http://schemas.openxmlformats.org/drawingml/2006/picture">
                <pic:pic>
                  <pic:nvPicPr>
                    <pic:cNvPr id="0" name="02-forgot-password.png"/>
                    <pic:cNvPicPr/>
                  </pic:nvPicPr>
                  <pic:blipFill>
                    <a:blip r:embed="rId13"/>
                    <a:stretch>
                      <a:fillRect/>
                    </a:stretch>
                  </pic:blipFill>
                  <pic:spPr>
                    <a:xfrm>
                      <a:off x="0" y="0"/>
                      <a:ext cx="4389120" cy="3049283"/>
                    </a:xfrm>
                    <a:prstGeom prst="rect"/>
                  </pic:spPr>
                </pic:pic>
              </a:graphicData>
            </a:graphic>
          </wp:inline>
        </w:drawing>
      </w:r>
    </w:p>
    <w:p>
      <w:pPr>
        <w:spacing w:after="160"/>
        <w:jc w:val="center"/>
      </w:pPr>
      <w:r>
        <w:rPr>
          <w:rFonts w:ascii="Aptos" w:hAnsi="Aptos"/>
          <w:i/>
          <w:color w:val="667085"/>
          <w:sz w:val="17"/>
        </w:rPr>
        <w:t>Request a password reset link</w:t>
      </w:r>
    </w:p>
    <w:p>
      <w:pPr>
        <w:keepNext/>
        <w:spacing w:before="100" w:after="60"/>
        <w:jc w:val="center"/>
      </w:pPr>
      <w:r>
        <w:drawing>
          <wp:inline xmlns:a="http://schemas.openxmlformats.org/drawingml/2006/main" xmlns:pic="http://schemas.openxmlformats.org/drawingml/2006/picture">
            <wp:extent cx="4389120" cy="3049283"/>
            <wp:docPr id="4" name="Picture 4" descr="Set a new password from the emailed link"/>
            <wp:cNvGraphicFramePr>
              <a:graphicFrameLocks noChangeAspect="1"/>
            </wp:cNvGraphicFramePr>
            <a:graphic>
              <a:graphicData uri="http://schemas.openxmlformats.org/drawingml/2006/picture">
                <pic:pic>
                  <pic:nvPicPr>
                    <pic:cNvPr id="0" name="03-reset-password.png"/>
                    <pic:cNvPicPr/>
                  </pic:nvPicPr>
                  <pic:blipFill>
                    <a:blip r:embed="rId14"/>
                    <a:stretch>
                      <a:fillRect/>
                    </a:stretch>
                  </pic:blipFill>
                  <pic:spPr>
                    <a:xfrm>
                      <a:off x="0" y="0"/>
                      <a:ext cx="4389120" cy="3049283"/>
                    </a:xfrm>
                    <a:prstGeom prst="rect"/>
                  </pic:spPr>
                </pic:pic>
              </a:graphicData>
            </a:graphic>
          </wp:inline>
        </w:drawing>
      </w:r>
    </w:p>
    <w:p>
      <w:pPr>
        <w:spacing w:after="160"/>
        <w:jc w:val="center"/>
      </w:pPr>
      <w:r>
        <w:rPr>
          <w:rFonts w:ascii="Aptos" w:hAnsi="Aptos"/>
          <w:i/>
          <w:color w:val="667085"/>
          <w:sz w:val="17"/>
        </w:rPr>
        <w:t>Set a new password from the emailed link</w:t>
      </w:r>
    </w:p>
    <w:tbl>
      <w:tblPr>
        <w:tblW w:type="auto" w:w="0"/>
        <w:jc w:val="center"/>
        <w:tblLayout w:type="fixed"/>
        <w:tblLook w:firstColumn="1" w:firstRow="1" w:lastColumn="0" w:lastRow="0" w:noHBand="0" w:noVBand="1" w:val="04A0"/>
      </w:tblPr>
      <w:tblGrid>
        <w:gridCol w:w="10080"/>
      </w:tblGrid>
      <w:tr>
        <w:trPr>
          <w:tblHeader w:val="true"/>
        </w:trPr>
        <w:tc>
          <w:tcPr>
            <w:tcW w:type="dxa" w:w="9864"/>
            <w:shd w:fill="E8F1F5"/>
            <w:tcMar>
              <w:top w:w="130" w:type="dxa"/>
              <w:start w:w="160" w:type="dxa"/>
              <w:bottom w:w="130" w:type="dxa"/>
              <w:end w:w="160" w:type="dxa"/>
            </w:tcMar>
          </w:tcPr>
          <w:p>
            <w:pPr>
              <w:spacing w:after="0"/>
            </w:pPr>
            <w:r>
              <w:rPr>
                <w:rFonts w:ascii="Aptos" w:hAnsi="Aptos"/>
                <w:b/>
                <w:color w:val="123047"/>
                <w:sz w:val="19"/>
              </w:rPr>
              <w:t>Security note:</w:t>
            </w:r>
            <w:r>
              <w:rPr>
                <w:rFonts w:ascii="Aptos" w:hAnsi="Aptos"/>
                <w:color w:val="123047"/>
                <w:sz w:val="19"/>
              </w:rPr>
              <w:t xml:space="preserve"> A reset link works once and expires after 30 minutes. Completing a reset signs out any existing sessions for that member.</w:t>
            </w:r>
          </w:p>
        </w:tc>
      </w:tr>
    </w:tbl>
    <w:p>
      <w:pPr>
        <w:spacing w:after="20"/>
      </w:pPr>
    </w:p>
    <w:p>
      <w:pPr>
        <w:pStyle w:val="Heading1"/>
        <w:pageBreakBefore/>
      </w:pPr>
      <w:r>
        <w:t>Dashboard</w:t>
      </w:r>
    </w:p>
    <w:p>
      <w:r>
        <w:rPr>
          <w:b/>
        </w:rPr>
        <w:t>Available to:</w:t>
      </w:r>
      <w:r>
        <w:t xml:space="preserve"> Admin, Treasurer, Pastor, Membership, Viewer</w:t>
      </w:r>
    </w:p>
    <w:p>
      <w:r>
        <w:t>The dashboard provides a quick operational summary:</w:t>
      </w:r>
    </w:p>
    <w:p>
      <w:pPr>
        <w:pStyle w:val="ListBullet"/>
      </w:pPr>
      <w:r>
        <w:rPr>
          <w:b/>
        </w:rPr>
        <w:t>Fiscal Snapshot</w:t>
      </w:r>
      <w:r>
        <w:t xml:space="preserve"> shows active and newly registered members, year-to-date offering and expense performance against budget, and uncleared cheque totals.</w:t>
      </w:r>
    </w:p>
    <w:p>
      <w:pPr>
        <w:pStyle w:val="ListBullet"/>
      </w:pPr>
      <w:r>
        <w:rPr>
          <w:b/>
        </w:rPr>
        <w:t>Offering Overview</w:t>
      </w:r>
      <w:r>
        <w:t xml:space="preserve"> shows current-week, month-to-date, and year-to-date totals from active offering records.</w:t>
      </w:r>
    </w:p>
    <w:p>
      <w:pPr>
        <w:pStyle w:val="ListBullet"/>
      </w:pPr>
      <w:r>
        <w:rPr>
          <w:b/>
        </w:rPr>
        <w:t>Offering Trend</w:t>
      </w:r>
      <w:r>
        <w:t xml:space="preserve"> charts the last 12 Offering Sundays, including Sundays with no recorded offerings.</w:t>
      </w:r>
    </w:p>
    <w:p>
      <w:r>
        <w:t>Use the left menu to open permitted functions. The church name, contact information, treasurer, current user initials, and all assigned roles appear in the banner area.</w:t>
      </w:r>
    </w:p>
    <w:p>
      <w:pPr>
        <w:keepNext/>
        <w:spacing w:before="100" w:after="60"/>
        <w:jc w:val="center"/>
      </w:pPr>
      <w:r>
        <w:drawing>
          <wp:inline xmlns:a="http://schemas.openxmlformats.org/drawingml/2006/main" xmlns:pic="http://schemas.openxmlformats.org/drawingml/2006/picture">
            <wp:extent cx="6172200" cy="4286250"/>
            <wp:docPr id="5" name="Picture 5" descr="Dashboard overview"/>
            <wp:cNvGraphicFramePr>
              <a:graphicFrameLocks noChangeAspect="1"/>
            </wp:cNvGraphicFramePr>
            <a:graphic>
              <a:graphicData uri="http://schemas.openxmlformats.org/drawingml/2006/picture">
                <pic:pic>
                  <pic:nvPicPr>
                    <pic:cNvPr id="0" name="04-dashboard.png"/>
                    <pic:cNvPicPr/>
                  </pic:nvPicPr>
                  <pic:blipFill>
                    <a:blip r:embed="rId15"/>
                    <a:stretch>
                      <a:fillRect/>
                    </a:stretch>
                  </pic:blipFill>
                  <pic:spPr>
                    <a:xfrm>
                      <a:off x="0" y="0"/>
                      <a:ext cx="6172200" cy="4286250"/>
                    </a:xfrm>
                    <a:prstGeom prst="rect"/>
                  </pic:spPr>
                </pic:pic>
              </a:graphicData>
            </a:graphic>
          </wp:inline>
        </w:drawing>
      </w:r>
    </w:p>
    <w:p>
      <w:pPr>
        <w:spacing w:after="160"/>
        <w:jc w:val="center"/>
      </w:pPr>
      <w:r>
        <w:rPr>
          <w:rFonts w:ascii="Aptos" w:hAnsi="Aptos"/>
          <w:i/>
          <w:color w:val="667085"/>
          <w:sz w:val="17"/>
        </w:rPr>
        <w:t>Dashboard overview</w:t>
      </w:r>
    </w:p>
    <w:p>
      <w:pPr>
        <w:pStyle w:val="Heading1"/>
        <w:pageBreakBefore/>
      </w:pPr>
      <w:r>
        <w:t>Member Information</w:t>
      </w:r>
    </w:p>
    <w:p>
      <w:r>
        <w:rPr>
          <w:b/>
        </w:rPr>
        <w:t>Available to:</w:t>
      </w:r>
      <w:r>
        <w:t xml:space="preserve"> Admin, Membership</w:t>
      </w:r>
    </w:p>
    <w:p>
      <w:pPr>
        <w:pStyle w:val="Heading2"/>
      </w:pPr>
      <w:r>
        <w:t>Find and review a member</w:t>
      </w:r>
    </w:p>
    <w:p>
      <w:pPr>
        <w:pStyle w:val="ListNumber"/>
        <w:numPr>
          <w:ilvl w:val="0"/>
          <w:numId w:val="14"/>
        </w:numPr>
      </w:pPr>
      <w:r>
        <w:t xml:space="preserve">Select </w:t>
      </w:r>
      <w:r>
        <w:rPr>
          <w:b/>
        </w:rPr>
        <w:t>Members</w:t>
      </w:r>
      <w:r>
        <w:t xml:space="preserve"> in the left menu.</w:t>
      </w:r>
    </w:p>
    <w:p>
      <w:pPr>
        <w:pStyle w:val="ListNumber"/>
        <w:numPr>
          <w:ilvl w:val="0"/>
          <w:numId w:val="14"/>
        </w:numPr>
      </w:pPr>
      <w:r>
        <w:t xml:space="preserve">Enter part of a name or email in </w:t>
      </w:r>
      <w:r>
        <w:rPr>
          <w:b/>
        </w:rPr>
        <w:t>Search members</w:t>
      </w:r>
      <w:r>
        <w:t>.</w:t>
      </w:r>
    </w:p>
    <w:p>
      <w:pPr>
        <w:pStyle w:val="ListNumber"/>
        <w:numPr>
          <w:ilvl w:val="0"/>
          <w:numId w:val="14"/>
        </w:numPr>
      </w:pPr>
      <w:r>
        <w:t xml:space="preserve">Select </w:t>
      </w:r>
      <w:r>
        <w:rPr>
          <w:b/>
        </w:rPr>
        <w:t>Search</w:t>
      </w:r>
      <w:r>
        <w:t>.</w:t>
      </w:r>
    </w:p>
    <w:p>
      <w:pPr>
        <w:pStyle w:val="ListNumber"/>
        <w:numPr>
          <w:ilvl w:val="0"/>
          <w:numId w:val="14"/>
        </w:numPr>
      </w:pPr>
      <w:r>
        <w:t xml:space="preserve">Select a row to load the record into </w:t>
      </w:r>
      <w:r>
        <w:rPr>
          <w:b/>
        </w:rPr>
        <w:t>Member Detail</w:t>
      </w:r>
      <w:r>
        <w:t>.</w:t>
      </w:r>
    </w:p>
    <w:p>
      <w:pPr>
        <w:pStyle w:val="ListNumber"/>
        <w:numPr>
          <w:ilvl w:val="0"/>
          <w:numId w:val="14"/>
        </w:numPr>
      </w:pPr>
      <w:r>
        <w:t xml:space="preserve">Use </w:t>
      </w:r>
      <w:r>
        <w:rPr>
          <w:b/>
        </w:rPr>
        <w:t>Previous</w:t>
      </w:r>
      <w:r>
        <w:t xml:space="preserve"> and </w:t>
      </w:r>
      <w:r>
        <w:rPr>
          <w:b/>
        </w:rPr>
        <w:t>Next</w:t>
      </w:r>
      <w:r>
        <w:t xml:space="preserve"> when the list has more than one page.</w:t>
      </w:r>
    </w:p>
    <w:p>
      <w:pPr>
        <w:pStyle w:val="Heading2"/>
      </w:pPr>
      <w:r>
        <w:t>Register a member</w:t>
      </w:r>
    </w:p>
    <w:p>
      <w:pPr>
        <w:pStyle w:val="ListNumber"/>
        <w:numPr>
          <w:ilvl w:val="0"/>
          <w:numId w:val="15"/>
        </w:numPr>
      </w:pPr>
      <w:r>
        <w:t xml:space="preserve">Select </w:t>
      </w:r>
      <w:r>
        <w:rPr>
          <w:b/>
        </w:rPr>
        <w:t>New member</w:t>
      </w:r>
      <w:r>
        <w:t>.</w:t>
      </w:r>
    </w:p>
    <w:p>
      <w:pPr>
        <w:pStyle w:val="ListNumber"/>
        <w:numPr>
          <w:ilvl w:val="0"/>
          <w:numId w:val="15"/>
        </w:numPr>
      </w:pPr>
      <w:r>
        <w:t xml:space="preserve">Enter the mandatory </w:t>
      </w:r>
      <w:r>
        <w:rPr>
          <w:b/>
        </w:rPr>
        <w:t>Primary email</w:t>
      </w:r>
      <w:r>
        <w:t>. This becomes the login ID.</w:t>
      </w:r>
    </w:p>
    <w:p>
      <w:pPr>
        <w:pStyle w:val="ListNumber"/>
        <w:numPr>
          <w:ilvl w:val="0"/>
          <w:numId w:val="15"/>
        </w:numPr>
      </w:pPr>
      <w:r>
        <w:t>Enter name, nickname, secondary email, phone numbers, birth date, and address as available.</w:t>
      </w:r>
    </w:p>
    <w:p>
      <w:pPr>
        <w:pStyle w:val="ListNumber"/>
        <w:numPr>
          <w:ilvl w:val="0"/>
          <w:numId w:val="15"/>
        </w:numPr>
      </w:pPr>
      <w:r>
        <w:t xml:space="preserve">Choose </w:t>
      </w:r>
      <w:r>
        <w:rPr>
          <w:b/>
        </w:rPr>
        <w:t>Group code</w:t>
      </w:r>
      <w:r>
        <w:t xml:space="preserve"> and </w:t>
      </w:r>
      <w:r>
        <w:rPr>
          <w:b/>
        </w:rPr>
        <w:t>Membership status</w:t>
      </w:r>
      <w:r>
        <w:t xml:space="preserve"> from church reference data.</w:t>
      </w:r>
    </w:p>
    <w:p>
      <w:pPr>
        <w:pStyle w:val="ListNumber"/>
        <w:numPr>
          <w:ilvl w:val="0"/>
          <w:numId w:val="15"/>
        </w:numPr>
      </w:pPr>
      <w:r>
        <w:t xml:space="preserve">Open </w:t>
      </w:r>
      <w:r>
        <w:rPr>
          <w:b/>
        </w:rPr>
        <w:t>Committees</w:t>
      </w:r>
      <w:r>
        <w:t xml:space="preserve"> and select any applicable committee assignments.</w:t>
      </w:r>
    </w:p>
    <w:p>
      <w:pPr>
        <w:pStyle w:val="ListNumber"/>
        <w:numPr>
          <w:ilvl w:val="0"/>
          <w:numId w:val="15"/>
        </w:numPr>
      </w:pPr>
      <w:r>
        <w:t xml:space="preserve">Enter a numeric </w:t>
      </w:r>
      <w:r>
        <w:rPr>
          <w:b/>
        </w:rPr>
        <w:t>Offering number</w:t>
      </w:r>
      <w:r>
        <w:t xml:space="preserve"> when required.</w:t>
      </w:r>
    </w:p>
    <w:p>
      <w:pPr>
        <w:pStyle w:val="ListNumber"/>
        <w:numPr>
          <w:ilvl w:val="0"/>
          <w:numId w:val="15"/>
        </w:numPr>
      </w:pPr>
      <w:r>
        <w:t xml:space="preserve">Assign one or more roles. New records default to </w:t>
      </w:r>
      <w:r>
        <w:rPr>
          <w:b/>
        </w:rPr>
        <w:t>MEMBER</w:t>
      </w:r>
      <w:r>
        <w:t>.</w:t>
      </w:r>
    </w:p>
    <w:p>
      <w:pPr>
        <w:pStyle w:val="ListNumber"/>
        <w:numPr>
          <w:ilvl w:val="0"/>
          <w:numId w:val="15"/>
        </w:numPr>
      </w:pPr>
      <w:r>
        <w:t xml:space="preserve">Use </w:t>
      </w:r>
      <w:r>
        <w:rPr>
          <w:b/>
        </w:rPr>
        <w:t>Login enabled</w:t>
      </w:r>
      <w:r>
        <w:t xml:space="preserve"> to permit sign-in and </w:t>
      </w:r>
      <w:r>
        <w:rPr>
          <w:b/>
        </w:rPr>
        <w:t>Login locked</w:t>
      </w:r>
      <w:r>
        <w:t xml:space="preserve"> to block sign-in.</w:t>
      </w:r>
    </w:p>
    <w:p>
      <w:pPr>
        <w:pStyle w:val="ListNumber"/>
        <w:numPr>
          <w:ilvl w:val="0"/>
          <w:numId w:val="15"/>
        </w:numPr>
      </w:pPr>
      <w:r>
        <w:t xml:space="preserve">Add internal notes and select </w:t>
      </w:r>
      <w:r>
        <w:rPr>
          <w:b/>
        </w:rPr>
        <w:t>Create member</w:t>
      </w:r>
      <w:r>
        <w:t>.</w:t>
      </w:r>
    </w:p>
    <w:p>
      <w:pPr>
        <w:pStyle w:val="Heading2"/>
      </w:pPr>
      <w:r>
        <w:t>Update a member</w:t>
      </w:r>
    </w:p>
    <w:p>
      <w:pPr>
        <w:pStyle w:val="ListNumber"/>
        <w:numPr>
          <w:ilvl w:val="0"/>
          <w:numId w:val="16"/>
        </w:numPr>
      </w:pPr>
      <w:r>
        <w:t>Select the member row.</w:t>
      </w:r>
    </w:p>
    <w:p>
      <w:pPr>
        <w:pStyle w:val="ListNumber"/>
        <w:numPr>
          <w:ilvl w:val="0"/>
          <w:numId w:val="16"/>
        </w:numPr>
      </w:pPr>
      <w:r>
        <w:t>Change the required fields, roles, or account flags.</w:t>
      </w:r>
    </w:p>
    <w:p>
      <w:pPr>
        <w:pStyle w:val="ListNumber"/>
        <w:numPr>
          <w:ilvl w:val="0"/>
          <w:numId w:val="16"/>
        </w:numPr>
      </w:pPr>
      <w:r>
        <w:t xml:space="preserve">Select </w:t>
      </w:r>
      <w:r>
        <w:rPr>
          <w:b/>
        </w:rPr>
        <w:t>Save changes</w:t>
      </w:r>
      <w:r>
        <w:t>.</w:t>
      </w:r>
    </w:p>
    <w:p>
      <w:pPr>
        <w:keepNext/>
        <w:spacing w:before="100" w:after="60"/>
        <w:jc w:val="center"/>
      </w:pPr>
      <w:r>
        <w:drawing>
          <wp:inline xmlns:a="http://schemas.openxmlformats.org/drawingml/2006/main" xmlns:pic="http://schemas.openxmlformats.org/drawingml/2006/picture">
            <wp:extent cx="6172200" cy="4288055"/>
            <wp:docPr id="6" name="Picture 6" descr="Member search and registration screen"/>
            <wp:cNvGraphicFramePr>
              <a:graphicFrameLocks noChangeAspect="1"/>
            </wp:cNvGraphicFramePr>
            <a:graphic>
              <a:graphicData uri="http://schemas.openxmlformats.org/drawingml/2006/picture">
                <pic:pic>
                  <pic:nvPicPr>
                    <pic:cNvPr id="0" name="05-members.png"/>
                    <pic:cNvPicPr/>
                  </pic:nvPicPr>
                  <pic:blipFill>
                    <a:blip r:embed="rId16"/>
                    <a:stretch>
                      <a:fillRect/>
                    </a:stretch>
                  </pic:blipFill>
                  <pic:spPr>
                    <a:xfrm>
                      <a:off x="0" y="0"/>
                      <a:ext cx="6172200" cy="4288055"/>
                    </a:xfrm>
                    <a:prstGeom prst="rect"/>
                  </pic:spPr>
                </pic:pic>
              </a:graphicData>
            </a:graphic>
          </wp:inline>
        </w:drawing>
      </w:r>
    </w:p>
    <w:p>
      <w:pPr>
        <w:spacing w:after="160"/>
        <w:jc w:val="center"/>
      </w:pPr>
      <w:r>
        <w:rPr>
          <w:rFonts w:ascii="Aptos" w:hAnsi="Aptos"/>
          <w:i/>
          <w:color w:val="667085"/>
          <w:sz w:val="17"/>
        </w:rPr>
        <w:t>Member search and registration screen</w:t>
      </w:r>
    </w:p>
    <w:tbl>
      <w:tblPr>
        <w:tblW w:type="auto" w:w="0"/>
        <w:jc w:val="center"/>
        <w:tblLayout w:type="fixed"/>
        <w:tblLook w:firstColumn="1" w:firstRow="1" w:lastColumn="0" w:lastRow="0" w:noHBand="0" w:noVBand="1" w:val="04A0"/>
      </w:tblPr>
      <w:tblGrid>
        <w:gridCol w:w="10080"/>
      </w:tblGrid>
      <w:tr>
        <w:trPr>
          <w:tblHeader w:val="true"/>
        </w:trPr>
        <w:tc>
          <w:tcPr>
            <w:tcW w:type="dxa" w:w="9864"/>
            <w:shd w:fill="E8F1F5"/>
            <w:tcMar>
              <w:top w:w="130" w:type="dxa"/>
              <w:start w:w="160" w:type="dxa"/>
              <w:bottom w:w="130" w:type="dxa"/>
              <w:end w:w="160" w:type="dxa"/>
            </w:tcMar>
          </w:tcPr>
          <w:p>
            <w:pPr>
              <w:spacing w:after="0"/>
            </w:pPr>
            <w:r>
              <w:rPr>
                <w:rFonts w:ascii="Aptos" w:hAnsi="Aptos"/>
                <w:b/>
                <w:color w:val="123047"/>
                <w:sz w:val="19"/>
              </w:rPr>
              <w:t>Important:</w:t>
            </w:r>
            <w:r>
              <w:rPr>
                <w:rFonts w:ascii="Aptos" w:hAnsi="Aptos"/>
                <w:color w:val="123047"/>
                <w:sz w:val="19"/>
              </w:rPr>
              <w:t xml:space="preserve"> Membership status describes the person's relationship to the church. Login enabled and Login locked control account access; they are separate settings.</w:t>
            </w:r>
          </w:p>
        </w:tc>
      </w:tr>
    </w:tbl>
    <w:p>
      <w:pPr>
        <w:spacing w:after="20"/>
      </w:pPr>
    </w:p>
    <w:p>
      <w:pPr>
        <w:pStyle w:val="Heading1"/>
        <w:pageBreakBefore/>
      </w:pPr>
      <w:r>
        <w:t>Offering Management</w:t>
      </w:r>
    </w:p>
    <w:p>
      <w:r>
        <w:rPr>
          <w:b/>
        </w:rPr>
        <w:t>Available to:</w:t>
      </w:r>
      <w:r>
        <w:t xml:space="preserve"> Admin, Treasurer</w:t>
      </w:r>
    </w:p>
    <w:p>
      <w:pPr>
        <w:pStyle w:val="Heading2"/>
      </w:pPr>
      <w:r>
        <w:t>Review offerings</w:t>
      </w:r>
    </w:p>
    <w:p>
      <w:pPr>
        <w:pStyle w:val="ListNumber"/>
        <w:numPr>
          <w:ilvl w:val="0"/>
          <w:numId w:val="17"/>
        </w:numPr>
      </w:pPr>
      <w:r>
        <w:t xml:space="preserve">Select </w:t>
      </w:r>
      <w:r>
        <w:rPr>
          <w:b/>
        </w:rPr>
        <w:t>Offerings</w:t>
      </w:r>
      <w:r>
        <w:t>.</w:t>
      </w:r>
    </w:p>
    <w:p>
      <w:pPr>
        <w:pStyle w:val="ListNumber"/>
        <w:numPr>
          <w:ilvl w:val="0"/>
          <w:numId w:val="17"/>
        </w:numPr>
      </w:pPr>
      <w:r>
        <w:t xml:space="preserve">Filter by </w:t>
      </w:r>
      <w:r>
        <w:rPr>
          <w:b/>
        </w:rPr>
        <w:t>Fund</w:t>
      </w:r>
      <w:r>
        <w:t xml:space="preserve">, </w:t>
      </w:r>
      <w:r>
        <w:rPr>
          <w:b/>
        </w:rPr>
        <w:t>Category</w:t>
      </w:r>
      <w:r>
        <w:t>, or giving type. Category choices follow the selected Fund.</w:t>
      </w:r>
    </w:p>
    <w:p>
      <w:pPr>
        <w:pStyle w:val="ListNumber"/>
        <w:numPr>
          <w:ilvl w:val="0"/>
          <w:numId w:val="17"/>
        </w:numPr>
      </w:pPr>
      <w:r>
        <w:t xml:space="preserve">Select </w:t>
      </w:r>
      <w:r>
        <w:rPr>
          <w:b/>
        </w:rPr>
        <w:t>Refresh</w:t>
      </w:r>
      <w:r>
        <w:t>.</w:t>
      </w:r>
    </w:p>
    <w:p>
      <w:pPr>
        <w:pStyle w:val="ListNumber"/>
        <w:numPr>
          <w:ilvl w:val="0"/>
          <w:numId w:val="17"/>
        </w:numPr>
      </w:pPr>
      <w:r>
        <w:t>Review the filtered total and offering count above the table.</w:t>
      </w:r>
    </w:p>
    <w:p>
      <w:pPr>
        <w:pStyle w:val="Heading2"/>
      </w:pPr>
      <w:r>
        <w:t>Record an offering</w:t>
      </w:r>
    </w:p>
    <w:p>
      <w:pPr>
        <w:pStyle w:val="ListNumber"/>
        <w:numPr>
          <w:ilvl w:val="0"/>
          <w:numId w:val="18"/>
        </w:numPr>
      </w:pPr>
      <w:r>
        <w:t xml:space="preserve">Select </w:t>
      </w:r>
      <w:r>
        <w:rPr>
          <w:b/>
        </w:rPr>
        <w:t>Record offering</w:t>
      </w:r>
      <w:r>
        <w:t>.</w:t>
      </w:r>
    </w:p>
    <w:p>
      <w:pPr>
        <w:pStyle w:val="ListNumber"/>
        <w:numPr>
          <w:ilvl w:val="0"/>
          <w:numId w:val="18"/>
        </w:numPr>
      </w:pPr>
      <w:r>
        <w:t xml:space="preserve">Choose </w:t>
      </w:r>
      <w:r>
        <w:rPr>
          <w:b/>
        </w:rPr>
        <w:t>Member</w:t>
      </w:r>
      <w:r>
        <w:t xml:space="preserve">, </w:t>
      </w:r>
      <w:r>
        <w:rPr>
          <w:b/>
        </w:rPr>
        <w:t>Anonymous</w:t>
      </w:r>
      <w:r>
        <w:t xml:space="preserve">, or </w:t>
      </w:r>
      <w:r>
        <w:rPr>
          <w:b/>
        </w:rPr>
        <w:t>Group</w:t>
      </w:r>
      <w:r>
        <w:t xml:space="preserve"> as the giving type.</w:t>
      </w:r>
    </w:p>
    <w:p>
      <w:pPr>
        <w:pStyle w:val="ListNumber"/>
        <w:numPr>
          <w:ilvl w:val="0"/>
          <w:numId w:val="18"/>
        </w:numPr>
      </w:pPr>
      <w:r>
        <w:t>For a member offering, search for and select the member. For anonymous or group giving, enter a giver label.</w:t>
      </w:r>
    </w:p>
    <w:p>
      <w:pPr>
        <w:pStyle w:val="ListNumber"/>
        <w:numPr>
          <w:ilvl w:val="0"/>
          <w:numId w:val="18"/>
        </w:numPr>
      </w:pPr>
      <w:r>
        <w:t xml:space="preserve">Enter the </w:t>
      </w:r>
      <w:r>
        <w:rPr>
          <w:b/>
        </w:rPr>
        <w:t>Offering date</w:t>
      </w:r>
      <w:r>
        <w:t xml:space="preserve">. </w:t>
      </w:r>
      <w:r>
        <w:rPr>
          <w:b/>
        </w:rPr>
        <w:t>Offering Sunday</w:t>
      </w:r>
      <w:r>
        <w:t xml:space="preserve"> automatically moves to the coming Sunday, or remains today when the date is Sunday; edit it when necessary.</w:t>
      </w:r>
    </w:p>
    <w:p>
      <w:pPr>
        <w:pStyle w:val="ListNumber"/>
        <w:numPr>
          <w:ilvl w:val="0"/>
          <w:numId w:val="18"/>
        </w:numPr>
      </w:pPr>
      <w:r>
        <w:t xml:space="preserve">Choose the </w:t>
      </w:r>
      <w:r>
        <w:rPr>
          <w:b/>
        </w:rPr>
        <w:t>Fund</w:t>
      </w:r>
      <w:r>
        <w:t xml:space="preserve">, its </w:t>
      </w:r>
      <w:r>
        <w:rPr>
          <w:b/>
        </w:rPr>
        <w:t>Category</w:t>
      </w:r>
      <w:r>
        <w:t xml:space="preserve">, and </w:t>
      </w:r>
      <w:r>
        <w:rPr>
          <w:b/>
        </w:rPr>
        <w:t>Payment method</w:t>
      </w:r>
      <w:r>
        <w:t xml:space="preserve"> from reference data.</w:t>
      </w:r>
    </w:p>
    <w:p>
      <w:pPr>
        <w:pStyle w:val="ListNumber"/>
        <w:numPr>
          <w:ilvl w:val="0"/>
          <w:numId w:val="18"/>
        </w:numPr>
      </w:pPr>
      <w:r>
        <w:t>Enter the amount and optional memo.</w:t>
      </w:r>
    </w:p>
    <w:p>
      <w:pPr>
        <w:pStyle w:val="ListNumber"/>
        <w:numPr>
          <w:ilvl w:val="0"/>
          <w:numId w:val="18"/>
        </w:numPr>
      </w:pPr>
      <w:r>
        <w:t xml:space="preserve">Select </w:t>
      </w:r>
      <w:r>
        <w:rPr>
          <w:b/>
        </w:rPr>
        <w:t>Save offering</w:t>
      </w:r>
      <w:r>
        <w:t>.</w:t>
      </w:r>
    </w:p>
    <w:p>
      <w:r>
        <w:t>Saving an offering automatically creates the linked income transaction shown in Finance.</w:t>
      </w:r>
    </w:p>
    <w:p>
      <w:pPr>
        <w:pStyle w:val="Heading2"/>
      </w:pPr>
      <w:r>
        <w:t>Edit or delete an offering</w:t>
      </w:r>
    </w:p>
    <w:p>
      <w:pPr>
        <w:pStyle w:val="ListNumber"/>
        <w:numPr>
          <w:ilvl w:val="0"/>
          <w:numId w:val="19"/>
        </w:numPr>
      </w:pPr>
      <w:r>
        <w:t xml:space="preserve">Select an offering row to open </w:t>
      </w:r>
      <w:r>
        <w:rPr>
          <w:b/>
        </w:rPr>
        <w:t>Edit Offering</w:t>
      </w:r>
      <w:r>
        <w:t>.</w:t>
      </w:r>
    </w:p>
    <w:p>
      <w:pPr>
        <w:pStyle w:val="ListNumber"/>
        <w:numPr>
          <w:ilvl w:val="0"/>
          <w:numId w:val="19"/>
        </w:numPr>
      </w:pPr>
      <w:r>
        <w:t xml:space="preserve">Update fields and select </w:t>
      </w:r>
      <w:r>
        <w:rPr>
          <w:b/>
        </w:rPr>
        <w:t>Save changes</w:t>
      </w:r>
      <w:r>
        <w:t xml:space="preserve">, or select </w:t>
      </w:r>
      <w:r>
        <w:rPr>
          <w:b/>
        </w:rPr>
        <w:t>Cancel</w:t>
      </w:r>
      <w:r>
        <w:t xml:space="preserve"> to leave edit mode.</w:t>
      </w:r>
    </w:p>
    <w:p>
      <w:pPr>
        <w:pStyle w:val="ListNumber"/>
        <w:numPr>
          <w:ilvl w:val="0"/>
          <w:numId w:val="19"/>
        </w:numPr>
      </w:pPr>
      <w:r>
        <w:t>To delete, select the trash-bin icon on the row and confirm. Deleted offerings do not appear in finance summaries or reports.</w:t>
      </w:r>
    </w:p>
    <w:p>
      <w:pPr>
        <w:keepNext/>
        <w:spacing w:before="100" w:after="60"/>
        <w:jc w:val="center"/>
      </w:pPr>
      <w:r>
        <w:drawing>
          <wp:inline xmlns:a="http://schemas.openxmlformats.org/drawingml/2006/main" xmlns:pic="http://schemas.openxmlformats.org/drawingml/2006/picture">
            <wp:extent cx="6172200" cy="4286250"/>
            <wp:docPr id="7" name="Picture 7" descr="Offering list and entry form"/>
            <wp:cNvGraphicFramePr>
              <a:graphicFrameLocks noChangeAspect="1"/>
            </wp:cNvGraphicFramePr>
            <a:graphic>
              <a:graphicData uri="http://schemas.openxmlformats.org/drawingml/2006/picture">
                <pic:pic>
                  <pic:nvPicPr>
                    <pic:cNvPr id="0" name="06-offerings.png"/>
                    <pic:cNvPicPr/>
                  </pic:nvPicPr>
                  <pic:blipFill>
                    <a:blip r:embed="rId17"/>
                    <a:stretch>
                      <a:fillRect/>
                    </a:stretch>
                  </pic:blipFill>
                  <pic:spPr>
                    <a:xfrm>
                      <a:off x="0" y="0"/>
                      <a:ext cx="6172200" cy="4286250"/>
                    </a:xfrm>
                    <a:prstGeom prst="rect"/>
                  </pic:spPr>
                </pic:pic>
              </a:graphicData>
            </a:graphic>
          </wp:inline>
        </w:drawing>
      </w:r>
    </w:p>
    <w:p>
      <w:pPr>
        <w:spacing w:after="160"/>
        <w:jc w:val="center"/>
      </w:pPr>
      <w:r>
        <w:rPr>
          <w:rFonts w:ascii="Aptos" w:hAnsi="Aptos"/>
          <w:i/>
          <w:color w:val="667085"/>
          <w:sz w:val="17"/>
        </w:rPr>
        <w:t>Offering list and entry form</w:t>
      </w:r>
    </w:p>
    <w:p>
      <w:pPr>
        <w:pStyle w:val="Heading1"/>
        <w:pageBreakBefore/>
      </w:pPr>
      <w:r>
        <w:t>Financial Management</w:t>
      </w:r>
    </w:p>
    <w:p>
      <w:r>
        <w:rPr>
          <w:b/>
        </w:rPr>
        <w:t>Available to:</w:t>
      </w:r>
      <w:r>
        <w:t xml:space="preserve"> Admin, Treasurer</w:t>
      </w:r>
    </w:p>
    <w:p>
      <w:pPr>
        <w:pStyle w:val="Heading2"/>
      </w:pPr>
      <w:r>
        <w:t>Review financial activity</w:t>
      </w:r>
    </w:p>
    <w:p>
      <w:pPr>
        <w:pStyle w:val="ListNumber"/>
        <w:numPr>
          <w:ilvl w:val="0"/>
          <w:numId w:val="20"/>
        </w:numPr>
      </w:pPr>
      <w:r>
        <w:t xml:space="preserve">Select </w:t>
      </w:r>
      <w:r>
        <w:rPr>
          <w:b/>
        </w:rPr>
        <w:t>Finance</w:t>
      </w:r>
      <w:r>
        <w:t>.</w:t>
      </w:r>
    </w:p>
    <w:p>
      <w:pPr>
        <w:pStyle w:val="ListNumber"/>
        <w:numPr>
          <w:ilvl w:val="0"/>
          <w:numId w:val="20"/>
        </w:numPr>
      </w:pPr>
      <w:r>
        <w:t xml:space="preserve">Filter by category and by </w:t>
      </w:r>
      <w:r>
        <w:rPr>
          <w:b/>
        </w:rPr>
        <w:t>Income</w:t>
      </w:r>
      <w:r>
        <w:t xml:space="preserve">, </w:t>
      </w:r>
      <w:r>
        <w:rPr>
          <w:b/>
        </w:rPr>
        <w:t>Expense</w:t>
      </w:r>
      <w:r>
        <w:t>, or both.</w:t>
      </w:r>
    </w:p>
    <w:p>
      <w:pPr>
        <w:pStyle w:val="ListNumber"/>
        <w:numPr>
          <w:ilvl w:val="0"/>
          <w:numId w:val="20"/>
        </w:numPr>
      </w:pPr>
      <w:r>
        <w:t xml:space="preserve">Select </w:t>
      </w:r>
      <w:r>
        <w:rPr>
          <w:b/>
        </w:rPr>
        <w:t>Refresh</w:t>
      </w:r>
      <w:r>
        <w:t>.</w:t>
      </w:r>
    </w:p>
    <w:p>
      <w:pPr>
        <w:pStyle w:val="ListNumber"/>
        <w:numPr>
          <w:ilvl w:val="0"/>
          <w:numId w:val="20"/>
        </w:numPr>
      </w:pPr>
      <w:r>
        <w:t>Review net, income, and expense totals above the table.</w:t>
      </w:r>
    </w:p>
    <w:p>
      <w:r>
        <w:t>Offering income is shown as daily category summaries and is read-only in Finance. Manual expenses can be maintained here.</w:t>
      </w:r>
    </w:p>
    <w:p>
      <w:pPr>
        <w:pStyle w:val="Heading2"/>
      </w:pPr>
      <w:r>
        <w:t>Record an expense</w:t>
      </w:r>
    </w:p>
    <w:p>
      <w:pPr>
        <w:pStyle w:val="ListNumber"/>
        <w:numPr>
          <w:ilvl w:val="0"/>
          <w:numId w:val="21"/>
        </w:numPr>
      </w:pPr>
      <w:r>
        <w:t xml:space="preserve">Select </w:t>
      </w:r>
      <w:r>
        <w:rPr>
          <w:b/>
        </w:rPr>
        <w:t>Add expense</w:t>
      </w:r>
      <w:r>
        <w:t>.</w:t>
      </w:r>
    </w:p>
    <w:p>
      <w:pPr>
        <w:pStyle w:val="ListNumber"/>
        <w:numPr>
          <w:ilvl w:val="0"/>
          <w:numId w:val="21"/>
        </w:numPr>
      </w:pPr>
      <w:r>
        <w:t>Enter transaction date and amount.</w:t>
      </w:r>
    </w:p>
    <w:p>
      <w:pPr>
        <w:pStyle w:val="ListNumber"/>
        <w:numPr>
          <w:ilvl w:val="0"/>
          <w:numId w:val="21"/>
        </w:numPr>
      </w:pPr>
      <w:r>
        <w:t xml:space="preserve">Choose a category. The </w:t>
      </w:r>
      <w:r>
        <w:rPr>
          <w:b/>
        </w:rPr>
        <w:t>Sub-category</w:t>
      </w:r>
      <w:r>
        <w:t xml:space="preserve"> list is filtered by the selected category.</w:t>
      </w:r>
    </w:p>
    <w:p>
      <w:pPr>
        <w:pStyle w:val="ListNumber"/>
        <w:numPr>
          <w:ilvl w:val="0"/>
          <w:numId w:val="21"/>
        </w:numPr>
      </w:pPr>
      <w:r>
        <w:t xml:space="preserve">Set </w:t>
      </w:r>
      <w:r>
        <w:rPr>
          <w:b/>
        </w:rPr>
        <w:t>HST included</w:t>
      </w:r>
      <w:r>
        <w:t xml:space="preserve"> and </w:t>
      </w:r>
      <w:r>
        <w:rPr>
          <w:b/>
        </w:rPr>
        <w:t>Cheque cleared</w:t>
      </w:r>
      <w:r>
        <w:t xml:space="preserve"> when applicable.</w:t>
      </w:r>
    </w:p>
    <w:p>
      <w:pPr>
        <w:pStyle w:val="ListNumber"/>
        <w:numPr>
          <w:ilvl w:val="0"/>
          <w:numId w:val="21"/>
        </w:numPr>
      </w:pPr>
      <w:r>
        <w:t>Enter cheque number, payable party, approving treasurer, and memo as available.</w:t>
      </w:r>
    </w:p>
    <w:p>
      <w:pPr>
        <w:pStyle w:val="ListNumber"/>
        <w:numPr>
          <w:ilvl w:val="0"/>
          <w:numId w:val="21"/>
        </w:numPr>
      </w:pPr>
      <w:r>
        <w:t xml:space="preserve">Select </w:t>
      </w:r>
      <w:r>
        <w:rPr>
          <w:b/>
        </w:rPr>
        <w:t>Save expense</w:t>
      </w:r>
      <w:r>
        <w:t>.</w:t>
      </w:r>
    </w:p>
    <w:p>
      <w:pPr>
        <w:pStyle w:val="Heading2"/>
      </w:pPr>
      <w:r>
        <w:t>Edit or delete an expense</w:t>
      </w:r>
    </w:p>
    <w:p>
      <w:pPr>
        <w:pStyle w:val="ListNumber"/>
        <w:numPr>
          <w:ilvl w:val="0"/>
          <w:numId w:val="22"/>
        </w:numPr>
      </w:pPr>
      <w:r>
        <w:t>Select a manual expense row.</w:t>
      </w:r>
    </w:p>
    <w:p>
      <w:pPr>
        <w:pStyle w:val="ListNumber"/>
        <w:numPr>
          <w:ilvl w:val="0"/>
          <w:numId w:val="22"/>
        </w:numPr>
      </w:pPr>
      <w:r>
        <w:t xml:space="preserve">Update it and select </w:t>
      </w:r>
      <w:r>
        <w:rPr>
          <w:b/>
        </w:rPr>
        <w:t>Save changes</w:t>
      </w:r>
      <w:r>
        <w:t xml:space="preserve">, or select </w:t>
      </w:r>
      <w:r>
        <w:rPr>
          <w:b/>
        </w:rPr>
        <w:t>Cancel</w:t>
      </w:r>
      <w:r>
        <w:t>.</w:t>
      </w:r>
    </w:p>
    <w:p>
      <w:pPr>
        <w:pStyle w:val="ListNumber"/>
        <w:numPr>
          <w:ilvl w:val="0"/>
          <w:numId w:val="22"/>
        </w:numPr>
      </w:pPr>
      <w:r>
        <w:t>Use the row's trash-bin icon to delete a manual expense after confirmation.</w:t>
      </w:r>
    </w:p>
    <w:p>
      <w:pPr>
        <w:keepNext/>
        <w:spacing w:before="100" w:after="60"/>
        <w:jc w:val="center"/>
      </w:pPr>
      <w:r>
        <w:drawing>
          <wp:inline xmlns:a="http://schemas.openxmlformats.org/drawingml/2006/main" xmlns:pic="http://schemas.openxmlformats.org/drawingml/2006/picture">
            <wp:extent cx="6172200" cy="4288055"/>
            <wp:docPr id="8" name="Picture 8" descr="Financial activity and expense form"/>
            <wp:cNvGraphicFramePr>
              <a:graphicFrameLocks noChangeAspect="1"/>
            </wp:cNvGraphicFramePr>
            <a:graphic>
              <a:graphicData uri="http://schemas.openxmlformats.org/drawingml/2006/picture">
                <pic:pic>
                  <pic:nvPicPr>
                    <pic:cNvPr id="0" name="07-finance.png"/>
                    <pic:cNvPicPr/>
                  </pic:nvPicPr>
                  <pic:blipFill>
                    <a:blip r:embed="rId18"/>
                    <a:stretch>
                      <a:fillRect/>
                    </a:stretch>
                  </pic:blipFill>
                  <pic:spPr>
                    <a:xfrm>
                      <a:off x="0" y="0"/>
                      <a:ext cx="6172200" cy="4288055"/>
                    </a:xfrm>
                    <a:prstGeom prst="rect"/>
                  </pic:spPr>
                </pic:pic>
              </a:graphicData>
            </a:graphic>
          </wp:inline>
        </w:drawing>
      </w:r>
    </w:p>
    <w:p>
      <w:pPr>
        <w:spacing w:after="160"/>
        <w:jc w:val="center"/>
      </w:pPr>
      <w:r>
        <w:rPr>
          <w:rFonts w:ascii="Aptos" w:hAnsi="Aptos"/>
          <w:i/>
          <w:color w:val="667085"/>
          <w:sz w:val="17"/>
        </w:rPr>
        <w:t>Financial activity and expense form</w:t>
      </w:r>
    </w:p>
    <w:p>
      <w:pPr>
        <w:pStyle w:val="Heading1"/>
        <w:pageBreakBefore/>
      </w:pPr>
      <w:r>
        <w:t>Budget Management</w:t>
      </w:r>
    </w:p>
    <w:p>
      <w:r>
        <w:rPr>
          <w:b/>
        </w:rPr>
        <w:t>Available to:</w:t>
      </w:r>
      <w:r>
        <w:t xml:space="preserve"> Admin, Treasurer</w:t>
      </w:r>
    </w:p>
    <w:p>
      <w:r>
        <w:t>Budgets are prepared by fiscal year for offering income by fund/category and for expenses by category and sub-category.</w:t>
      </w:r>
    </w:p>
    <w:p>
      <w:pPr>
        <w:pStyle w:val="Heading2"/>
      </w:pPr>
      <w:r>
        <w:t>Review budgets</w:t>
      </w:r>
    </w:p>
    <w:p>
      <w:pPr>
        <w:pStyle w:val="ListNumber"/>
        <w:numPr>
          <w:ilvl w:val="0"/>
          <w:numId w:val="23"/>
        </w:numPr>
      </w:pPr>
      <w:r>
        <w:t xml:space="preserve">Select </w:t>
      </w:r>
      <w:r>
        <w:rPr>
          <w:b/>
        </w:rPr>
        <w:t>Budgets</w:t>
      </w:r>
      <w:r>
        <w:t>.</w:t>
      </w:r>
    </w:p>
    <w:p>
      <w:pPr>
        <w:pStyle w:val="ListNumber"/>
        <w:numPr>
          <w:ilvl w:val="0"/>
          <w:numId w:val="23"/>
        </w:numPr>
      </w:pPr>
      <w:r>
        <w:t>Enter the fiscal year and optionally choose a budget type.</w:t>
      </w:r>
    </w:p>
    <w:p>
      <w:pPr>
        <w:pStyle w:val="ListNumber"/>
        <w:numPr>
          <w:ilvl w:val="0"/>
          <w:numId w:val="23"/>
        </w:numPr>
      </w:pPr>
      <w:r>
        <w:t xml:space="preserve">Select </w:t>
      </w:r>
      <w:r>
        <w:rPr>
          <w:b/>
        </w:rPr>
        <w:t>Refresh</w:t>
      </w:r>
      <w:r>
        <w:t>.</w:t>
      </w:r>
    </w:p>
    <w:p>
      <w:pPr>
        <w:pStyle w:val="Heading2"/>
      </w:pPr>
      <w:r>
        <w:t>Add or update a budget</w:t>
      </w:r>
    </w:p>
    <w:p>
      <w:pPr>
        <w:pStyle w:val="ListNumber"/>
        <w:numPr>
          <w:ilvl w:val="0"/>
          <w:numId w:val="24"/>
        </w:numPr>
      </w:pPr>
      <w:r>
        <w:t xml:space="preserve">Select </w:t>
      </w:r>
      <w:r>
        <w:rPr>
          <w:b/>
        </w:rPr>
        <w:t>Add budget</w:t>
      </w:r>
      <w:r>
        <w:t>.</w:t>
      </w:r>
    </w:p>
    <w:p>
      <w:pPr>
        <w:pStyle w:val="ListNumber"/>
        <w:numPr>
          <w:ilvl w:val="0"/>
          <w:numId w:val="24"/>
        </w:numPr>
      </w:pPr>
      <w:r>
        <w:t xml:space="preserve">Choose </w:t>
      </w:r>
      <w:r>
        <w:rPr>
          <w:b/>
        </w:rPr>
        <w:t>Offering income</w:t>
      </w:r>
      <w:r>
        <w:t xml:space="preserve"> or </w:t>
      </w:r>
      <w:r>
        <w:rPr>
          <w:b/>
        </w:rPr>
        <w:t>Expense</w:t>
      </w:r>
      <w:r>
        <w:t>.</w:t>
      </w:r>
    </w:p>
    <w:p>
      <w:pPr>
        <w:pStyle w:val="ListNumber"/>
        <w:numPr>
          <w:ilvl w:val="0"/>
          <w:numId w:val="24"/>
        </w:numPr>
      </w:pPr>
      <w:r>
        <w:t xml:space="preserve">Enter the fiscal year and </w:t>
      </w:r>
      <w:r>
        <w:rPr>
          <w:b/>
        </w:rPr>
        <w:t>Budget</w:t>
      </w:r>
      <w:r>
        <w:t xml:space="preserve"> amount.</w:t>
      </w:r>
    </w:p>
    <w:p>
      <w:pPr>
        <w:pStyle w:val="ListNumber"/>
        <w:numPr>
          <w:ilvl w:val="0"/>
          <w:numId w:val="24"/>
        </w:numPr>
      </w:pPr>
      <w:r>
        <w:t>Choose the category and, for expenses, the applicable sub-category.</w:t>
      </w:r>
    </w:p>
    <w:p>
      <w:pPr>
        <w:pStyle w:val="ListNumber"/>
        <w:numPr>
          <w:ilvl w:val="0"/>
          <w:numId w:val="24"/>
        </w:numPr>
      </w:pPr>
      <w:r>
        <w:t xml:space="preserve">Add an optional memo and select </w:t>
      </w:r>
      <w:r>
        <w:rPr>
          <w:b/>
        </w:rPr>
        <w:t>Save budget</w:t>
      </w:r>
      <w:r>
        <w:t>.</w:t>
      </w:r>
    </w:p>
    <w:p>
      <w:pPr>
        <w:pStyle w:val="ListNumber"/>
        <w:numPr>
          <w:ilvl w:val="0"/>
          <w:numId w:val="24"/>
        </w:numPr>
      </w:pPr>
      <w:r>
        <w:t xml:space="preserve">To edit, select an existing row, update the details, and select </w:t>
      </w:r>
      <w:r>
        <w:rPr>
          <w:b/>
        </w:rPr>
        <w:t>Save changes</w:t>
      </w:r>
      <w:r>
        <w:t>.</w:t>
      </w:r>
    </w:p>
    <w:p>
      <w:pPr>
        <w:keepNext/>
        <w:spacing w:before="100" w:after="60"/>
        <w:jc w:val="center"/>
      </w:pPr>
      <w:r>
        <w:drawing>
          <wp:inline xmlns:a="http://schemas.openxmlformats.org/drawingml/2006/main" xmlns:pic="http://schemas.openxmlformats.org/drawingml/2006/picture">
            <wp:extent cx="6172200" cy="4286250"/>
            <wp:docPr id="9" name="Picture 9" descr="Fiscal-year budget list and entry form"/>
            <wp:cNvGraphicFramePr>
              <a:graphicFrameLocks noChangeAspect="1"/>
            </wp:cNvGraphicFramePr>
            <a:graphic>
              <a:graphicData uri="http://schemas.openxmlformats.org/drawingml/2006/picture">
                <pic:pic>
                  <pic:nvPicPr>
                    <pic:cNvPr id="0" name="08-budgets.png"/>
                    <pic:cNvPicPr/>
                  </pic:nvPicPr>
                  <pic:blipFill>
                    <a:blip r:embed="rId19"/>
                    <a:stretch>
                      <a:fillRect/>
                    </a:stretch>
                  </pic:blipFill>
                  <pic:spPr>
                    <a:xfrm>
                      <a:off x="0" y="0"/>
                      <a:ext cx="6172200" cy="4286250"/>
                    </a:xfrm>
                    <a:prstGeom prst="rect"/>
                  </pic:spPr>
                </pic:pic>
              </a:graphicData>
            </a:graphic>
          </wp:inline>
        </w:drawing>
      </w:r>
    </w:p>
    <w:p>
      <w:pPr>
        <w:spacing w:after="160"/>
        <w:jc w:val="center"/>
      </w:pPr>
      <w:r>
        <w:rPr>
          <w:rFonts w:ascii="Aptos" w:hAnsi="Aptos"/>
          <w:i/>
          <w:color w:val="667085"/>
          <w:sz w:val="17"/>
        </w:rPr>
        <w:t>Fiscal-year budget list and entry form</w:t>
      </w:r>
    </w:p>
    <w:p>
      <w:pPr>
        <w:pStyle w:val="Heading1"/>
        <w:pageBreakBefore/>
      </w:pPr>
      <w:r>
        <w:t>Reference Data</w:t>
      </w:r>
    </w:p>
    <w:p>
      <w:r>
        <w:rPr>
          <w:b/>
        </w:rPr>
        <w:t>Available to:</w:t>
      </w:r>
      <w:r>
        <w:t xml:space="preserve"> Admin</w:t>
      </w:r>
    </w:p>
    <w:p>
      <w:r>
        <w:t>Reference data supplies church-specific dropdown values for member, offering, finance, and budget forms.</w:t>
      </w:r>
    </w:p>
    <w:p>
      <w:r>
        <w:t>Supported types include group code, membership status, committee code, offering fund/category, payment method, financial category, and financial sub-category.</w:t>
      </w:r>
    </w:p>
    <w:p>
      <w:pPr>
        <w:pStyle w:val="Heading2"/>
      </w:pPr>
      <w:r>
        <w:t>Create or update a value</w:t>
      </w:r>
    </w:p>
    <w:p>
      <w:pPr>
        <w:pStyle w:val="ListNumber"/>
        <w:numPr>
          <w:ilvl w:val="0"/>
          <w:numId w:val="25"/>
        </w:numPr>
      </w:pPr>
      <w:r>
        <w:t xml:space="preserve">Select </w:t>
      </w:r>
      <w:r>
        <w:rPr>
          <w:b/>
        </w:rPr>
        <w:t>Reference Data</w:t>
      </w:r>
      <w:r>
        <w:t>.</w:t>
      </w:r>
    </w:p>
    <w:p>
      <w:pPr>
        <w:pStyle w:val="ListNumber"/>
        <w:numPr>
          <w:ilvl w:val="0"/>
          <w:numId w:val="25"/>
        </w:numPr>
      </w:pPr>
      <w:r>
        <w:t xml:space="preserve">Choose the reference type and select </w:t>
      </w:r>
      <w:r>
        <w:rPr>
          <w:b/>
        </w:rPr>
        <w:t>Refresh</w:t>
      </w:r>
      <w:r>
        <w:t>.</w:t>
      </w:r>
    </w:p>
    <w:p>
      <w:pPr>
        <w:pStyle w:val="ListNumber"/>
        <w:numPr>
          <w:ilvl w:val="0"/>
          <w:numId w:val="25"/>
        </w:numPr>
      </w:pPr>
      <w:r>
        <w:t xml:space="preserve">Select </w:t>
      </w:r>
      <w:r>
        <w:rPr>
          <w:b/>
        </w:rPr>
        <w:t>New value</w:t>
      </w:r>
      <w:r>
        <w:t>, enter an uppercase code, user-facing label, sort order, and active status.</w:t>
      </w:r>
    </w:p>
    <w:p>
      <w:pPr>
        <w:pStyle w:val="ListNumber"/>
        <w:numPr>
          <w:ilvl w:val="0"/>
          <w:numId w:val="25"/>
        </w:numPr>
      </w:pPr>
      <w:r>
        <w:t>For an offering category or financial sub-category, select its parent fund or category.</w:t>
      </w:r>
    </w:p>
    <w:p>
      <w:pPr>
        <w:pStyle w:val="ListNumber"/>
        <w:numPr>
          <w:ilvl w:val="0"/>
          <w:numId w:val="25"/>
        </w:numPr>
      </w:pPr>
      <w:r>
        <w:t xml:space="preserve">Select </w:t>
      </w:r>
      <w:r>
        <w:rPr>
          <w:b/>
        </w:rPr>
        <w:t>Create value</w:t>
      </w:r>
      <w:r>
        <w:t>.</w:t>
      </w:r>
    </w:p>
    <w:p>
      <w:pPr>
        <w:pStyle w:val="ListNumber"/>
        <w:numPr>
          <w:ilvl w:val="0"/>
          <w:numId w:val="25"/>
        </w:numPr>
      </w:pPr>
      <w:r>
        <w:t>To edit, select a row, update the details, and save.</w:t>
      </w:r>
    </w:p>
    <w:p>
      <w:r>
        <w:t>The code is the value's key and cannot be changed after creation. Inactive values remain stored but are omitted from normal dropdown choices. A value cannot be deleted while member, offering, finance, budget, or archive data uses it.</w:t>
      </w:r>
    </w:p>
    <w:p>
      <w:pPr>
        <w:keepNext/>
        <w:spacing w:before="100" w:after="60"/>
        <w:jc w:val="center"/>
      </w:pPr>
      <w:r>
        <w:drawing>
          <wp:inline xmlns:a="http://schemas.openxmlformats.org/drawingml/2006/main" xmlns:pic="http://schemas.openxmlformats.org/drawingml/2006/picture">
            <wp:extent cx="6172200" cy="4286250"/>
            <wp:docPr id="10" name="Picture 10" descr="Reference data maintenance"/>
            <wp:cNvGraphicFramePr>
              <a:graphicFrameLocks noChangeAspect="1"/>
            </wp:cNvGraphicFramePr>
            <a:graphic>
              <a:graphicData uri="http://schemas.openxmlformats.org/drawingml/2006/picture">
                <pic:pic>
                  <pic:nvPicPr>
                    <pic:cNvPr id="0" name="09-reference-data.png"/>
                    <pic:cNvPicPr/>
                  </pic:nvPicPr>
                  <pic:blipFill>
                    <a:blip r:embed="rId20"/>
                    <a:stretch>
                      <a:fillRect/>
                    </a:stretch>
                  </pic:blipFill>
                  <pic:spPr>
                    <a:xfrm>
                      <a:off x="0" y="0"/>
                      <a:ext cx="6172200" cy="4286250"/>
                    </a:xfrm>
                    <a:prstGeom prst="rect"/>
                  </pic:spPr>
                </pic:pic>
              </a:graphicData>
            </a:graphic>
          </wp:inline>
        </w:drawing>
      </w:r>
    </w:p>
    <w:p>
      <w:pPr>
        <w:spacing w:after="160"/>
        <w:jc w:val="center"/>
      </w:pPr>
      <w:r>
        <w:rPr>
          <w:rFonts w:ascii="Aptos" w:hAnsi="Aptos"/>
          <w:i/>
          <w:color w:val="667085"/>
          <w:sz w:val="17"/>
        </w:rPr>
        <w:t>Reference data maintenance</w:t>
      </w:r>
    </w:p>
    <w:p>
      <w:pPr>
        <w:pStyle w:val="Heading1"/>
        <w:pageBreakBefore/>
      </w:pPr>
      <w:r>
        <w:t>Reports</w:t>
      </w:r>
    </w:p>
    <w:p>
      <w:r>
        <w:rPr>
          <w:b/>
        </w:rPr>
        <w:t>Available to:</w:t>
      </w:r>
      <w:r>
        <w:t xml:space="preserve"> Admin, Treasurer, Pastor, Viewer. The Official Tax Return is available only to Treasurer.</w:t>
      </w:r>
    </w:p>
    <w:p>
      <w:pPr>
        <w:pStyle w:val="Heading2"/>
      </w:pPr>
      <w:r>
        <w:t>Weekly Offering Status</w:t>
      </w:r>
    </w:p>
    <w:p>
      <w:pPr>
        <w:pStyle w:val="ListNumber"/>
        <w:numPr>
          <w:ilvl w:val="0"/>
          <w:numId w:val="26"/>
        </w:numPr>
      </w:pPr>
      <w:r>
        <w:t xml:space="preserve">Select </w:t>
      </w:r>
      <w:r>
        <w:rPr>
          <w:b/>
        </w:rPr>
        <w:t>Reports</w:t>
      </w:r>
      <w:r>
        <w:t xml:space="preserve">, then </w:t>
      </w:r>
      <w:r>
        <w:rPr>
          <w:b/>
        </w:rPr>
        <w:t>Weekly offerings</w:t>
      </w:r>
      <w:r>
        <w:t>.</w:t>
      </w:r>
    </w:p>
    <w:p>
      <w:pPr>
        <w:pStyle w:val="ListNumber"/>
        <w:numPr>
          <w:ilvl w:val="0"/>
          <w:numId w:val="26"/>
        </w:numPr>
      </w:pPr>
      <w:r>
        <w:t>Set start and end dates. The end date is included in the report range.</w:t>
      </w:r>
    </w:p>
    <w:p>
      <w:pPr>
        <w:pStyle w:val="ListNumber"/>
        <w:numPr>
          <w:ilvl w:val="0"/>
          <w:numId w:val="26"/>
        </w:numPr>
      </w:pPr>
      <w:r>
        <w:t>Optionally filter by fund/category and payment method.</w:t>
      </w:r>
    </w:p>
    <w:p>
      <w:pPr>
        <w:pStyle w:val="ListNumber"/>
        <w:numPr>
          <w:ilvl w:val="0"/>
          <w:numId w:val="26"/>
        </w:numPr>
      </w:pPr>
      <w:r>
        <w:t xml:space="preserve">Select </w:t>
      </w:r>
      <w:r>
        <w:rPr>
          <w:b/>
        </w:rPr>
        <w:t>Run report</w:t>
      </w:r>
      <w:r>
        <w:t>.</w:t>
      </w:r>
    </w:p>
    <w:p>
      <w:pPr>
        <w:pStyle w:val="ListNumber"/>
        <w:numPr>
          <w:ilvl w:val="0"/>
          <w:numId w:val="26"/>
        </w:numPr>
      </w:pPr>
      <w:r>
        <w:t>Review labelled totals by offering Sunday, fund, category, giving type, and payment method.</w:t>
      </w:r>
    </w:p>
    <w:p>
      <w:pPr>
        <w:pStyle w:val="Heading2"/>
      </w:pPr>
      <w:r>
        <w:t>Offering Summary</w:t>
      </w:r>
    </w:p>
    <w:p>
      <w:pPr>
        <w:pStyle w:val="ListNumber"/>
        <w:numPr>
          <w:ilvl w:val="0"/>
          <w:numId w:val="27"/>
        </w:numPr>
      </w:pPr>
      <w:r>
        <w:t xml:space="preserve">Select </w:t>
      </w:r>
      <w:r>
        <w:rPr>
          <w:b/>
        </w:rPr>
        <w:t>Member offerings</w:t>
      </w:r>
      <w:r>
        <w:t>.</w:t>
      </w:r>
    </w:p>
    <w:p>
      <w:pPr>
        <w:pStyle w:val="ListNumber"/>
        <w:numPr>
          <w:ilvl w:val="0"/>
          <w:numId w:val="27"/>
        </w:numPr>
      </w:pPr>
      <w:r>
        <w:t>Set the inclusive date range.</w:t>
      </w:r>
    </w:p>
    <w:p>
      <w:pPr>
        <w:pStyle w:val="ListNumber"/>
        <w:numPr>
          <w:ilvl w:val="0"/>
          <w:numId w:val="27"/>
        </w:numPr>
      </w:pPr>
      <w:r>
        <w:t>Optionally enter an offering number and select a fund/category.</w:t>
      </w:r>
    </w:p>
    <w:p>
      <w:pPr>
        <w:pStyle w:val="ListNumber"/>
        <w:numPr>
          <w:ilvl w:val="0"/>
          <w:numId w:val="27"/>
        </w:numPr>
      </w:pPr>
      <w:r>
        <w:t xml:space="preserve">Select </w:t>
      </w:r>
      <w:r>
        <w:rPr>
          <w:b/>
        </w:rPr>
        <w:t>Run report</w:t>
      </w:r>
      <w:r>
        <w:t>. Results are ordered by offering number.</w:t>
      </w:r>
    </w:p>
    <w:p>
      <w:pPr>
        <w:pStyle w:val="Heading2"/>
      </w:pPr>
      <w:r>
        <w:t>Official Tax Return</w:t>
      </w:r>
    </w:p>
    <w:p>
      <w:r>
        <w:rPr>
          <w:b/>
        </w:rPr>
        <w:t>Available to:</w:t>
      </w:r>
      <w:r>
        <w:t xml:space="preserve"> Treasurer</w:t>
      </w:r>
    </w:p>
    <w:p>
      <w:pPr>
        <w:pStyle w:val="ListNumber"/>
        <w:numPr>
          <w:ilvl w:val="0"/>
          <w:numId w:val="28"/>
        </w:numPr>
      </w:pPr>
      <w:r>
        <w:t xml:space="preserve">Select </w:t>
      </w:r>
      <w:r>
        <w:rPr>
          <w:b/>
        </w:rPr>
        <w:t>Official tax</w:t>
      </w:r>
      <w:r>
        <w:t>.</w:t>
      </w:r>
    </w:p>
    <w:p>
      <w:pPr>
        <w:pStyle w:val="ListNumber"/>
        <w:numPr>
          <w:ilvl w:val="0"/>
          <w:numId w:val="28"/>
        </w:numPr>
      </w:pPr>
      <w:r>
        <w:t>Enter the tax year and optionally an offering number.</w:t>
      </w:r>
    </w:p>
    <w:p>
      <w:pPr>
        <w:pStyle w:val="ListNumber"/>
        <w:numPr>
          <w:ilvl w:val="0"/>
          <w:numId w:val="28"/>
        </w:numPr>
      </w:pPr>
      <w:r>
        <w:t xml:space="preserve">Select </w:t>
      </w:r>
      <w:r>
        <w:rPr>
          <w:b/>
        </w:rPr>
        <w:t>Run report</w:t>
      </w:r>
      <w:r>
        <w:t>.</w:t>
      </w:r>
    </w:p>
    <w:p>
      <w:pPr>
        <w:pStyle w:val="ListNumber"/>
        <w:numPr>
          <w:ilvl w:val="0"/>
          <w:numId w:val="28"/>
        </w:numPr>
      </w:pPr>
      <w:r>
        <w:t>Review results ordered by offering number and giving date.</w:t>
      </w:r>
    </w:p>
    <w:p>
      <w:pPr>
        <w:pStyle w:val="ListNumber"/>
        <w:numPr>
          <w:ilvl w:val="0"/>
          <w:numId w:val="28"/>
        </w:numPr>
      </w:pPr>
      <w:r>
        <w:t xml:space="preserve">Select </w:t>
      </w:r>
      <w:r>
        <w:rPr>
          <w:b/>
        </w:rPr>
        <w:t>Export CSV</w:t>
      </w:r>
      <w:r>
        <w:t xml:space="preserve"> for tax-receipt preparation.</w:t>
      </w:r>
    </w:p>
    <w:p>
      <w:pPr>
        <w:pStyle w:val="Heading2"/>
      </w:pPr>
      <w:r>
        <w:t>Financial Actual vs Budget</w:t>
      </w:r>
    </w:p>
    <w:p>
      <w:pPr>
        <w:pStyle w:val="ListNumber"/>
        <w:numPr>
          <w:ilvl w:val="0"/>
          <w:numId w:val="29"/>
        </w:numPr>
      </w:pPr>
      <w:r>
        <w:t xml:space="preserve">Select </w:t>
      </w:r>
      <w:r>
        <w:rPr>
          <w:b/>
        </w:rPr>
        <w:t>Budget performance</w:t>
      </w:r>
      <w:r>
        <w:t>.</w:t>
      </w:r>
    </w:p>
    <w:p>
      <w:pPr>
        <w:pStyle w:val="ListNumber"/>
        <w:numPr>
          <w:ilvl w:val="0"/>
          <w:numId w:val="29"/>
        </w:numPr>
      </w:pPr>
      <w:r>
        <w:t xml:space="preserve">Enter the fiscal year and select </w:t>
      </w:r>
      <w:r>
        <w:rPr>
          <w:b/>
        </w:rPr>
        <w:t>Run report</w:t>
      </w:r>
      <w:r>
        <w:t>.</w:t>
      </w:r>
    </w:p>
    <w:p>
      <w:pPr>
        <w:pStyle w:val="ListNumber"/>
        <w:numPr>
          <w:ilvl w:val="0"/>
          <w:numId w:val="29"/>
        </w:numPr>
      </w:pPr>
      <w:r>
        <w:t xml:space="preserve">Review labelled income/expense categories, budget, actual, Budget vs. Actual percentage, and variance. A zero budget shows </w:t>
      </w:r>
      <w:r>
        <w:rPr>
          <w:rFonts w:ascii="Courier New" w:hAnsi="Courier New"/>
          <w:color w:val="123047"/>
          <w:sz w:val="19"/>
        </w:rPr>
        <w:t>-</w:t>
      </w:r>
      <w:r>
        <w:t xml:space="preserve"> for the percentage.</w:t>
      </w:r>
    </w:p>
    <w:p>
      <w:pPr>
        <w:pStyle w:val="Heading2"/>
      </w:pPr>
      <w:r>
        <w:t>Quarterly Financial Report</w:t>
      </w:r>
    </w:p>
    <w:p>
      <w:pPr>
        <w:pStyle w:val="ListNumber"/>
        <w:numPr>
          <w:ilvl w:val="0"/>
          <w:numId w:val="30"/>
        </w:numPr>
      </w:pPr>
      <w:r>
        <w:t xml:space="preserve">Select </w:t>
      </w:r>
      <w:r>
        <w:rPr>
          <w:b/>
        </w:rPr>
        <w:t>Quarterly Financial Report</w:t>
      </w:r>
      <w:r>
        <w:t>.</w:t>
      </w:r>
    </w:p>
    <w:p>
      <w:pPr>
        <w:pStyle w:val="ListNumber"/>
        <w:numPr>
          <w:ilvl w:val="0"/>
          <w:numId w:val="30"/>
        </w:numPr>
      </w:pPr>
      <w:r>
        <w:t>Select the calendar year and quarter.</w:t>
      </w:r>
    </w:p>
    <w:p>
      <w:pPr>
        <w:pStyle w:val="ListNumber"/>
        <w:numPr>
          <w:ilvl w:val="0"/>
          <w:numId w:val="30"/>
        </w:numPr>
      </w:pPr>
      <w:r>
        <w:t>Select the Offering download for the quarterly offering workbook or the Expenditure download for the quarterly expense workbook.</w:t>
      </w:r>
    </w:p>
    <w:p>
      <w:pPr>
        <w:pStyle w:val="ListNumber"/>
        <w:numPr>
          <w:ilvl w:val="0"/>
          <w:numId w:val="30"/>
        </w:numPr>
      </w:pPr>
      <w:r>
        <w:t xml:space="preserve">Review the configured carry-over row in Offering and the configured </w:t>
      </w:r>
      <w:r>
        <w:rPr>
          <w:rFonts w:ascii="Courier New" w:hAnsi="Courier New"/>
          <w:color w:val="123047"/>
          <w:sz w:val="19"/>
        </w:rPr>
        <w:t>CONTINGENCY</w:t>
      </w:r>
      <w:r>
        <w:t xml:space="preserve"> Financial Category label in Expenditure.</w:t>
      </w:r>
    </w:p>
    <w:p>
      <w:r>
        <w:t xml:space="preserve">Both workbooks use Letter landscape print settings with scaling set to </w:t>
      </w:r>
      <w:r>
        <w:rPr>
          <w:b/>
        </w:rPr>
        <w:t>Adjust to 100%</w:t>
      </w:r>
      <w:r>
        <w:t>.</w:t>
      </w:r>
    </w:p>
    <w:p>
      <w:r>
        <w:t xml:space="preserve">For table reports that show </w:t>
      </w:r>
      <w:r>
        <w:rPr>
          <w:b/>
        </w:rPr>
        <w:t>Export CSV</w:t>
      </w:r>
      <w:r>
        <w:t>, select it to download the current report results.</w:t>
      </w:r>
    </w:p>
    <w:p>
      <w:pPr>
        <w:keepNext/>
        <w:spacing w:before="100" w:after="60"/>
        <w:jc w:val="center"/>
      </w:pPr>
      <w:r>
        <w:drawing>
          <wp:inline xmlns:a="http://schemas.openxmlformats.org/drawingml/2006/main" xmlns:pic="http://schemas.openxmlformats.org/drawingml/2006/picture">
            <wp:extent cx="6172200" cy="4286250"/>
            <wp:docPr id="11" name="Picture 11" descr="Quarterly Financial Report controls and Excel downloads"/>
            <wp:cNvGraphicFramePr>
              <a:graphicFrameLocks noChangeAspect="1"/>
            </wp:cNvGraphicFramePr>
            <a:graphic>
              <a:graphicData uri="http://schemas.openxmlformats.org/drawingml/2006/picture">
                <pic:pic>
                  <pic:nvPicPr>
                    <pic:cNvPr id="0" name="10-reports.png"/>
                    <pic:cNvPicPr/>
                  </pic:nvPicPr>
                  <pic:blipFill>
                    <a:blip r:embed="rId21"/>
                    <a:stretch>
                      <a:fillRect/>
                    </a:stretch>
                  </pic:blipFill>
                  <pic:spPr>
                    <a:xfrm>
                      <a:off x="0" y="0"/>
                      <a:ext cx="6172200" cy="4286250"/>
                    </a:xfrm>
                    <a:prstGeom prst="rect"/>
                  </pic:spPr>
                </pic:pic>
              </a:graphicData>
            </a:graphic>
          </wp:inline>
        </w:drawing>
      </w:r>
    </w:p>
    <w:p>
      <w:pPr>
        <w:spacing w:after="160"/>
        <w:jc w:val="center"/>
      </w:pPr>
      <w:r>
        <w:rPr>
          <w:rFonts w:ascii="Aptos" w:hAnsi="Aptos"/>
          <w:i/>
          <w:color w:val="667085"/>
          <w:sz w:val="17"/>
        </w:rPr>
        <w:t>Quarterly Financial Report controls and Excel downloads</w:t>
      </w:r>
    </w:p>
    <w:p>
      <w:pPr>
        <w:pStyle w:val="Heading1"/>
        <w:pageBreakBefore/>
      </w:pPr>
      <w:r>
        <w:t>My Profile</w:t>
      </w:r>
    </w:p>
    <w:p>
      <w:r>
        <w:rPr>
          <w:b/>
        </w:rPr>
        <w:t>Available to:</w:t>
      </w:r>
      <w:r>
        <w:t xml:space="preserve"> Admin, Member</w:t>
      </w:r>
    </w:p>
    <w:p>
      <w:pPr>
        <w:pStyle w:val="ListNumber"/>
        <w:numPr>
          <w:ilvl w:val="0"/>
          <w:numId w:val="31"/>
        </w:numPr>
      </w:pPr>
      <w:r>
        <w:t xml:space="preserve">Select </w:t>
      </w:r>
      <w:r>
        <w:rPr>
          <w:b/>
        </w:rPr>
        <w:t>My Profile</w:t>
      </w:r>
      <w:r>
        <w:t>.</w:t>
      </w:r>
    </w:p>
    <w:p>
      <w:pPr>
        <w:pStyle w:val="ListNumber"/>
        <w:numPr>
          <w:ilvl w:val="0"/>
          <w:numId w:val="31"/>
        </w:numPr>
      </w:pPr>
      <w:r>
        <w:t>Review the primary email, which is the login ID and cannot be changed here.</w:t>
      </w:r>
    </w:p>
    <w:p>
      <w:pPr>
        <w:pStyle w:val="ListNumber"/>
        <w:numPr>
          <w:ilvl w:val="0"/>
          <w:numId w:val="31"/>
        </w:numPr>
      </w:pPr>
      <w:r>
        <w:t>Update display name, nickname, secondary email, phone numbers, address, and notes.</w:t>
      </w:r>
    </w:p>
    <w:p>
      <w:pPr>
        <w:pStyle w:val="ListNumber"/>
        <w:numPr>
          <w:ilvl w:val="0"/>
          <w:numId w:val="31"/>
        </w:numPr>
      </w:pPr>
      <w:r>
        <w:t xml:space="preserve">Select </w:t>
      </w:r>
      <w:r>
        <w:rPr>
          <w:b/>
        </w:rPr>
        <w:t>Save profile</w:t>
      </w:r>
      <w:r>
        <w:t>.</w:t>
      </w:r>
    </w:p>
    <w:p>
      <w:pPr>
        <w:keepNext/>
        <w:spacing w:before="100" w:after="60"/>
        <w:jc w:val="center"/>
      </w:pPr>
      <w:r>
        <w:drawing>
          <wp:inline xmlns:a="http://schemas.openxmlformats.org/drawingml/2006/main" xmlns:pic="http://schemas.openxmlformats.org/drawingml/2006/picture">
            <wp:extent cx="6172200" cy="4286250"/>
            <wp:docPr id="12" name="Picture 12" descr="Personal profile maintenance"/>
            <wp:cNvGraphicFramePr>
              <a:graphicFrameLocks noChangeAspect="1"/>
            </wp:cNvGraphicFramePr>
            <a:graphic>
              <a:graphicData uri="http://schemas.openxmlformats.org/drawingml/2006/picture">
                <pic:pic>
                  <pic:nvPicPr>
                    <pic:cNvPr id="0" name="11-profile.png"/>
                    <pic:cNvPicPr/>
                  </pic:nvPicPr>
                  <pic:blipFill>
                    <a:blip r:embed="rId22"/>
                    <a:stretch>
                      <a:fillRect/>
                    </a:stretch>
                  </pic:blipFill>
                  <pic:spPr>
                    <a:xfrm>
                      <a:off x="0" y="0"/>
                      <a:ext cx="6172200" cy="4286250"/>
                    </a:xfrm>
                    <a:prstGeom prst="rect"/>
                  </pic:spPr>
                </pic:pic>
              </a:graphicData>
            </a:graphic>
          </wp:inline>
        </w:drawing>
      </w:r>
    </w:p>
    <w:p>
      <w:pPr>
        <w:spacing w:after="160"/>
        <w:jc w:val="center"/>
      </w:pPr>
      <w:r>
        <w:rPr>
          <w:rFonts w:ascii="Aptos" w:hAnsi="Aptos"/>
          <w:i/>
          <w:color w:val="667085"/>
          <w:sz w:val="17"/>
        </w:rPr>
        <w:t>Personal profile maintenance</w:t>
      </w:r>
    </w:p>
    <w:p>
      <w:pPr>
        <w:pStyle w:val="Heading1"/>
        <w:pageBreakBefore/>
      </w:pPr>
      <w:r>
        <w:t>System Administration</w:t>
      </w:r>
    </w:p>
    <w:p>
      <w:r>
        <w:rPr>
          <w:b/>
        </w:rPr>
        <w:t>Available to:</w:t>
      </w:r>
      <w:r>
        <w:t xml:space="preserve"> Admin</w:t>
      </w:r>
    </w:p>
    <w:p>
      <w:r>
        <w:t>System Administration contains the Full Backup, Full Restore, Fiscal Archive, Church Settings, and Email Settings workflows. These functions affect the whole church database or application-wide configuration and should be used only from an authorized church device.</w:t>
      </w:r>
    </w:p>
    <w:p>
      <w:pPr>
        <w:pStyle w:val="Heading2"/>
      </w:pPr>
      <w:r>
        <w:t>Church Settings</w:t>
      </w:r>
    </w:p>
    <w:p>
      <w:r>
        <w:t>Administrators can change the church identity and branding without editing server files or restarting the application.</w:t>
      </w:r>
    </w:p>
    <w:p>
      <w:pPr>
        <w:pStyle w:val="ListNumber"/>
        <w:numPr>
          <w:ilvl w:val="0"/>
          <w:numId w:val="32"/>
        </w:numPr>
      </w:pPr>
      <w:r>
        <w:t xml:space="preserve">Select </w:t>
      </w:r>
      <w:r>
        <w:rPr>
          <w:b/>
        </w:rPr>
        <w:t>System Administration</w:t>
      </w:r>
      <w:r>
        <w:t xml:space="preserve">, then </w:t>
      </w:r>
      <w:r>
        <w:rPr>
          <w:b/>
        </w:rPr>
        <w:t>Church Settings</w:t>
      </w:r>
      <w:r>
        <w:t>.</w:t>
      </w:r>
    </w:p>
    <w:p>
      <w:pPr>
        <w:pStyle w:val="ListNumber"/>
        <w:numPr>
          <w:ilvl w:val="0"/>
          <w:numId w:val="32"/>
        </w:numPr>
      </w:pPr>
      <w:r>
        <w:t>Enter the church name and address. These two fields are required.</w:t>
      </w:r>
    </w:p>
    <w:p>
      <w:pPr>
        <w:pStyle w:val="ListNumber"/>
        <w:numPr>
          <w:ilvl w:val="0"/>
          <w:numId w:val="32"/>
        </w:numPr>
      </w:pPr>
      <w:r>
        <w:t>Enter the contact information, treasurer name, charity registration number, receipt issue location, and church website as applicable.</w:t>
      </w:r>
    </w:p>
    <w:p>
      <w:pPr>
        <w:pStyle w:val="ListNumber"/>
        <w:numPr>
          <w:ilvl w:val="0"/>
          <w:numId w:val="32"/>
        </w:numPr>
      </w:pPr>
      <w:r>
        <w:t xml:space="preserve">Under </w:t>
      </w:r>
      <w:r>
        <w:rPr>
          <w:b/>
        </w:rPr>
        <w:t>Operational Settings</w:t>
      </w:r>
      <w:r>
        <w:t>, select the church time zone and the month when the fiscal year starts.</w:t>
      </w:r>
    </w:p>
    <w:p>
      <w:pPr>
        <w:pStyle w:val="ListNumber"/>
        <w:numPr>
          <w:ilvl w:val="0"/>
          <w:numId w:val="32"/>
        </w:numPr>
      </w:pPr>
      <w:r>
        <w:t xml:space="preserve">Set </w:t>
      </w:r>
      <w:r>
        <w:rPr>
          <w:b/>
        </w:rPr>
        <w:t>List page size</w:t>
      </w:r>
      <w:r>
        <w:t xml:space="preserve"> from 5 through 100 and select how long a prepared data operation remains available.</w:t>
      </w:r>
    </w:p>
    <w:p>
      <w:pPr>
        <w:pStyle w:val="ListNumber"/>
        <w:numPr>
          <w:ilvl w:val="0"/>
          <w:numId w:val="32"/>
        </w:numPr>
      </w:pPr>
      <w:r>
        <w:t>To replace the church logo or dashboard banner, select a PNG or JPEG image no larger than 5 MB. The preview shows the current image until a replacement is selected.</w:t>
      </w:r>
    </w:p>
    <w:p>
      <w:pPr>
        <w:pStyle w:val="ListNumber"/>
        <w:numPr>
          <w:ilvl w:val="0"/>
          <w:numId w:val="32"/>
        </w:numPr>
      </w:pPr>
      <w:r>
        <w:t xml:space="preserve">Select </w:t>
      </w:r>
      <w:r>
        <w:rPr>
          <w:b/>
        </w:rPr>
        <w:t>Save church settings</w:t>
      </w:r>
      <w:r>
        <w:t>.</w:t>
      </w:r>
    </w:p>
    <w:p>
      <w:pPr>
        <w:keepNext/>
        <w:spacing w:before="100" w:after="60"/>
        <w:jc w:val="center"/>
      </w:pPr>
      <w:r>
        <w:drawing>
          <wp:inline xmlns:a="http://schemas.openxmlformats.org/drawingml/2006/main" xmlns:pic="http://schemas.openxmlformats.org/drawingml/2006/picture">
            <wp:extent cx="6172200" cy="4288055"/>
            <wp:docPr id="13" name="Picture 13" descr="Church information, operational settings, and branding"/>
            <wp:cNvGraphicFramePr>
              <a:graphicFrameLocks noChangeAspect="1"/>
            </wp:cNvGraphicFramePr>
            <a:graphic>
              <a:graphicData uri="http://schemas.openxmlformats.org/drawingml/2006/picture">
                <pic:pic>
                  <pic:nvPicPr>
                    <pic:cNvPr id="0" name="13-church-settings.png"/>
                    <pic:cNvPicPr/>
                  </pic:nvPicPr>
                  <pic:blipFill>
                    <a:blip r:embed="rId23"/>
                    <a:stretch>
                      <a:fillRect/>
                    </a:stretch>
                  </pic:blipFill>
                  <pic:spPr>
                    <a:xfrm>
                      <a:off x="0" y="0"/>
                      <a:ext cx="6172200" cy="4288055"/>
                    </a:xfrm>
                    <a:prstGeom prst="rect"/>
                  </pic:spPr>
                </pic:pic>
              </a:graphicData>
            </a:graphic>
          </wp:inline>
        </w:drawing>
      </w:r>
    </w:p>
    <w:p>
      <w:pPr>
        <w:spacing w:after="160"/>
        <w:jc w:val="center"/>
      </w:pPr>
      <w:r>
        <w:rPr>
          <w:rFonts w:ascii="Aptos" w:hAnsi="Aptos"/>
          <w:i/>
          <w:color w:val="667085"/>
          <w:sz w:val="17"/>
        </w:rPr>
        <w:t>Church information, operational settings, and branding</w:t>
      </w:r>
    </w:p>
    <w:p>
      <w:r>
        <w:t>Saved changes appear immediately without signing in again or restarting the server. The church name and logo update in the left menu, and the banner and contact information update on the dashboard. Open lists return to page 1 and use the new page size. Dashboard totals, live reports, archive periods, and year-end closing eligibility use the selected time zone and fiscal-year start month.</w:t>
      </w:r>
    </w:p>
    <w:p>
      <w:r>
        <w:t>New official tax receipt PDFs and quarterly and yearly financial workbooks use the saved church information and logo. Previously downloaded files, issued tax receipts, closed year-end report snapshots, and existing fiscal archives remain unchanged. A restore operation that was already prepared keeps its original expiry time; the new duration applies to the next prepared operation.</w:t>
      </w:r>
    </w:p>
    <w:p>
      <w:r>
        <w:t xml:space="preserve">Uploaded branding and church settings are stored in the database and included in a full backup. The application version appears below </w:t>
      </w:r>
      <w:r>
        <w:rPr>
          <w:b/>
        </w:rPr>
        <w:t>Church Operations</w:t>
      </w:r>
      <w:r>
        <w:t xml:space="preserve"> in the left menu and is supplied by the deployed application build; it cannot be edited on this page.</w:t>
      </w:r>
    </w:p>
    <w:p>
      <w:pPr>
        <w:pStyle w:val="Heading2"/>
      </w:pPr>
      <w:r>
        <w:t>Reset church settings</w:t>
      </w:r>
    </w:p>
    <w:p>
      <w:pPr>
        <w:pStyle w:val="ListNumber"/>
        <w:numPr>
          <w:ilvl w:val="0"/>
          <w:numId w:val="33"/>
        </w:numPr>
      </w:pPr>
      <w:r>
        <w:t xml:space="preserve">Select </w:t>
      </w:r>
      <w:r>
        <w:rPr>
          <w:b/>
        </w:rPr>
        <w:t>Reset church settings</w:t>
      </w:r>
      <w:r>
        <w:t>.</w:t>
      </w:r>
    </w:p>
    <w:p>
      <w:pPr>
        <w:pStyle w:val="ListNumber"/>
        <w:numPr>
          <w:ilvl w:val="0"/>
          <w:numId w:val="33"/>
        </w:numPr>
      </w:pPr>
      <w:r>
        <w:t xml:space="preserve">Review the warning and select </w:t>
      </w:r>
      <w:r>
        <w:rPr>
          <w:b/>
        </w:rPr>
        <w:t>Confirm reset church settings</w:t>
      </w:r>
      <w:r>
        <w:t>.</w:t>
      </w:r>
    </w:p>
    <w:p>
      <w:pPr>
        <w:pStyle w:val="ListNumber"/>
        <w:numPr>
          <w:ilvl w:val="0"/>
          <w:numId w:val="33"/>
        </w:numPr>
      </w:pPr>
      <w:r>
        <w:t>The database settings and uploaded branding are removed. The application immediately returns to the church information, operational values, and bundled images configured by the server.</w:t>
      </w:r>
    </w:p>
    <w:p>
      <w:pPr>
        <w:pStyle w:val="Heading2"/>
      </w:pPr>
      <w:r>
        <w:t>Email Settings</w:t>
      </w:r>
    </w:p>
    <w:p>
      <w:r>
        <w:t>Administrators can change the SMTP host, port, username, password, and sender address without restarting the application.</w:t>
      </w:r>
    </w:p>
    <w:p>
      <w:pPr>
        <w:pStyle w:val="ListNumber"/>
        <w:numPr>
          <w:ilvl w:val="0"/>
          <w:numId w:val="34"/>
        </w:numPr>
      </w:pPr>
      <w:r>
        <w:t xml:space="preserve">Select </w:t>
      </w:r>
      <w:r>
        <w:rPr>
          <w:b/>
        </w:rPr>
        <w:t>System Administration</w:t>
      </w:r>
      <w:r>
        <w:t xml:space="preserve">, then </w:t>
      </w:r>
      <w:r>
        <w:rPr>
          <w:b/>
        </w:rPr>
        <w:t>Email Settings</w:t>
      </w:r>
      <w:r>
        <w:t>.</w:t>
      </w:r>
    </w:p>
    <w:p>
      <w:pPr>
        <w:pStyle w:val="ListNumber"/>
        <w:numPr>
          <w:ilvl w:val="0"/>
          <w:numId w:val="34"/>
        </w:numPr>
      </w:pPr>
      <w:r>
        <w:t xml:space="preserve">Enter the SMTP host, port, username, and </w:t>
      </w:r>
      <w:r>
        <w:rPr>
          <w:b/>
        </w:rPr>
        <w:t>From address</w:t>
      </w:r>
      <w:r>
        <w:t xml:space="preserve"> supplied by the email provider.</w:t>
      </w:r>
    </w:p>
    <w:p>
      <w:pPr>
        <w:pStyle w:val="ListNumber"/>
        <w:numPr>
          <w:ilvl w:val="0"/>
          <w:numId w:val="34"/>
        </w:numPr>
      </w:pPr>
      <w:r>
        <w:t xml:space="preserve">Enter </w:t>
      </w:r>
      <w:r>
        <w:rPr>
          <w:b/>
        </w:rPr>
        <w:t>SMTP password</w:t>
      </w:r>
      <w:r>
        <w:t xml:space="preserve"> when setting or replacing the provider password. Leave it blank to keep the currently configured password.</w:t>
      </w:r>
    </w:p>
    <w:p>
      <w:pPr>
        <w:pStyle w:val="ListNumber"/>
        <w:numPr>
          <w:ilvl w:val="0"/>
          <w:numId w:val="34"/>
        </w:numPr>
      </w:pPr>
      <w:r>
        <w:t xml:space="preserve">Enter an accessible address in </w:t>
      </w:r>
      <w:r>
        <w:rPr>
          <w:b/>
        </w:rPr>
        <w:t>Test recipient</w:t>
      </w:r>
      <w:r>
        <w:t xml:space="preserve"> and select </w:t>
      </w:r>
      <w:r>
        <w:rPr>
          <w:b/>
        </w:rPr>
        <w:t>Send test email</w:t>
      </w:r>
      <w:r>
        <w:t>.</w:t>
      </w:r>
    </w:p>
    <w:p>
      <w:pPr>
        <w:pStyle w:val="ListNumber"/>
        <w:numPr>
          <w:ilvl w:val="0"/>
          <w:numId w:val="34"/>
        </w:numPr>
      </w:pPr>
      <w:r>
        <w:t xml:space="preserve">Confirm that the message arrives. </w:t>
      </w:r>
      <w:r>
        <w:rPr>
          <w:b/>
        </w:rPr>
        <w:t>Save settings</w:t>
      </w:r>
      <w:r>
        <w:t xml:space="preserve"> becomes available only after the exact values on screen pass the test.</w:t>
      </w:r>
    </w:p>
    <w:p>
      <w:pPr>
        <w:pStyle w:val="ListNumber"/>
        <w:numPr>
          <w:ilvl w:val="0"/>
          <w:numId w:val="34"/>
        </w:numPr>
      </w:pPr>
      <w:r>
        <w:t xml:space="preserve">Select </w:t>
      </w:r>
      <w:r>
        <w:rPr>
          <w:b/>
        </w:rPr>
        <w:t>Save settings</w:t>
      </w:r>
      <w:r>
        <w:t>. Password-reset messages use the saved configuration immediately.</w:t>
      </w:r>
    </w:p>
    <w:p>
      <w:r>
        <w:t xml:space="preserve">The status identifies whether the active values come from </w:t>
      </w:r>
      <w:r>
        <w:rPr>
          <w:b/>
        </w:rPr>
        <w:t>Database settings</w:t>
      </w:r>
      <w:r>
        <w:t xml:space="preserve"> or </w:t>
      </w:r>
      <w:r>
        <w:rPr>
          <w:b/>
        </w:rPr>
        <w:t>Server defaults</w:t>
      </w:r>
      <w:r>
        <w:t xml:space="preserve"> and whether a password is configured. It never displays the password. Select the information icon for the administration guide.</w:t>
      </w:r>
    </w:p>
    <w:p>
      <w:pPr>
        <w:pStyle w:val="Heading2"/>
      </w:pPr>
      <w:r>
        <w:t>Reset email settings</w:t>
      </w:r>
    </w:p>
    <w:p>
      <w:pPr>
        <w:pStyle w:val="ListNumber"/>
        <w:numPr>
          <w:ilvl w:val="0"/>
          <w:numId w:val="35"/>
        </w:numPr>
      </w:pPr>
      <w:r>
        <w:t xml:space="preserve">Enter a valid </w:t>
      </w:r>
      <w:r>
        <w:rPr>
          <w:b/>
        </w:rPr>
        <w:t>Test recipient</w:t>
      </w:r>
      <w:r>
        <w:t>.</w:t>
      </w:r>
    </w:p>
    <w:p>
      <w:pPr>
        <w:pStyle w:val="ListNumber"/>
        <w:numPr>
          <w:ilvl w:val="0"/>
          <w:numId w:val="35"/>
        </w:numPr>
      </w:pPr>
      <w:r>
        <w:t xml:space="preserve">Select </w:t>
      </w:r>
      <w:r>
        <w:rPr>
          <w:b/>
        </w:rPr>
        <w:t>Reset to server defaults</w:t>
      </w:r>
      <w:r>
        <w:t xml:space="preserve"> and confirm.</w:t>
      </w:r>
    </w:p>
    <w:p>
      <w:pPr>
        <w:pStyle w:val="ListNumber"/>
        <w:numPr>
          <w:ilvl w:val="0"/>
          <w:numId w:val="35"/>
        </w:numPr>
      </w:pPr>
      <w:r>
        <w:t xml:space="preserve">The application tests the values from </w:t>
      </w:r>
      <w:r>
        <w:rPr>
          <w:rFonts w:ascii="Courier New" w:hAnsi="Courier New"/>
          <w:color w:val="123047"/>
          <w:sz w:val="19"/>
        </w:rPr>
        <w:t>.env</w:t>
      </w:r>
      <w:r>
        <w:t xml:space="preserve"> first. The database override is removed only when that test succeeds.</w:t>
      </w:r>
    </w:p>
    <w:p>
      <w:pPr>
        <w:pStyle w:val="Heading2"/>
      </w:pPr>
      <w:r>
        <w:t>Server administrator responsibilities</w:t>
      </w:r>
    </w:p>
    <w:p>
      <w:pPr>
        <w:pStyle w:val="ListBullet"/>
      </w:pPr>
      <w:r>
        <w:rPr>
          <w:rFonts w:ascii="Courier New" w:hAnsi="Courier New"/>
          <w:color w:val="123047"/>
          <w:sz w:val="19"/>
        </w:rPr>
        <w:t>MAIL_SMTP_AUTH</w:t>
      </w:r>
      <w:r>
        <w:t xml:space="preserve">, </w:t>
      </w:r>
      <w:r>
        <w:rPr>
          <w:rFonts w:ascii="Courier New" w:hAnsi="Courier New"/>
          <w:color w:val="123047"/>
          <w:sz w:val="19"/>
        </w:rPr>
        <w:t>MAIL_SMTP_STARTTLS</w:t>
      </w:r>
      <w:r>
        <w:t xml:space="preserve">, and </w:t>
      </w:r>
      <w:r>
        <w:rPr>
          <w:rFonts w:ascii="Courier New" w:hAnsi="Courier New"/>
          <w:color w:val="123047"/>
          <w:sz w:val="19"/>
        </w:rPr>
        <w:t>PASSWORD_RESET_FRONTEND_BASE_URL</w:t>
      </w:r>
      <w:r>
        <w:t xml:space="preserve"> remain in </w:t>
      </w:r>
      <w:r>
        <w:rPr>
          <w:rFonts w:ascii="Courier New" w:hAnsi="Courier New"/>
          <w:color w:val="123047"/>
          <w:sz w:val="19"/>
        </w:rPr>
        <w:t>.env</w:t>
      </w:r>
      <w:r>
        <w:t xml:space="preserve"> and require a backend restart when changed.</w:t>
      </w:r>
    </w:p>
    <w:p>
      <w:pPr>
        <w:pStyle w:val="ListBullet"/>
      </w:pPr>
      <w:r>
        <w:t xml:space="preserve">Generate </w:t>
      </w:r>
      <w:r>
        <w:rPr>
          <w:rFonts w:ascii="Courier New" w:hAnsi="Courier New"/>
          <w:color w:val="123047"/>
          <w:sz w:val="19"/>
        </w:rPr>
        <w:t>CHURCH_SETTINGS_ENCRYPTION_KEY</w:t>
      </w:r>
      <w:r>
        <w:t xml:space="preserve"> once as a Base64-encoded 32-byte key, keep it secret, and do not change or lose it.</w:t>
      </w:r>
    </w:p>
    <w:p>
      <w:pPr>
        <w:pStyle w:val="ListBullet"/>
      </w:pPr>
      <w:r>
        <w:t>The SMTP password is encrypted in MongoDB. A full backup includes that encrypted value but never includes the encryption key.</w:t>
      </w:r>
    </w:p>
    <w:p>
      <w:pPr>
        <w:pStyle w:val="ListBullet"/>
      </w:pPr>
      <w:r>
        <w:t xml:space="preserve">A server that restores the backup must use the same </w:t>
      </w:r>
      <w:r>
        <w:rPr>
          <w:rFonts w:ascii="Courier New" w:hAnsi="Courier New"/>
          <w:color w:val="123047"/>
          <w:sz w:val="19"/>
        </w:rPr>
        <w:t>CHURCH_SETTINGS_ENCRYPTION_KEY</w:t>
      </w:r>
      <w:r>
        <w:t>, or the restored SMTP password cannot be decrypted.</w:t>
      </w:r>
    </w:p>
    <w:p>
      <w:pPr>
        <w:pStyle w:val="ListBullet"/>
      </w:pPr>
      <w:r>
        <w:t xml:space="preserve">Keep the </w:t>
      </w:r>
      <w:r>
        <w:rPr>
          <w:rFonts w:ascii="Courier New" w:hAnsi="Courier New"/>
          <w:color w:val="123047"/>
          <w:sz w:val="19"/>
        </w:rPr>
        <w:t>.env</w:t>
      </w:r>
      <w:r>
        <w:t xml:space="preserve"> file and encryption key in a secure church-controlled password manager or secret store, separate from database backup files.</w:t>
      </w:r>
    </w:p>
    <w:p>
      <w:pPr>
        <w:pStyle w:val="Heading1"/>
        <w:pageBreakBefore/>
      </w:pPr>
      <w:r>
        <w:t>Logout</w:t>
      </w:r>
    </w:p>
    <w:p>
      <w:r>
        <w:rPr>
          <w:b/>
        </w:rPr>
        <w:t>Available to:</w:t>
      </w:r>
      <w:r>
        <w:t xml:space="preserve"> All signed-in users</w:t>
      </w:r>
    </w:p>
    <w:p>
      <w:pPr>
        <w:pStyle w:val="ListNumber"/>
        <w:numPr>
          <w:ilvl w:val="0"/>
          <w:numId w:val="36"/>
        </w:numPr>
      </w:pPr>
      <w:r>
        <w:t xml:space="preserve">Select </w:t>
      </w:r>
      <w:r>
        <w:rPr>
          <w:b/>
        </w:rPr>
        <w:t>Logout</w:t>
      </w:r>
      <w:r>
        <w:t xml:space="preserve"> at the bottom of the left menu.</w:t>
      </w:r>
    </w:p>
    <w:p>
      <w:pPr>
        <w:pStyle w:val="ListNumber"/>
        <w:numPr>
          <w:ilvl w:val="0"/>
          <w:numId w:val="36"/>
        </w:numPr>
      </w:pPr>
      <w:r>
        <w:t>The current session is invalidated and the sign-in page opens.</w:t>
      </w:r>
    </w:p>
    <w:p>
      <w:pPr>
        <w:pStyle w:val="ListNumber"/>
        <w:numPr>
          <w:ilvl w:val="0"/>
          <w:numId w:val="36"/>
        </w:numPr>
      </w:pPr>
      <w:r>
        <w:t>Sign in again to begin a new session.</w:t>
      </w:r>
    </w:p>
    <w:p>
      <w:r>
        <w:t>Do not leave Church Operations open on a shared or unattended computer.</w:t>
      </w:r>
    </w:p>
    <w:p>
      <w:pPr>
        <w:pStyle w:val="Heading1"/>
        <w:pageBreakBefore/>
      </w:pPr>
      <w:r>
        <w:t>Troubleshooting and Security Notes</w:t>
      </w:r>
    </w:p>
    <w:p>
      <w:pPr>
        <w:pStyle w:val="ListBullet"/>
      </w:pPr>
      <w:r>
        <w:rPr>
          <w:b/>
        </w:rPr>
        <w:t>Invalid username or password:</w:t>
      </w:r>
      <w:r>
        <w:t xml:space="preserve"> Verify the primary email and password. Ask an administrator to confirm that Login enabled is selected and Login locked is cleared.</w:t>
      </w:r>
    </w:p>
    <w:p>
      <w:pPr>
        <w:pStyle w:val="ListBullet"/>
      </w:pPr>
      <w:r>
        <w:rPr>
          <w:b/>
        </w:rPr>
        <w:t>Reset email not received:</w:t>
      </w:r>
      <w:r>
        <w:t xml:space="preserve"> Confirm the primary email in the member record, check spam or junk folders, and request a new link. Only the newest link is valid.</w:t>
      </w:r>
    </w:p>
    <w:p>
      <w:pPr>
        <w:pStyle w:val="ListBullet"/>
      </w:pPr>
      <w:r>
        <w:rPr>
          <w:b/>
        </w:rPr>
        <w:t>Reset link invalid or expired:</w:t>
      </w:r>
      <w:r>
        <w:t xml:space="preserve"> Request a new link. Links expire after 30 minutes and can be used once.</w:t>
      </w:r>
    </w:p>
    <w:p>
      <w:pPr>
        <w:pStyle w:val="ListBullet"/>
      </w:pPr>
      <w:r>
        <w:rPr>
          <w:b/>
        </w:rPr>
        <w:t>Menu item missing:</w:t>
      </w:r>
      <w:r>
        <w:t xml:space="preserve"> Access is role-based. Ask an administrator or Membership user to confirm assigned roles.</w:t>
      </w:r>
    </w:p>
    <w:p>
      <w:pPr>
        <w:pStyle w:val="ListBullet"/>
      </w:pPr>
      <w:r>
        <w:rPr>
          <w:b/>
        </w:rPr>
        <w:t>Dropdown value missing:</w:t>
      </w:r>
      <w:r>
        <w:t xml:space="preserve"> Confirm the reference value is active and, for sub-categories, assigned to the correct parent category.</w:t>
      </w:r>
    </w:p>
    <w:p>
      <w:pPr>
        <w:pStyle w:val="ListBullet"/>
      </w:pPr>
      <w:r>
        <w:rPr>
          <w:b/>
        </w:rPr>
        <w:t>Report has no rows:</w:t>
      </w:r>
      <w:r>
        <w:t xml:space="preserve"> Check the inclusive date range, offering number, fiscal year, fund/category, and payment method filters.</w:t>
      </w:r>
    </w:p>
    <w:p>
      <w:pPr>
        <w:pStyle w:val="ListBullet"/>
      </w:pPr>
      <w:r>
        <w:rPr>
          <w:b/>
        </w:rPr>
        <w:t>Session ended:</w:t>
      </w:r>
      <w:r>
        <w:t xml:space="preserve"> Sign in again. Password reset and Logout invalidate existing sessions intentionally.</w:t>
      </w:r>
    </w:p>
    <w:p>
      <w:r>
        <w:t>For financial and tax information, use only authorized church devices and follow the church's privacy and record-retention policies.</w:t>
      </w:r>
    </w:p>
    <w:sectPr w:rsidR="00FC693F" w:rsidRPr="0006063C" w:rsidSect="00034616">
      <w:headerReference w:type="default" r:id="rId9"/>
      <w:footerReference w:type="default" r:id="rId10"/>
      <w:pgSz w:w="12240" w:h="15840"/>
      <w:pgMar w:top="1080" w:right="1080" w:bottom="1008"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Capstone Presbyterian Church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67085"/>
        <w:sz w:val="17"/>
      </w:rPr>
      <w:t>CHURCH OPERATIONS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028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E5F8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87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Operations User Guide</dc:title>
  <dc:subject>Role-aware user manual for Church Operations</dc:subject>
  <dc:creator>python-docx</dc:creator>
  <cp:keywords>church operations, members, offerings, finance, budgets, reports</cp:keywords>
  <dc:description>generated by python-docx</dc:description>
  <cp:lastModifiedBy/>
  <cp:revision>1</cp:revision>
  <dcterms:created xsi:type="dcterms:W3CDTF">2013-12-23T23:15:00Z</dcterms:created>
  <dcterms:modified xsi:type="dcterms:W3CDTF">2013-12-23T23:15:00Z</dcterms:modified>
  <cp:category/>
</cp:coreProperties>
</file>