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1965960" cy="667128"/>
            <wp:docPr id="1" name="Picture 1" descr="Capstone Presbyterian Church 로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AppleGothic" w:hAnsi="AppleGothic" w:eastAsia="AppleGothic"/>
          <w:b/>
          <w:color w:val="2E5F85"/>
          <w:sz w:val="36"/>
        </w:rPr>
        <w:t>사용자 안내서</w:t>
      </w:r>
    </w:p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6035040" cy="1482507"/>
            <wp:docPr id="2" name="Picture 2" descr="교회 배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bann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82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pleGothic" w:hAnsi="AppleGothic" w:eastAsia="Apple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AppleGothic" w:hAnsi="AppleGothic" w:eastAsia="Apple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AppleGothic" w:hAnsi="AppleGothic" w:eastAsia="Apple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헌금, 재정, 예산,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교인 기록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3" name="Picture 3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4" name="Picture 4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2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>계정의 기본 이메일을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2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5" name="Picture 5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6" name="Picture 6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보안 안내: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Fiscal Snapshot</w:t>
      </w:r>
      <w:r>
        <w:t>은 활성 교인 및 이번 달 신규 교인 수, 연간 헌금과 지출의 예산 대비 현황, 미결제 수표 합계를 표시합니다.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Offering Trend</w:t>
      </w:r>
      <w:r>
        <w:t>는 헌금 기록이 없는 주일을 포함하여 최근 12번의 헌금 주일 추이를 표시합니다.</w:t>
      </w:r>
    </w:p>
    <w:p>
      <w:r>
        <w:t>왼쪽 메뉴에서 권한이 있는 기능을 엽니다. 배너 영역에는 교회 이름, 연락처, 재정 담당자, 현재 사용자 이니셜 및 부여된 모든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7" name="Picture 7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대시보드 개요</w:t>
      </w:r>
    </w:p>
    <w:p>
      <w:r>
        <w:br w:type="page"/>
      </w:r>
    </w:p>
    <w:p>
      <w:pPr>
        <w:pStyle w:val="Heading1"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3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3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4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4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Committees</w:t>
      </w:r>
      <w:r>
        <w:t>를 열고 해당하는 위원회를 모두 선택합니다.</w:t>
      </w:r>
    </w:p>
    <w:p>
      <w:pPr>
        <w:pStyle w:val="ListNumber"/>
        <w:numPr>
          <w:ilvl w:val="0"/>
          <w:numId w:val="14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4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4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4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5"/>
        </w:numPr>
      </w:pPr>
      <w:r>
        <w:t>교인 행을 선택합니다.</w:t>
      </w:r>
    </w:p>
    <w:p>
      <w:pPr>
        <w:pStyle w:val="ListNumber"/>
        <w:numPr>
          <w:ilvl w:val="0"/>
          <w:numId w:val="15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Fund</w:t>
      </w:r>
      <w:r>
        <w:t xml:space="preserve">, </w:t>
      </w:r>
      <w:r>
        <w:rPr>
          <w:b/>
        </w:rPr>
        <w:t>Category</w:t>
      </w:r>
      <w:r>
        <w:t xml:space="preserve"> 또는 헌금 유형으로 필터링합니다. Category 선택지는 선택한 Fund에 따라 표시됩니다.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6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7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7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7"/>
        </w:numPr>
      </w:pPr>
      <w:r>
        <w:t xml:space="preserve">기준정보에서 </w:t>
      </w:r>
      <w:r>
        <w:rPr>
          <w:b/>
        </w:rPr>
        <w:t>Fund</w:t>
      </w:r>
      <w:r>
        <w:t xml:space="preserve">, 해당 </w:t>
      </w:r>
      <w:r>
        <w:rPr>
          <w:b/>
        </w:rPr>
        <w:t>Category</w:t>
      </w:r>
      <w:r>
        <w:t xml:space="preserve">,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8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8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9" name="Picture 9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헌금 목록 및 입력 화면</w:t>
      </w:r>
    </w:p>
    <w:p>
      <w:r>
        <w:br w:type="page"/>
      </w:r>
    </w:p>
    <w:p>
      <w:pPr>
        <w:pStyle w:val="Heading1"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19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9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거래일과 금액을 입력합니다.</w:t>
      </w:r>
    </w:p>
    <w:p>
      <w:pPr>
        <w:pStyle w:val="ListNumber"/>
        <w:numPr>
          <w:ilvl w:val="0"/>
          <w:numId w:val="20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0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0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1"/>
        </w:numPr>
      </w:pPr>
      <w:r>
        <w:t>수동 지출 행을 선택합니다.</w:t>
      </w:r>
    </w:p>
    <w:p>
      <w:pPr>
        <w:pStyle w:val="ListNumber"/>
        <w:numPr>
          <w:ilvl w:val="0"/>
          <w:numId w:val="21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1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10" name="Picture 10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재정 활동 및 지출 입력 화면</w:t>
      </w:r>
    </w:p>
    <w:p>
      <w:r>
        <w:br w:type="page"/>
      </w:r>
    </w:p>
    <w:p>
      <w:pPr>
        <w:pStyle w:val="Heading1"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2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3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3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3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회계연도 예산 목록 및 입력 화면</w:t>
      </w:r>
    </w:p>
    <w:p>
      <w:r>
        <w:br w:type="page"/>
      </w:r>
    </w:p>
    <w:p>
      <w:pPr>
        <w:pStyle w:val="Heading1"/>
      </w:pPr>
      <w:r>
        <w:t>기준정보</w:t>
      </w:r>
    </w:p>
    <w:p>
      <w:r>
        <w:rPr>
          <w:b/>
        </w:rPr>
        <w:t>사용 가능 역할:</w:t>
      </w:r>
      <w:r>
        <w:t xml:space="preserve"> Admin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위원회 코드,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4"/>
        </w:numPr>
      </w:pPr>
      <w:r>
        <w:t>헌금 카테고리 또는 재정 하위 카테고리인 경우 상위 기금 또는 카테고리를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>수정하려면 행을 선택하고 내용을 변경한 다음 저장합니다.</w:t>
      </w:r>
    </w:p>
    <w:p>
      <w:r>
        <w:t>코드는 값의 키이므로 생성 후 변경할 수 없습니다. 비활성 값은 저장된 상태로 유지되지만 일반 드롭다운 선택 항목에서는 제외됩니다. 교인, 헌금, 재정, 예산 또는 보관 자료에서 사용 중인 값은 삭제할 수 없습니다.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기준정보 관리 화면</w:t>
      </w:r>
    </w:p>
    <w:p>
      <w:r>
        <w:br w:type="page"/>
      </w:r>
    </w:p>
    <w:p>
      <w:pPr>
        <w:pStyle w:val="Heading1"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5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헌금 주일, 기금, 카테고리, 헌금자 유형 및 결제 방법의 표시 이름별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6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7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 xml:space="preserve">표시 이름으로 된 수입/지출 카테고리, 예산, 실제 금액, 예산 대비 실제 비율 및 차이를 확인합니다. 예산이 0이면 비율은 </w:t>
      </w:r>
      <w:r>
        <w:rPr>
          <w:rFonts w:ascii="Courier New" w:hAnsi="Courier New" w:eastAsia="Courier New"/>
          <w:color w:val="123047"/>
          <w:sz w:val="19"/>
        </w:rPr>
        <w:t>-</w:t>
      </w:r>
      <w:r>
        <w:t>로 표시됩니다.</w:t>
      </w:r>
    </w:p>
    <w:p>
      <w:pPr>
        <w:pStyle w:val="Heading2"/>
      </w:pPr>
      <w:r>
        <w:t>분기 재정 보고서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Quarterly Financial Report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>달력 연도와 분기를 선택합니다.</w:t>
      </w:r>
    </w:p>
    <w:p>
      <w:pPr>
        <w:pStyle w:val="ListNumber"/>
        <w:numPr>
          <w:ilvl w:val="0"/>
          <w:numId w:val="29"/>
        </w:numPr>
      </w:pPr>
      <w:r>
        <w:t>분기 헌금 통합 문서는 Offering 다운로드를, 분기 지출 통합 문서는 Expenditure 다운로드를 선택합니다.</w:t>
      </w:r>
    </w:p>
    <w:p>
      <w:pPr>
        <w:pStyle w:val="ListNumber"/>
        <w:numPr>
          <w:ilvl w:val="0"/>
          <w:numId w:val="29"/>
        </w:numPr>
      </w:pPr>
      <w:r>
        <w:t xml:space="preserve">헌금 통합 문서의 이월금 행과 지출 통합 문서의 </w:t>
      </w:r>
      <w:r>
        <w:rPr>
          <w:rFonts w:ascii="Courier New" w:hAnsi="Courier New" w:eastAsia="Courier New"/>
          <w:color w:val="123047"/>
          <w:sz w:val="19"/>
        </w:rPr>
        <w:t>CONTINGENCY</w:t>
      </w:r>
      <w:r>
        <w:t xml:space="preserve"> 재정 카테고리 표시 이름을 확인합니다.</w:t>
      </w:r>
    </w:p>
    <w:p>
      <w:r>
        <w:t xml:space="preserve">두 통합 문서는 Letter 가로 방향이며 인쇄 배율은 </w:t>
      </w:r>
      <w:r>
        <w:rPr>
          <w:b/>
        </w:rPr>
        <w:t>100%로 조정</w:t>
      </w:r>
      <w:r>
        <w:t>으로 설정됩니다.</w:t>
      </w:r>
    </w:p>
    <w:p>
      <w:r>
        <w:rPr>
          <w:b/>
        </w:rPr>
        <w:t>Export CSV</w:t>
      </w:r>
      <w:r>
        <w:t>가 표시되는 표 형식 보고서에서는 이를 선택하여 현재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3" name="Picture 13" descr="분기 재정 보고서 선택 항목과 Excel 다운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분기 재정 보고서 선택 항목과 Excel 다운로드</w:t>
      </w:r>
    </w:p>
    <w:p>
      <w:r>
        <w:br w:type="page"/>
      </w:r>
    </w:p>
    <w:p>
      <w:pPr>
        <w:pStyle w:val="Heading1"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30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30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4" name="Picture 14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개인 프로필 관리 화면</w:t>
      </w:r>
    </w:p>
    <w:p>
      <w:r>
        <w:br w:type="page"/>
      </w:r>
    </w:p>
    <w:p>
      <w:pPr>
        <w:pStyle w:val="Heading1"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1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1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1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r>
        <w:br w:type="page"/>
      </w:r>
    </w:p>
    <w:p>
      <w:pPr>
        <w:pStyle w:val="Heading1"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pleGothic" w:hAnsi="AppleGothic" w:eastAsia="Apple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>python-docx</dc:creator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