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755" w:rsidRPr="00335D30" w:rsidRDefault="00C63755" w:rsidP="00335D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MEMORANDUM OF UNDERSTANDING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This Memorandum of Understanding (“MOU”) is entered into on the 24" day of April, 2024 by and between Tata Consultancy Services Ltd., a company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incorporated under the Companies Act, 1956 and having its corporate office at TCS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 xml:space="preserve">House,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Raveline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Street, Fort, Mumbai 400001, India (herein after referred to as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 xml:space="preserve">“TCS”), and Sri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Chandrasekharendra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Saraswathi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Viswa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Mahavidyalaya</w:t>
      </w:r>
      <w:proofErr w:type="spellEnd"/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(Deemed to be University), Established in 1993 and having its office at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 xml:space="preserve">Sri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Jayendra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Saraswathi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Street,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Enathur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>, Kanchipuram (herein after referred to as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="004E5E06" w:rsidRPr="00335D30">
        <w:rPr>
          <w:rFonts w:ascii="Times New Roman" w:hAnsi="Times New Roman" w:cs="Times New Roman"/>
          <w:sz w:val="24"/>
          <w:szCs w:val="24"/>
        </w:rPr>
        <w:t>“Institute”).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TCS and Institute are both hereinafter referred to as "P</w:t>
      </w:r>
      <w:r w:rsidR="00335D30">
        <w:rPr>
          <w:rFonts w:ascii="Times New Roman" w:hAnsi="Times New Roman" w:cs="Times New Roman"/>
          <w:sz w:val="24"/>
          <w:szCs w:val="24"/>
        </w:rPr>
        <w:t xml:space="preserve">arty" individually or "Parties" </w:t>
      </w:r>
      <w:r w:rsidRPr="00335D30">
        <w:rPr>
          <w:rFonts w:ascii="Times New Roman" w:hAnsi="Times New Roman" w:cs="Times New Roman"/>
          <w:sz w:val="24"/>
          <w:szCs w:val="24"/>
        </w:rPr>
        <w:t>collectively as the context may require.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WHEREAS Institute is engaged in providing educational degrees at graduate and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postgraduate level in various streams and is an autonomous institution and affiliated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="004E5E06" w:rsidRPr="00335D30">
        <w:rPr>
          <w:rFonts w:ascii="Times New Roman" w:hAnsi="Times New Roman" w:cs="Times New Roman"/>
          <w:sz w:val="24"/>
          <w:szCs w:val="24"/>
        </w:rPr>
        <w:t>to Madras University.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WHEREAS TCS is inter alia engaged in the business of provision of various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information technology services, business solutions, consultancy and outsourcing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services worldwide; and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WHEREAS the Parties recognize each other competencies and hereto agree that a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strategic relationship between them will benefit each other.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NOW THIS MOU aims to capture the understanding reached between TCS and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Institute regarding each other’s roles and responsibilities: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1) UNDERSTANDING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This MOU is intended to cover a specific collaborative effort between TCS &amp;Institute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 xml:space="preserve">under the Academic Interface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driven by TCS under which TCS will work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towards developing and designing and / or providing industry specific application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oriented courses (“TCS Designed Course(s)”) which can be offered by the Institute as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elective courses for specific degree specializations (“Option 1”); and / or as full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curriculum, specializations streams in B.Com Business Process Services and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B. Sc. Computer Science with Cognitive Systems related domains (“Curriculum”)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at the bachelor’s degree level (“Option 2”) as may be agreed to by the Parties and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details outlined in Annexure A. The term ‘Curriculum’ as used in the MOU shall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apply only when Option 2 is agreed to in Annexure A. /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The agreement between TCS and Institute would be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eflective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from 24" April 2024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(“Effective Date”) and shall be valid up to 23" April 2027 covering the batches joining in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the academic years AY 2024-25 (ending AY 26-27</w:t>
      </w:r>
      <w:proofErr w:type="gramStart"/>
      <w:r w:rsidRPr="00335D30">
        <w:rPr>
          <w:rFonts w:ascii="Times New Roman" w:hAnsi="Times New Roman" w:cs="Times New Roman"/>
          <w:sz w:val="24"/>
          <w:szCs w:val="24"/>
        </w:rPr>
        <w:t>),AY</w:t>
      </w:r>
      <w:proofErr w:type="gramEnd"/>
      <w:r w:rsidRPr="00335D30">
        <w:rPr>
          <w:rFonts w:ascii="Times New Roman" w:hAnsi="Times New Roman" w:cs="Times New Roman"/>
          <w:sz w:val="24"/>
          <w:szCs w:val="24"/>
        </w:rPr>
        <w:t xml:space="preserve"> 25-26 (ending AY 27-28) and AY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26-27 (ending AY 28-29). Any admissions to batch joining in the AY 27-28 onwards shall be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with the prior written consent of TCS and the Parties shall enter into written amendment to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the MOU extending the term of this MOU accordingly.</w:t>
      </w:r>
    </w:p>
    <w:p w:rsidR="00C63755" w:rsidRPr="00335D30" w:rsidRDefault="004E5E06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="00C63755" w:rsidRPr="00335D30">
        <w:rPr>
          <w:rFonts w:ascii="Times New Roman" w:hAnsi="Times New Roman" w:cs="Times New Roman"/>
          <w:b/>
          <w:bCs/>
          <w:sz w:val="24"/>
          <w:szCs w:val="24"/>
        </w:rPr>
        <w:t>) ROLES AND RESPONSIBILITIES: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A. Role of TCS: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- TCS agrees to design and develop TCS Designed Course(s) identified in the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Annexure A. The final choice of TCS Designed Course(s) to be offered by the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Institute to its students will be jointly agreed between TCS and the Institute.</w:t>
      </w:r>
    </w:p>
    <w:p w:rsidR="00C63755" w:rsidRPr="00335D30" w:rsidRDefault="004E5E06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</w:t>
      </w:r>
      <w:r w:rsidR="00C63755" w:rsidRPr="00335D30">
        <w:rPr>
          <w:rFonts w:ascii="Times New Roman" w:hAnsi="Times New Roman" w:cs="Times New Roman"/>
          <w:sz w:val="24"/>
          <w:szCs w:val="24"/>
        </w:rPr>
        <w:t xml:space="preserve"> TCS role will be restricted only to designing and developing the course contents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="00C63755" w:rsidRPr="00335D30">
        <w:rPr>
          <w:rFonts w:ascii="Times New Roman" w:hAnsi="Times New Roman" w:cs="Times New Roman"/>
          <w:sz w:val="24"/>
          <w:szCs w:val="24"/>
        </w:rPr>
        <w:t>and curriculum of the TCS Designed Course(s) and/or assisting in designing the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="00C63755" w:rsidRPr="00335D30">
        <w:rPr>
          <w:rFonts w:ascii="Times New Roman" w:hAnsi="Times New Roman" w:cs="Times New Roman"/>
          <w:sz w:val="24"/>
          <w:szCs w:val="24"/>
        </w:rPr>
        <w:t>Curriculum (if agreed and outlined in Annexure 4). After review and sign off by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="00C63755" w:rsidRPr="00335D30">
        <w:rPr>
          <w:rFonts w:ascii="Times New Roman" w:hAnsi="Times New Roman" w:cs="Times New Roman"/>
          <w:sz w:val="24"/>
          <w:szCs w:val="24"/>
        </w:rPr>
        <w:t>the Institute, the TCS Designed Course(s) / Curriculum (where agreed to in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="00C63755" w:rsidRPr="00335D30">
        <w:rPr>
          <w:rFonts w:ascii="Times New Roman" w:hAnsi="Times New Roman" w:cs="Times New Roman"/>
          <w:sz w:val="24"/>
          <w:szCs w:val="24"/>
        </w:rPr>
        <w:t>Annexure A) will be taught and administered by faculty from the Institute. TCS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="00C63755" w:rsidRPr="00335D30">
        <w:rPr>
          <w:rFonts w:ascii="Times New Roman" w:hAnsi="Times New Roman" w:cs="Times New Roman"/>
          <w:sz w:val="24"/>
          <w:szCs w:val="24"/>
        </w:rPr>
        <w:t>will not be involved in the administration and the evaluation of the TCS Designed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Course(s) / Curriculum. The administration and evaluation of the TCS Designed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Course(s) and other core topics included in the Curriculum (where agreed to be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offered in Annexure A) along with conferring of the degree to successful students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 xml:space="preserve">enrolled in the Curriculum will be done by the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lustitute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>. On case-to-case basis,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TCS may also consider the deployment of its experts as trainers for delivering a</w:t>
      </w:r>
      <w:r w:rsid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part of the offered TCS Designed Course(s) / Curriculum. The mode of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delivery of the course by TCS trainers can by eithe</w:t>
      </w:r>
      <w:r w:rsidR="00335D30">
        <w:rPr>
          <w:rFonts w:ascii="Times New Roman" w:hAnsi="Times New Roman" w:cs="Times New Roman"/>
          <w:sz w:val="24"/>
          <w:szCs w:val="24"/>
        </w:rPr>
        <w:t xml:space="preserve">r through face-to-face teaching </w:t>
      </w:r>
      <w:r w:rsidRPr="00335D30">
        <w:rPr>
          <w:rFonts w:ascii="Times New Roman" w:hAnsi="Times New Roman" w:cs="Times New Roman"/>
          <w:sz w:val="24"/>
          <w:szCs w:val="24"/>
        </w:rPr>
        <w:t>or through a digital medium using any of the video conferencing tools.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TCS may consider incorporating the suggestions from the Institute about having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as much practical understanding during the design of the course contents and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curriculum of the TCS Designed Course(s) by incorporating appropriate case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studies, simulations, exercises that can help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studeats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visualize and understand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application of concepts in real time business solutions. VV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TCS may conduct a Train the Trainer Program (“TTT Program”) for appropriate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duration where specialists from TCS imparts the knowledge and approach to teach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TCS Designed Course(s) to the nominated faculty of Institute. The TTT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Program may be scheduled and repeated as per requirement with mutual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agreement between TCS and Institute. The mode of the delivery of the TTT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program can be either through face-to-face training or through a digital medium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using any of the video conferencing tools.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The entire effort from TCS end is voluntary and objective is to work along with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our stakeholder community (in this case educational institutions / Universities) to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build capability and benefit for the students as well as faculty by way of offering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courses in areas of knowledge closer to industry practice,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There would be no linkage with campus placements as part of this program as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these are two distinct activities. The placement activities are separate and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participation of Institute for the TCS Designed Course(s) has no bearing on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placement activities that TCS conducts at colleges and universities each year.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TCS at this point will be providing this course design, content and training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sessions as a voluntary effort keeping in mind the Tata Group Philosophy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working towards benefiting the societies and stakeholders with whom we work.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B. Role of Institute: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shall ensure that it holds all valid permissions, authorizations, approvals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and consents, licenses and registrations, which may be required under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applicable laws, policies and procedures prevalent from time to time, for launch,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administration and instruction of the TCS Designed Course(s) and Curriculum (if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agreed to in Annexure A) and the same shall be kept valid and subsisting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throughout the period of this MOU or till the completion of the TCS Designed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Course(s) / Curriculum, whichever is later. V4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The institute shall not be entitled to claim any fees or charges on account of TCS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hiring or employing the students.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The financial responsibility towards the course fee / charges or other expenses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thereto shall be entirely borne by the respective student or the institute.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will undertake the role of selecting the core topics (that will fit into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Curriculum) and faculty members who will undertake the ownership for teaching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those selected topics.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will ensure to provide equal status to the TCS Designed Course(s) /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Curriculum (at par with all other courses) while offering it to students applying to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Institute. This will be done by placing the option of this course curriculum in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all communication medium (College Website, Student Application forms,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Brochures etc.) to ensure maximum students undertake the TCS Designed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Course(s) / Curriculum.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will set highest standards of selection for the students and ensure that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students who undertake the TCS Designed Course(s) / Curriculum would put in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full effort and contribution to make learning outcomes successful. Focus would be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on ensuring students who have a great propensity to participate actively and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contribute to learning in-a group as well as individual mode.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shall nominate a designated faculty member who will be the single point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of contact for managing the administration and completion of the TCS Designed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Course(s) / Curriculum. The faculty will be responsible from Institute side to help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TCS team in all administrative and management activities that will be helpful in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smooth launch and completion of the course.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should ensure timely nomination of faculty for attending the TTT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Program and delivering the TCS Designed Course(s) in a timely and satisfactory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manner and is based on the broad guideline as below. Final choice on the selection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of faculty will lie with Institute. /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a) Post-graduation with solid academic achievements relevant to the TCS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Designed Course(s)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b) 5+ years’ experience in teaching the specific courses which they would be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teaching (flexibility allowed)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c) Familiar with recent developments in related field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d) Effective communication and articulation of scenarios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e) Ability to drive interactive sessions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f) Willingness to learn and lead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will own the responsibility of conducting the exams/assessments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student performance for the TCS Designed Course(s) and across all the subjects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Curriculum. As an input it may consider the assessment criteria as suggested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by TCS for assessment to be done through written exams, internal assessments,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market visits and take home assignments by the nominated faculty, where each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parameter may have an assigned weightage so that students are assessed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effectively for their all-round performance.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- Institute will enable Video Conference facility in its campus for faculty to join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remotely from TCS office for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Facuity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Development Program and for students to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join for classes on some subjects which may be conducted by TCS faculty over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Video Conference.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will ensure adequate computing Lab facility for the students undergoing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course, if required.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shall ensure that all the students selected for the TCS Designed Course(s)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/ Curriculum will sign individual confidentiality undertaking substantially in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format as set forth in Annexure — B hereunder, to ensure that the course material is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not used or disposed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inappropriately and take utmost care not to copy or share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course hand outs and materials that are TCS provided copyrighted material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with anyone else. The course material is solely for the students’ learning purposes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and only students, who undertake the TCS Designed Course(s) / Curriculum shall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possess the course material at any time. The course material has to be destroyed /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disposed only by shredding, in order </w:t>
      </w:r>
      <w:r w:rsidR="004E5E06" w:rsidRPr="00335D30">
        <w:rPr>
          <w:rFonts w:ascii="Times New Roman" w:hAnsi="Times New Roman" w:cs="Times New Roman"/>
          <w:sz w:val="24"/>
          <w:szCs w:val="24"/>
        </w:rPr>
        <w:t xml:space="preserve">to avoid any unauthorized use. 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shall ensure that the faculty from Institute who would be trained through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TTT Program will sign individual confidentiality undertaking, substantially in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format as set forth in Annexure — C hereunder, to ensure that the course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material is used appropriately only for the purpose of instruction of the TCS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Designed Course(s) / Curriculum. The faculty should not use this course material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for other courses or for any other purpose whatsoever and also should not dispose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it in a manner that can lead the course material falling in hands of those who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should not be recipients of the course </w:t>
      </w:r>
      <w:proofErr w:type="spellStart"/>
      <w:proofErr w:type="gramStart"/>
      <w:r w:rsidRPr="00335D30">
        <w:rPr>
          <w:rFonts w:ascii="Times New Roman" w:hAnsi="Times New Roman" w:cs="Times New Roman"/>
          <w:sz w:val="24"/>
          <w:szCs w:val="24"/>
        </w:rPr>
        <w:t>work.The</w:t>
      </w:r>
      <w:proofErr w:type="spellEnd"/>
      <w:proofErr w:type="gramEnd"/>
      <w:r w:rsidRPr="00335D30">
        <w:rPr>
          <w:rFonts w:ascii="Times New Roman" w:hAnsi="Times New Roman" w:cs="Times New Roman"/>
          <w:sz w:val="24"/>
          <w:szCs w:val="24"/>
        </w:rPr>
        <w:t xml:space="preserve"> faculty trained by TCS would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teach the TCS Designed Course(s), only as long as this MOU is valid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shall ensure availability of all requisite facilities, infrastructure,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cooperation, etc. required to seamlessly deliver the TCS Designed Course(s) /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Curriculum to the applicable students, </w:t>
      </w:r>
      <w:proofErr w:type="gramStart"/>
      <w:r w:rsidRPr="00335D3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35D30">
        <w:rPr>
          <w:rFonts w:ascii="Times New Roman" w:hAnsi="Times New Roman" w:cs="Times New Roman"/>
          <w:sz w:val="24"/>
          <w:szCs w:val="24"/>
        </w:rPr>
        <w:t xml:space="preserve"> lectures are to be scheduled during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normal working days of the Institute or as decided by Institute. In cases where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TCS’ assistance is availed by Institute for delivery of the TCS Designed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Course(s), TCS and Institute will mutually agree to a schedule for the same.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Institute recognizes that timely and continued provision of the facilities by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Institute is a condition precedent to the completion of the TCS Designed Course(s)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/ Curriculum in time. Any delay or failure in the provision of agreed facilities will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hamper the timely completion of the course, and TCS shall not be held liable for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same.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shall permit the applicable TCS faculty/personnel engaged pursuant to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this MOU, reasonable access to the premises of Institute, for the purpose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delivery of the TTT Program or to fulfill it role under this MOU or assist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Institute in any other manner in relation to this MOU.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At the end of the TCS Designed Course(s) / Curriculum, any formalities with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respect to awarding certificate of course completion to the students will be done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by Institute in accordance with the rules/ procedures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foliowed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by Institute.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At the end of the course Institute shall allow TCS to make pre-placement offers to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students who are part of the course based on the selection criteria defined by</w:t>
      </w:r>
    </w:p>
    <w:p w:rsidR="00C63755" w:rsidRPr="00335D30" w:rsidRDefault="004E5E06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335D30">
        <w:rPr>
          <w:rFonts w:ascii="Times New Roman" w:hAnsi="Times New Roman" w:cs="Times New Roman"/>
          <w:b/>
          <w:bCs/>
          <w:sz w:val="24"/>
          <w:szCs w:val="24"/>
        </w:rPr>
        <w:t xml:space="preserve">III) </w:t>
      </w:r>
      <w:r w:rsidR="00C63755" w:rsidRPr="00335D30">
        <w:rPr>
          <w:rFonts w:ascii="Times New Roman" w:hAnsi="Times New Roman" w:cs="Times New Roman"/>
          <w:b/>
          <w:bCs/>
          <w:sz w:val="24"/>
          <w:szCs w:val="24"/>
        </w:rPr>
        <w:t>OTHER TERMS &amp; CONDITIONS</w:t>
      </w:r>
    </w:p>
    <w:bookmarkEnd w:id="0"/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Upon mutual agreement, TCS and Institute may at any time enter into a specific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definitive agreement(s) (hereinafter referred as “Definitive Agreement(s)”) setting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out there in the mutually agreed detailed terms and conditions applicable to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various courses to be provided by TCS under such Definitive Agreement(s).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For the TCS Designed Course(s) which are agreed to be implemented, TCS will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provide one master copy of course material to the Institute, which will be received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by the faculty duly designated by Institute in writing to TCS. The said course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material may be reproduced in hard copy form only, solely for the purpose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being issued by the duly designated faculty to the students who enroll for the TCS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Designed Course(s) / Curriculum for the duration of the course. Except as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permitted herein, the course material provided by TCS shall not be reproduced,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copied, translated, adapted, broadcasted, hosted or transmitted (including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electronically) in any form. The supporting material, if any, for faculty members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will be separately provided to the faculty members and shall be used by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faculty members only for the purposes of the instruction of the TCS Designed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Course(s) at the Institute. Institute shall ensure that the original master copy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course material and supporting material for faculty members provided by TCS and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copies of the same including portions thereof (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>) is treated strictly as confidential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documents; (ii) shall only be in the possession of the designated faculty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Institute; and (iii) shall not be displayed or circulated in libraries or forums where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any person not enrolled under the TCS Designed Course(s) / Curriculum may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access the same.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For the entire process involved for offering the TCS Designed Course(s) /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Curriculum, Institute will seek prior written permission from TCS before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publishing any related information regarding this TCS Designed Course(s) /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Curriculum offering initiative in collaboration with TCS, in the press, media,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social network, blogs, internet and in any other allied public channels.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Unless otherwise agreed by the Parties separately in writing, each Party will be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responsible for its own individual costs in conducting its duties and obligations</w:t>
      </w:r>
    </w:p>
    <w:p w:rsidR="00C63755" w:rsidRPr="00335D30" w:rsidRDefault="004E5E06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under this MOU.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IV)</w:t>
      </w:r>
      <w:r w:rsidR="004E5E06" w:rsidRP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INTELLECTUAL PROPERTY RIGHTS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Institute agrees and acknowledges that any and all intellectual property rights in or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to course contents and curriculum of the TCS Designed Course(s) and TTT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Program and any and all modifications, enhancements, alterations, additions,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adaptations, translations to the same, or derivative works thereof, or feedback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received with respect to them, shall be done only by or with prior written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permission of TCS and vest with TCS and/or its licensors. For the term of this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MOU, TCS grants to the Institute a non-exclusive, non-transferable,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non sub-</w:t>
      </w:r>
      <w:proofErr w:type="spellEnd"/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licensable, limited right and license to use and reproduce the course material in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hard copy form only for the purposes of, and as permitted under, this MOU. All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rights not expressly granted herein shall remain with TCS.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Institute agrees to retain all of TCS’ and/or its licensors’ logo, trademark,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copyright notices and other proprietary markings or notice on the course material.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Institute shall not, permit any persons to, remove, alter, obscure or otherwise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render illegible any of TCS’ logo, trademark, copyright notice or other proprietary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or confidentiality markings that may be placed on the course material or part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thereof provided to Institute hereunder without prior written approval of TCS.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Institute shall include on all copies of all or part of the course material a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reproduction of TCS’ and/or its licensors’ logo, trademark, copyright notices and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other proprietary markings or notices as included in the course material provided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by TCS.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TCS shall also continue to own all and any intellectual property developed prior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to, or independently of this MOU.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By entering into this MOU, Institute covenants and undertakes: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(a) To respect TCS’ intellectual property;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(b) Not to use TCS’ intellectual property without the prior express written consent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of TCS;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(c) Ensure the confidentiality of such intellectual property of TCS within enrolled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students and nominated faculty;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(d) Not to use or permit use TCS’ intellectual property other than for the purpose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and duration of this MOU. “/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(e) Promptly report any misuse of the TCS’ intellectual property which comes to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its notice and assist and support TCS in remedying and/or protecting any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misuse/infringement of TCS’ intellectual property subject of this MOU.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agrees that it shall not gain by virtue of this MOU any rights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ownership or any other interest, right, or title in or to any copyrights, patents, trade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secrets, trademarks, or any other intellectual property or proprietary rights owned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by TCS. Except as otherwise explicitly agreed between the Parties, any and all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works developed in the course of performing obligations pursuant to this MOU,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including all intellectual property rights in or related thereto, and all new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inventions, innovations, works or ideas developed by TCS in the course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performance of its activities under this MOU will belong to TCS.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If</w:t>
      </w:r>
      <w:r w:rsidR="004E5E06" w:rsidRP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the Parties undertake any joint development in the course of providing services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under this MOU, any such joint development will be governed by a separate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agreement to be negotiated in good faith by the Parties prior to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commencement of any joint development efforts.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Neither Party shall use any name, trademark, service mark or symbol of the other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Party in any publicity release or advertising material or for any other purpose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whatsoever without securing the prior written consent of that other Party.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Parties may, however, mention the non-stylized name of the other Party and areas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of collaboration in their official websites, presentations and analyst reports and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include the existence of this Memorandum in its regular list of academic/industry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collaborations. Institute agrees that any and all use of TCS name and trademarks</w:t>
      </w:r>
    </w:p>
    <w:p w:rsidR="00C63755" w:rsidRPr="00335D30" w:rsidRDefault="004E5E06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</w:t>
      </w:r>
      <w:r w:rsidR="00C63755" w:rsidRPr="00335D30">
        <w:rPr>
          <w:rFonts w:ascii="Times New Roman" w:hAnsi="Times New Roman" w:cs="Times New Roman"/>
          <w:sz w:val="24"/>
          <w:szCs w:val="24"/>
        </w:rPr>
        <w:t>hall be in accordance with the provisions of Annexure — D.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V) CONFIDENTIALITY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During the term of this MOU, TCS may disclose to Institute its Confidential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Information. Confidential Information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shal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>! mean all information marked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“Confidential” or under any similar legend indicating the confidentiality of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information or information which by its nature is confidential or acknowledged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and agreed herein as confidential, except such information as is (a) previously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known to Institute at the time of disclosure and not subject to confidentiality under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any other agreement between the Parties, or (b) independently developed by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Institute and not derived from the Confidential Information supplied by TCS or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participation of individuals who have had access to Confidential Information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of TCS. (c) disclosed to Institute by a third party who lawfully acquired such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information without restriction, and is not subject to confidentiality obligations, or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(d) in or subsequently comes into the public domain (other than as a result of a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breach of this MOU), or (e) required to be disclosed by Institute by law,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regulation, court order or other legal process. Institute acknowledges and agrees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that course contents and curriculum of the TCS Designed Course(s) and TTT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Program is Confidential Information of TCS irrespective of whether it is labelled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as confidential or not.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shall hold such Confidential Information in strict confidence for TCS and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shall not use it for any purpose except in furtherance of the relationship set forth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 this MOU, or except as it may be authorized by TCS in writing. Institute shall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further be responsible for the compliance of the foregoing by its students,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employees, faculty or agents who have access to Confidential Information in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relation to the purpose of this MOU.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acknowledges and agrees that a breach of any of its obligations contained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herein will result in irreparable injury to TCS for which there will be no adequate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remedy at law, and TCS shall be entitled to apply for equitable relief, including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injunction and specific performance, in the event of any breach or threatened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breach or intended breach of its obligations herein by the Institute. Such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remedies, however, shall not be deemed to be the exclusive remedies for any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breach of</w:t>
      </w:r>
      <w:r w:rsidR="004E5E06" w:rsidRPr="00335D30">
        <w:rPr>
          <w:rFonts w:ascii="Times New Roman" w:hAnsi="Times New Roman" w:cs="Times New Roman"/>
          <w:sz w:val="24"/>
          <w:szCs w:val="24"/>
        </w:rPr>
        <w:t xml:space="preserve"> </w:t>
      </w:r>
      <w:r w:rsidRPr="00335D30">
        <w:rPr>
          <w:rFonts w:ascii="Times New Roman" w:hAnsi="Times New Roman" w:cs="Times New Roman"/>
          <w:sz w:val="24"/>
          <w:szCs w:val="24"/>
        </w:rPr>
        <w:t>the obligations but shall be in addition to all other remedies available at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law or in equity.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All Confidential Information is provided as is, without any warranties express,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implied or otherwise, regarding its accuracy, completeness or performance.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VI) TERMINATION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Either Party may terminate this MOU by giving ninety (90) days advance written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notice to the other Party. On termination, each Party shall return to the other party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all such confidential and proprietary information, documents and reference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material and any copies thereof of the other Party in its possession. If the MOU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expires or notice of termination is issued during the Academic Year when the TCS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Designed Course(s) / Curriculum is/are in progress, the termination shall take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effect post completion of the batch(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>) that has/have already opted for the TCS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Designed Course(s) / Curriculum. New students/batches will not be offered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TCS Designed Course(s) / Curriculum once the termination notice has been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issued. Any admissions to batch joining in the AY 27-28 onwards shall be with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prior written consent of TCS as mentioned in Section I above. The right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each Party to terminate this MOU with immediate effect for material breach of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terms of this MOU (that remains uncured after thirty (30) days of written notice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thereof or that are not susceptible to cure) remains unaffected. This Agreement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shall automatically terminate if the Curriculum is not approved by AICTE or other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approving authorities and / or admissions are not made in batch joining in the AY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24-25 and AY 25-26.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All such obligations and terms of this MOU that are required to survive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expiration or termination of this MOU, including but not limited to, intellectual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property rights, confidentiality, limitation of liability, governing law/arbitration,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notice shall survive such termination.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This MOU can be extended or terminated by mutual consent of the Parties in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writing. Notice period not to renew.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VII) PERIODIC REVIEW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Parties agree that the persons nominated herein below as the point of contact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for each Party (or their respective nominees) shall meet at a frequency mutually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decided by TCS and Institute, either personally or through ’a teleconference to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review the progress and plan the future course of action, to accomplish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objectives of this MOU as per the mutually agreed time schedule.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Point of contact of Institute: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Prof.Dr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35D30">
        <w:rPr>
          <w:rFonts w:ascii="Times New Roman" w:hAnsi="Times New Roman" w:cs="Times New Roman"/>
          <w:sz w:val="24"/>
          <w:szCs w:val="24"/>
        </w:rPr>
        <w:t>M.Rathinakumar</w:t>
      </w:r>
      <w:proofErr w:type="spellEnd"/>
      <w:proofErr w:type="gramEnd"/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Dean, Faculty of Engineering &amp; Technology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 xml:space="preserve">SCSVMV,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Enathur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>, Kanchipuram 631 561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deanengg@kanchiuniv.ac.in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Point of contact of TCS: Stephen Moses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Dinakaran</w:t>
      </w:r>
      <w:proofErr w:type="spellEnd"/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Regional Head — Academic Interface Program /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Academic Alliances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Tata Consultancy Services Ltd.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21 Industrial Estate,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Ambattur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>, Chennai 600 058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Mailto:stephenmoses.dinakaran@tcs.com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1F4BD4" w:rsidRPr="00335D30">
        <w:rPr>
          <w:rFonts w:ascii="Times New Roman" w:hAnsi="Times New Roman" w:cs="Times New Roman"/>
          <w:b/>
          <w:bCs/>
          <w:sz w:val="24"/>
          <w:szCs w:val="24"/>
        </w:rPr>
        <w:t>III</w:t>
      </w:r>
      <w:r w:rsidRPr="00335D30">
        <w:rPr>
          <w:rFonts w:ascii="Times New Roman" w:hAnsi="Times New Roman" w:cs="Times New Roman"/>
          <w:b/>
          <w:bCs/>
          <w:sz w:val="24"/>
          <w:szCs w:val="24"/>
        </w:rPr>
        <w:t>) RELATIONSHIP OF THE PARTIES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For the purposes of this MOU, both the Parties are independent contractors.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Neither this MOU, nor any activities described herein, shall be construed as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creating a partnership, joint venture, franchise, agency or other such relationship.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Neither party is authorized, in any manner, to make any commitment on behalf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or to bind the other Party.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will be completely responsible for ensuring compliance towards all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statutory provisions applicable to and governing the employment of its employees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and representatives, deployed and would ensure compliance to provisions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statutes, as amended and applicable from time to time for such employees and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representatives. Under no circumstances shall employees, agents and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representatives of Institute, represent as or be construed as employees/agents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TCS.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IX) LIMITATION OF LIABILITY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Institute agrees that any information or material provided / disclosed by TCS is on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“as is” basis without any warranty or representation of any nature whatsoever, as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to any matter, including but not limited to, warranty of fitness for a particular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purpose or merchantability. TCS shall not be liable for any direct, indirect,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incidental, special or consequential damages, or damages for loss of profits,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revenue, data or use, incurred by Institute or any third party arising out of or in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connection with this MOU or the subject matter of this MOU, whether in an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action in contract or tort or any other legal theory.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3755" w:rsidRPr="00335D30" w:rsidRDefault="001F4BD4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 xml:space="preserve">X) </w:t>
      </w:r>
      <w:r w:rsidR="00C63755" w:rsidRPr="00335D30">
        <w:rPr>
          <w:rFonts w:ascii="Times New Roman" w:hAnsi="Times New Roman" w:cs="Times New Roman"/>
          <w:b/>
          <w:bCs/>
          <w:sz w:val="24"/>
          <w:szCs w:val="24"/>
        </w:rPr>
        <w:t>GOVERNING LAW/ARBITRATION/VENUE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laws of India shall govern this MOU. Any disputes between the parties shall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be resolved by mutual discussions. Disputes, if any, remaining unresolved for a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period of sixty (60) days after reference to the other Party in writing, shall be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subject to resolution by arbitration in accordance with the Arbitration and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Conciliation Act, 1996and shall be conducted in accordance with the rules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arbitration of the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NaniPalkhivala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Arbitration Centre, Chennai ("NPAC"), which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rules, as modified from time to time, are deemed to be incorporated by reference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into this clause (the “Arbitration Rules”) by an arbitration panel comprising of a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sole arbitrator. The language of the arbitration shall be English and the decision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arbitrator shall be final and binding on the Parties. The venue of Arbitration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shall be Chennai. Both Parties irrevocably submit to the exclusive jurisdiction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Courts in Chennai, for any action or proceeding regarding this MOU. Nothing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herein shall prohibit either Party from seeking a temporary restraining order,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preliminary injunction or other provisional relief if, in its judgment, such action is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necessary to avoid irreparable damage, to preserve the status quo or to prevent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dissemination of Confidential Information or protection of its intellectual property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or from bringing and pursuing legal action to specifically enforce the provisions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this Section X.</w:t>
      </w:r>
    </w:p>
    <w:p w:rsidR="00C63755" w:rsidRPr="00335D30" w:rsidRDefault="001F4BD4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 xml:space="preserve">XI) </w:t>
      </w:r>
      <w:r w:rsidR="00C63755" w:rsidRPr="00335D30">
        <w:rPr>
          <w:rFonts w:ascii="Times New Roman" w:hAnsi="Times New Roman" w:cs="Times New Roman"/>
          <w:b/>
          <w:bCs/>
          <w:sz w:val="24"/>
          <w:szCs w:val="24"/>
        </w:rPr>
        <w:t>NOTICES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All notices, requests, demands and other communications under this MOU or in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connection herewith shall be in writing given to or made upon the respective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Parties as follows and will be effective: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upon actual delivery if presented personally or sent by express overnight courier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(with a signature acknowledging receipt), or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seven days following deposit in the mail if sent by certified or registered mail,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postage prepaid, return receipt requested.: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To TCS: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Attention: Dr. K M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Suceendran</w:t>
      </w:r>
      <w:proofErr w:type="spellEnd"/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Head — Academic Alliances /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Academie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>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Tata Consultancy Services Ltd,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Mailto: sucee.k@tcs.com »/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To Institute: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Attention: Prof. Dr. G.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Sriram</w:t>
      </w:r>
      <w:proofErr w:type="spellEnd"/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Registrar in-charge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Sri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Chandrasekharendra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Saraswathi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Viswa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Mahavidyalaya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>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(Deemed to be University)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registrar@kanchiuniv.ac.in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Or to such other person or addresses as any of the parties shall have notified to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other party. All notices, requests, demands and other communications given or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made in accordance with the provisions of this MOU shall be in writing by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registered letter, fax or telegram.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XII) NON SOLICITATION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During the term of this MOU and for a period of twelve (12) months thereafter,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Institute agrees not to hire, recruit, solicit or otherwise employ any employee or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representative of TCS involved in the performance of its obligations pursuant to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this MOU.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1F4BD4" w:rsidRPr="00335D30">
        <w:rPr>
          <w:rFonts w:ascii="Times New Roman" w:hAnsi="Times New Roman" w:cs="Times New Roman"/>
          <w:b/>
          <w:bCs/>
          <w:sz w:val="24"/>
          <w:szCs w:val="24"/>
        </w:rPr>
        <w:t>III)</w:t>
      </w:r>
      <w:r w:rsidRPr="00335D30">
        <w:rPr>
          <w:rFonts w:ascii="Times New Roman" w:hAnsi="Times New Roman" w:cs="Times New Roman"/>
          <w:b/>
          <w:bCs/>
          <w:sz w:val="24"/>
          <w:szCs w:val="24"/>
        </w:rPr>
        <w:t xml:space="preserve"> FORCE MAJEURE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Neither Party shall be liable for any failure or delay in the performance of its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obligations under this MOU to the extent such failure or delay or both is caused,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directly or indirectly, without fault by such Party, by any reason beyond its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reasonable control. including but not limited to, by fire, flood, explosion,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earthquake, elements of nature, drought or bad weather, lightning or acts of God,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acts of state, strikes, acts of war (whether declared or not), hostilities, terrorism,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riots, civil disorders or commotion, lockouts, industrial disputes, rebellions or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revolutions. blockages; quarantines, embargoes and other similar governmental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action (each a "Force Majeure Event"). Any Party so delayed in its performance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will immediately notify the other by telephone or by the </w:t>
      </w:r>
      <w:proofErr w:type="gramStart"/>
      <w:r w:rsidRPr="00335D30">
        <w:rPr>
          <w:rFonts w:ascii="Times New Roman" w:hAnsi="Times New Roman" w:cs="Times New Roman"/>
          <w:sz w:val="24"/>
          <w:szCs w:val="24"/>
        </w:rPr>
        <w:t>most timely</w:t>
      </w:r>
      <w:proofErr w:type="gramEnd"/>
      <w:r w:rsidRPr="00335D30">
        <w:rPr>
          <w:rFonts w:ascii="Times New Roman" w:hAnsi="Times New Roman" w:cs="Times New Roman"/>
          <w:sz w:val="24"/>
          <w:szCs w:val="24"/>
        </w:rPr>
        <w:t xml:space="preserve"> means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otherwise available (to be confirmed in writing within ten (10) Business Days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inception of such delay) and describe in reasonable detail the circumstances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causing such delay with relevant documentary supporting. </w:t>
      </w:r>
      <w:proofErr w:type="gramStart"/>
      <w:r w:rsidRPr="00335D30">
        <w:rPr>
          <w:rFonts w:ascii="Times New Roman" w:hAnsi="Times New Roman" w:cs="Times New Roman"/>
          <w:sz w:val="24"/>
          <w:szCs w:val="24"/>
        </w:rPr>
        <w:t>However</w:t>
      </w:r>
      <w:proofErr w:type="gramEnd"/>
      <w:r w:rsidRPr="00335D30">
        <w:rPr>
          <w:rFonts w:ascii="Times New Roman" w:hAnsi="Times New Roman" w:cs="Times New Roman"/>
          <w:sz w:val="24"/>
          <w:szCs w:val="24"/>
        </w:rPr>
        <w:t xml:space="preserve"> the Party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claiming such event shall take all necessary steps to mitigate the delay so caused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 spite of such Force Majeure Event.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XIV) AUTHORITY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Each signatory to this MOU represents and warrants that he/she is duly authorized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by the Party for and on whose behalf he/she is signing this MOU to execute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same in a manner binding upon said Party and that all approvals, permissions and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procedures necessary for vesting such authority in him/her have been duly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complied with.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XV) NO WAIVER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Either Party’s failure to exercise any right under this MOU shall not constitute a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waiver of any other terms or conditions of this MOU with respect to any other or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subsequent breach, or a waiver by such Party of its right at any time thereafter to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require exact and strict compliance with the terms of this MOU. In order to be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effective, all waivers under this MOU must be in writing and signed by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waiving Party.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XVI) TATA CODE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The business activities of TCS are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self regulated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 xml:space="preserve"> by the “Tata Code of Conduct”.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Institute undertakes that it will ensure compliance with the Code in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performance of this MOU and promptly report any violation or potential violation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of the Code by any person to the Local Ethics Counselor or the Principal Ethics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lastRenderedPageBreak/>
        <w:t>Counselor or the CEO of TCS. A copy of the Tata Code of Conduct is available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at: https://www.tcs.comi/tata-code-of-conduct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XV</w:t>
      </w:r>
      <w:r w:rsidR="001F4BD4" w:rsidRPr="00335D30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Pr="00335D30">
        <w:rPr>
          <w:rFonts w:ascii="Times New Roman" w:hAnsi="Times New Roman" w:cs="Times New Roman"/>
          <w:b/>
          <w:bCs/>
          <w:sz w:val="24"/>
          <w:szCs w:val="24"/>
        </w:rPr>
        <w:t>) SURVIVAL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clauses of this MOU, including without limitation, confidentiality and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intellectual property right obligations, limitation of liability, governing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law/arbitration, notice which by their very nature ought to survive termination or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expiration of this Agreement, shall so survive.</w:t>
      </w:r>
    </w:p>
    <w:p w:rsidR="00C63755" w:rsidRPr="00335D30" w:rsidRDefault="001F4BD4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 xml:space="preserve">XVIII) </w:t>
      </w:r>
      <w:r w:rsidR="00C63755" w:rsidRPr="00335D30">
        <w:rPr>
          <w:rFonts w:ascii="Times New Roman" w:hAnsi="Times New Roman" w:cs="Times New Roman"/>
          <w:b/>
          <w:bCs/>
          <w:sz w:val="24"/>
          <w:szCs w:val="24"/>
        </w:rPr>
        <w:t>SEVERALTY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If any clause or term of this MOU be declared null and void and or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unconstitutional or unenforceable, such clause or term shall be modified to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extent necessary to make it valid and enforceable whilst preserving the intent of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the Parties and the remaining terms and the MOU shall continue to operate and be</w:t>
      </w:r>
    </w:p>
    <w:p w:rsidR="00C63755" w:rsidRPr="00335D30" w:rsidRDefault="001F4BD4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binding on the Parties.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D30">
        <w:rPr>
          <w:rFonts w:ascii="Times New Roman" w:hAnsi="Times New Roman" w:cs="Times New Roman"/>
          <w:b/>
          <w:bCs/>
          <w:sz w:val="24"/>
          <w:szCs w:val="24"/>
        </w:rPr>
        <w:t>XIX) ENTIRE AGREEMENT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- This MOU, along with the schedules, annexures and exhibits, if any, attached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hereto, sets forth the entire agreement between the Parties and supersedes any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other prior or contemporaneous proposals, agreements and representations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between them related to its subject matter, whether written or oral, between the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Parties and all amendments and extensions thereof, which shall be deemed to be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superseded by this Agreement. No modifications or amendments to this MOU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shall be binding upon the Parties unless made in writing and duly executed by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authorized officials of both Parties.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IN WITNESS WHEREOF, each of the parties hereto have caused this MOU to be duly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executed by a duly authorized representative of such party as of the date first above written.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TATA CONSULTANCY SERVICES LTD. </w:t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Pr="00335D30">
        <w:rPr>
          <w:rFonts w:ascii="Times New Roman" w:hAnsi="Times New Roman" w:cs="Times New Roman"/>
          <w:sz w:val="24"/>
          <w:szCs w:val="24"/>
        </w:rPr>
        <w:t>SRI CHANDRASEKHARENDRA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(TCS) </w:t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Pr="00335D30">
        <w:rPr>
          <w:rFonts w:ascii="Times New Roman" w:hAnsi="Times New Roman" w:cs="Times New Roman"/>
          <w:sz w:val="24"/>
          <w:szCs w:val="24"/>
        </w:rPr>
        <w:t>SARASWATHIVISWA</w:t>
      </w:r>
    </w:p>
    <w:p w:rsidR="00C63755" w:rsidRPr="00335D30" w:rsidRDefault="00C63755" w:rsidP="00335D30">
      <w:pPr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MAHAVIDYALAYA</w:t>
      </w:r>
    </w:p>
    <w:p w:rsidR="00C63755" w:rsidRPr="00335D30" w:rsidRDefault="00C63755" w:rsidP="00335D30">
      <w:pPr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(Deemed to be University)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Signature: </w:t>
      </w:r>
      <w:r w:rsidR="001F4BD4" w:rsidRPr="00335D30">
        <w:rPr>
          <w:rFonts w:ascii="Times New Roman" w:hAnsi="Times New Roman" w:cs="Times New Roman"/>
          <w:sz w:val="24"/>
          <w:szCs w:val="24"/>
        </w:rPr>
        <w:t>___________________</w:t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  <w:t>Signature: _______________________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Name: </w:t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Pr="00335D30">
        <w:rPr>
          <w:rFonts w:ascii="Times New Roman" w:hAnsi="Times New Roman" w:cs="Times New Roman"/>
          <w:sz w:val="24"/>
          <w:szCs w:val="24"/>
        </w:rPr>
        <w:t xml:space="preserve">Name: Dr. G.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Sriram</w:t>
      </w:r>
      <w:proofErr w:type="spellEnd"/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 xml:space="preserve">Title: </w:t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="001F4BD4" w:rsidRPr="00335D30">
        <w:rPr>
          <w:rFonts w:ascii="Times New Roman" w:hAnsi="Times New Roman" w:cs="Times New Roman"/>
          <w:sz w:val="24"/>
          <w:szCs w:val="24"/>
        </w:rPr>
        <w:tab/>
      </w:r>
      <w:r w:rsidRPr="00335D30">
        <w:rPr>
          <w:rFonts w:ascii="Times New Roman" w:hAnsi="Times New Roman" w:cs="Times New Roman"/>
          <w:sz w:val="24"/>
          <w:szCs w:val="24"/>
        </w:rPr>
        <w:t xml:space="preserve">Title: Registrar </w:t>
      </w:r>
      <w:proofErr w:type="spellStart"/>
      <w:r w:rsidRPr="00335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5D30">
        <w:rPr>
          <w:rFonts w:ascii="Times New Roman" w:hAnsi="Times New Roman" w:cs="Times New Roman"/>
          <w:sz w:val="24"/>
          <w:szCs w:val="24"/>
        </w:rPr>
        <w:t>/c, SCSVMV</w:t>
      </w:r>
    </w:p>
    <w:p w:rsidR="00C63755" w:rsidRPr="00335D30" w:rsidRDefault="00C63755" w:rsidP="00335D30">
      <w:pPr>
        <w:jc w:val="both"/>
        <w:rPr>
          <w:rFonts w:ascii="Times New Roman" w:hAnsi="Times New Roman" w:cs="Times New Roman"/>
          <w:sz w:val="24"/>
          <w:szCs w:val="24"/>
        </w:rPr>
      </w:pPr>
      <w:r w:rsidRPr="00335D30">
        <w:rPr>
          <w:rFonts w:ascii="Times New Roman" w:hAnsi="Times New Roman" w:cs="Times New Roman"/>
          <w:sz w:val="24"/>
          <w:szCs w:val="24"/>
        </w:rPr>
        <w:t>Date:</w:t>
      </w:r>
    </w:p>
    <w:sectPr w:rsidR="00C63755" w:rsidRPr="00335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755"/>
    <w:rsid w:val="001F4BD4"/>
    <w:rsid w:val="00335D30"/>
    <w:rsid w:val="004E5E06"/>
    <w:rsid w:val="00906EDB"/>
    <w:rsid w:val="00C6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B6A5"/>
  <w15:chartTrackingRefBased/>
  <w15:docId w15:val="{ED6CD3BB-473C-4EB4-BF98-9239A89F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17</Pages>
  <Words>4757</Words>
  <Characters>27119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seetharamanj</dc:creator>
  <cp:keywords/>
  <dc:description/>
  <cp:lastModifiedBy>seetharamanj</cp:lastModifiedBy>
  <cp:revision>2</cp:revision>
  <dcterms:created xsi:type="dcterms:W3CDTF">2025-10-15T08:38:00Z</dcterms:created>
  <dcterms:modified xsi:type="dcterms:W3CDTF">2025-10-15T09:18:00Z</dcterms:modified>
</cp:coreProperties>
</file>