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0C8" w:rsidRPr="00420EBA" w:rsidRDefault="00B110C8" w:rsidP="00B110C8">
      <w:pPr>
        <w:spacing w:after="0" w:line="360" w:lineRule="auto"/>
        <w:ind w:left="720"/>
        <w:rPr>
          <w:rFonts w:ascii="Times New Roman" w:eastAsiaTheme="majorEastAsia" w:hAnsi="Times New Roman" w:cs="Times New Roman"/>
          <w:color w:val="323E4F" w:themeColor="text2" w:themeShade="BF"/>
          <w:spacing w:val="5"/>
          <w:kern w:val="28"/>
          <w:sz w:val="20"/>
          <w:szCs w:val="20"/>
        </w:rPr>
      </w:pPr>
      <w:bookmarkStart w:id="0" w:name="_GoBack"/>
      <w:r w:rsidRPr="00420EBA">
        <w:rPr>
          <w:rFonts w:ascii="Times New Roman" w:eastAsiaTheme="majorEastAsia" w:hAnsi="Times New Roman" w:cs="Times New Roman"/>
          <w:noProof/>
          <w:color w:val="323E4F" w:themeColor="text2" w:themeShade="BF"/>
          <w:spacing w:val="5"/>
          <w:kern w:val="28"/>
          <w:sz w:val="20"/>
          <w:szCs w:val="20"/>
          <w:lang w:bidi="sa-IN"/>
        </w:rPr>
        <w:drawing>
          <wp:inline distT="0" distB="0" distL="0" distR="0" wp14:anchorId="670AE411" wp14:editId="27DC5B96">
            <wp:extent cx="5486400" cy="4152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B110C8" w:rsidRPr="00420EBA" w:rsidRDefault="00B110C8" w:rsidP="00B110C8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20EBA">
        <w:rPr>
          <w:rFonts w:ascii="Times New Roman" w:eastAsia="Times New Roman" w:hAnsi="Times New Roman" w:cs="Times New Roman"/>
          <w:b/>
          <w:sz w:val="20"/>
          <w:szCs w:val="20"/>
        </w:rPr>
        <w:t>Fig. 1.</w:t>
      </w:r>
      <w:r w:rsidRPr="00420EBA">
        <w:rPr>
          <w:rFonts w:ascii="Times New Roman" w:eastAsia="Times New Roman" w:hAnsi="Times New Roman" w:cs="Times New Roman"/>
          <w:sz w:val="20"/>
          <w:szCs w:val="20"/>
        </w:rPr>
        <w:t xml:space="preserve"> illustrates the segmentation lattice produced by the Sanskrit Heritage </w:t>
      </w:r>
      <w:proofErr w:type="spellStart"/>
      <w:r w:rsidRPr="00420EBA">
        <w:rPr>
          <w:rFonts w:ascii="Times New Roman" w:eastAsia="Times New Roman" w:hAnsi="Times New Roman" w:cs="Times New Roman"/>
          <w:sz w:val="20"/>
          <w:szCs w:val="20"/>
        </w:rPr>
        <w:t>Segmenter</w:t>
      </w:r>
      <w:proofErr w:type="spellEnd"/>
      <w:r w:rsidRPr="00420EBA">
        <w:rPr>
          <w:rFonts w:ascii="Times New Roman" w:eastAsia="Times New Roman" w:hAnsi="Times New Roman" w:cs="Times New Roman"/>
          <w:sz w:val="20"/>
          <w:szCs w:val="20"/>
        </w:rPr>
        <w:t xml:space="preserve"> (INRIA) for a single Sanskrit verse, highlighting the combinatorial explosion of grammatically valid sandhi resolutions.  Image © Gérard </w:t>
      </w:r>
      <w:proofErr w:type="spellStart"/>
      <w:r w:rsidRPr="00420EBA">
        <w:rPr>
          <w:rFonts w:ascii="Times New Roman" w:eastAsia="Times New Roman" w:hAnsi="Times New Roman" w:cs="Times New Roman"/>
          <w:sz w:val="20"/>
          <w:szCs w:val="20"/>
        </w:rPr>
        <w:t>Huet</w:t>
      </w:r>
      <w:proofErr w:type="spellEnd"/>
      <w:r w:rsidRPr="00420EBA">
        <w:rPr>
          <w:rFonts w:ascii="Times New Roman" w:eastAsia="Times New Roman" w:hAnsi="Times New Roman" w:cs="Times New Roman"/>
          <w:sz w:val="20"/>
          <w:szCs w:val="20"/>
        </w:rPr>
        <w:t>, INRIA Sanskrit Heritage Platform</w:t>
      </w:r>
    </w:p>
    <w:p w:rsidR="005D23A0" w:rsidRDefault="005D23A0"/>
    <w:sectPr w:rsidR="005D23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0C8"/>
    <w:rsid w:val="005D23A0"/>
    <w:rsid w:val="00B11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87EB46-74E4-4B26-BA97-60039510A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10C8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seetharamanj</dc:creator>
  <cp:keywords/>
  <dc:description/>
  <cp:lastModifiedBy>seetharamanj</cp:lastModifiedBy>
  <cp:revision>1</cp:revision>
  <dcterms:created xsi:type="dcterms:W3CDTF">2026-03-24T08:47:00Z</dcterms:created>
  <dcterms:modified xsi:type="dcterms:W3CDTF">2026-03-24T08:47:00Z</dcterms:modified>
</cp:coreProperties>
</file>