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04171501卢业佳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页面输入收入，得到相应的缴纳税收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</w:t>
      </w:r>
      <w:r>
        <w:rPr>
          <w:rFonts w:ascii="宋体" w:hAnsi="宋体"/>
          <w:bCs/>
          <w:sz w:val="28"/>
          <w:szCs w:val="28"/>
        </w:rPr>
        <w:t>Jsp</w:t>
      </w:r>
      <w:r>
        <w:rPr>
          <w:rFonts w:hint="eastAsia" w:ascii="宋体" w:hAnsi="宋体"/>
          <w:bCs/>
          <w:sz w:val="28"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 w:val="28"/>
          <w:szCs w:val="28"/>
        </w:rPr>
        <w:t>JavaBean</w:t>
      </w:r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计算方法：全月应纳税所得额＝月收入－1600元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级数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全月应纳税所得额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税率%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速算扣除法(元)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1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dr &lt;=500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0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 &lt;dr&lt;=3000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3000 &lt; dr &lt;=5000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4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5000 &lt; dr &lt;=20000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20,000 &lt; dr &lt;=40000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40,000 &lt; dr &lt;=60,000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3375 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7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60,000 &lt; dr &lt;=80,000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35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6375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8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80,000 &lt; dr &lt;=100,000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10375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9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dr &gt;100,000元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15375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如：月收入3000，则（3000-1600）*10%-25=115，因为3000-1600大于500小于2000，所以按10%计算后再扣除速算的部分。</w:t>
      </w:r>
    </w:p>
    <w:p/>
    <w:p>
      <w:pPr>
        <w:pStyle w:val="2"/>
        <w:numPr>
          <w:ilvl w:val="0"/>
          <w:numId w:val="1"/>
        </w:numPr>
      </w:pPr>
      <w:r>
        <w:t>关键源码（部分）</w:t>
      </w:r>
    </w:p>
    <w:p>
      <w:r>
        <w:drawing>
          <wp:inline distT="0" distB="0" distL="114300" distR="114300">
            <wp:extent cx="5934710" cy="31877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330898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7250" cy="2681605"/>
            <wp:effectExtent l="0" t="0" r="6350" b="4445"/>
            <wp:docPr id="3" name="图片 3" descr="52d03d9195919ce2910e7bdf2c5df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d03d9195919ce2910e7bdf2c5df5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69EB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hasee</cp:lastModifiedBy>
  <dcterms:modified xsi:type="dcterms:W3CDTF">2019-04-29T02:12:00Z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