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E5D65" w:rsidRDefault="000A185B" w:rsidP="000A185B">
      <w:pPr>
        <w:pStyle w:val="Title"/>
      </w:pPr>
      <w:r>
        <w:t>Cloud Application Architecture Guide</w:t>
      </w:r>
    </w:p>
    <w:p w:rsidR="000A185B" w:rsidRDefault="000A185B" w:rsidP="000A185B"/>
    <w:p w:rsidR="000A185B" w:rsidRDefault="000A185B" w:rsidP="000A185B"/>
    <w:p w:rsidR="000A185B" w:rsidRDefault="000A185B" w:rsidP="000A185B"/>
    <w:p w:rsidR="000A185B" w:rsidRDefault="000A185B" w:rsidP="000A185B"/>
    <w:p w:rsidR="000A185B" w:rsidRDefault="000A185B" w:rsidP="000A185B"/>
    <w:p w:rsidR="000A185B" w:rsidRDefault="000A185B" w:rsidP="000A185B"/>
    <w:p w:rsidR="000A185B" w:rsidRDefault="000A185B" w:rsidP="000A185B"/>
    <w:p w:rsidR="000A185B" w:rsidRDefault="000A185B" w:rsidP="000A185B"/>
    <w:p w:rsidR="000A185B" w:rsidRDefault="000A185B" w:rsidP="000A185B"/>
    <w:p w:rsidR="000A185B" w:rsidRDefault="000A185B" w:rsidP="000A185B"/>
    <w:p w:rsidR="000A185B" w:rsidRDefault="000A185B" w:rsidP="000A185B"/>
    <w:p w:rsidR="000A185B" w:rsidRDefault="000A185B" w:rsidP="000A185B"/>
    <w:p w:rsidR="000A185B" w:rsidRDefault="000A185B" w:rsidP="000A185B"/>
    <w:p w:rsidR="000A185B" w:rsidRDefault="000A185B" w:rsidP="000A185B"/>
    <w:p w:rsidR="000A185B" w:rsidRDefault="000A185B" w:rsidP="000A185B"/>
    <w:p w:rsidR="000A185B" w:rsidRDefault="000A185B" w:rsidP="000A185B"/>
    <w:p w:rsidR="000A185B" w:rsidRDefault="000A185B" w:rsidP="000A185B"/>
    <w:p w:rsidR="000A185B" w:rsidRDefault="000A185B" w:rsidP="000A185B"/>
    <w:p w:rsidR="000A185B" w:rsidRDefault="000A185B" w:rsidP="000A185B"/>
    <w:p w:rsidR="000A185B" w:rsidRDefault="000A185B" w:rsidP="000A185B"/>
    <w:p w:rsidR="000A185B" w:rsidRDefault="000A185B" w:rsidP="000A185B"/>
    <w:p w:rsidR="000A185B" w:rsidRDefault="000A185B" w:rsidP="000A185B"/>
    <w:p w:rsidR="000A185B" w:rsidRDefault="000A185B" w:rsidP="000A185B"/>
    <w:p w:rsidR="000A185B" w:rsidRDefault="000A185B" w:rsidP="000A185B"/>
    <w:p w:rsidR="000A185B" w:rsidRDefault="000A185B" w:rsidP="0018215B">
      <w:pPr>
        <w:pStyle w:val="Heading1"/>
      </w:pPr>
      <w:r>
        <w:t>N-tier architecture on virtual machines</w:t>
      </w:r>
    </w:p>
    <w:p w:rsidR="000A185B" w:rsidRDefault="000A185B" w:rsidP="000A185B">
      <w:r>
        <w:t>This section describes a recommended N-tier architecture running on VMs.</w:t>
      </w:r>
    </w:p>
    <w:p w:rsidR="000A185B" w:rsidRDefault="000A185B" w:rsidP="000A185B">
      <w:r>
        <w:rPr>
          <w:noProof/>
        </w:rPr>
        <w:drawing>
          <wp:inline distT="0" distB="0" distL="0" distR="0" wp14:anchorId="4F27EB25" wp14:editId="4974BA2A">
            <wp:extent cx="5943600" cy="2207579"/>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2207579"/>
                    </a:xfrm>
                    <a:prstGeom prst="rect">
                      <a:avLst/>
                    </a:prstGeom>
                    <a:noFill/>
                    <a:ln>
                      <a:noFill/>
                    </a:ln>
                  </pic:spPr>
                </pic:pic>
              </a:graphicData>
            </a:graphic>
          </wp:inline>
        </w:drawing>
      </w:r>
    </w:p>
    <w:p w:rsidR="000A185B" w:rsidRDefault="000A185B" w:rsidP="000A185B"/>
    <w:p w:rsidR="000A185B" w:rsidRDefault="000A185B" w:rsidP="000A185B">
      <w:r>
        <w:lastRenderedPageBreak/>
        <w:t>Each t</w:t>
      </w:r>
      <w:r w:rsidR="002347D6">
        <w:t>ier consists of two or more VMs, placed in an availability set or VM scale set.</w:t>
      </w:r>
    </w:p>
    <w:p w:rsidR="002347D6" w:rsidRDefault="002347D6" w:rsidP="000A185B">
      <w:r>
        <w:t xml:space="preserve">Each tier is also placed inside its own subnet, meaning their </w:t>
      </w:r>
      <w:r w:rsidRPr="002347D6">
        <w:rPr>
          <w:color w:val="FF0000"/>
        </w:rPr>
        <w:t xml:space="preserve">internal IP address </w:t>
      </w:r>
      <w:r>
        <w:t>fall within the same address range. That makes it easy to apply network security group (NSG) rules and route tables to individual tiers.</w:t>
      </w:r>
    </w:p>
    <w:p w:rsidR="002347D6" w:rsidRDefault="002347D6" w:rsidP="000A185B">
      <w:r>
        <w:t>Web / Business tiers are stateless.  any VM can handle any request for that tier. The data tier should consist of a replicated database. For Windows , recommend SQL server, using Always On Availability Groups for high availability. For Linux , choose a database that supports replication, such as Apache Cassandra.</w:t>
      </w:r>
    </w:p>
    <w:p w:rsidR="002347D6" w:rsidRDefault="002347D6" w:rsidP="000A185B">
      <w:r>
        <w:t>NSGs restrict access to each tier. E.g., that database tier only allows access from the business tier.</w:t>
      </w:r>
    </w:p>
    <w:p w:rsidR="002347D6" w:rsidRDefault="002347D6" w:rsidP="0018215B">
      <w:pPr>
        <w:pStyle w:val="Heading2"/>
      </w:pPr>
      <w:r>
        <w:t>Linux  N-tier application in Azure with Apache Cassandra</w:t>
      </w:r>
    </w:p>
    <w:p w:rsidR="002347D6" w:rsidRDefault="002347D6" w:rsidP="000A185B"/>
    <w:p w:rsidR="000A185B" w:rsidRDefault="00D23641" w:rsidP="000A185B">
      <w:hyperlink r:id="rId7" w:history="1">
        <w:r w:rsidR="002347D6" w:rsidRPr="00A33779">
          <w:rPr>
            <w:rStyle w:val="Hyperlink"/>
          </w:rPr>
          <w:t>https://docs.microsoft.com/en-us/azure/architecture/reference-architectures/n-tier/n-tier-cassandra</w:t>
        </w:r>
      </w:hyperlink>
    </w:p>
    <w:p w:rsidR="002347D6" w:rsidRDefault="00085190" w:rsidP="000A185B">
      <w:r>
        <w:t>This reference architecture shows how to deploy VMs and a virtual network configured for an N-tier application.</w:t>
      </w:r>
    </w:p>
    <w:p w:rsidR="00085190" w:rsidRDefault="00085190" w:rsidP="0018215B">
      <w:pPr>
        <w:pStyle w:val="Heading2"/>
      </w:pPr>
      <w:r>
        <w:lastRenderedPageBreak/>
        <w:t>Architecture</w:t>
      </w:r>
    </w:p>
    <w:p w:rsidR="008E794A" w:rsidRPr="008E794A" w:rsidRDefault="008E794A" w:rsidP="008E794A">
      <w:r>
        <w:object w:dxaOrig="11459" w:dyaOrig="599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55pt;height:244.6pt" o:ole="">
            <v:imagedata r:id="rId8" o:title=""/>
          </v:shape>
          <o:OLEObject Type="Embed" ProgID="Visio.Drawing.11" ShapeID="_x0000_i1025" DrawAspect="Content" ObjectID="_1620546485" r:id="rId9"/>
        </w:object>
      </w:r>
    </w:p>
    <w:p w:rsidR="005F0475" w:rsidRDefault="005F0475" w:rsidP="005F0475">
      <w:r>
        <w:t>The architecture has the following components:</w:t>
      </w:r>
    </w:p>
    <w:p w:rsidR="005F0475" w:rsidRDefault="008E794A" w:rsidP="005F0475">
      <w:pPr>
        <w:pStyle w:val="ListParagraph"/>
        <w:numPr>
          <w:ilvl w:val="0"/>
          <w:numId w:val="1"/>
        </w:numPr>
      </w:pPr>
      <w:r>
        <w:t>Resource group: to group resources so they can be managed by lifetime, owner, or other criteria.</w:t>
      </w:r>
    </w:p>
    <w:p w:rsidR="005F0475" w:rsidRDefault="005F0475" w:rsidP="005F0475">
      <w:pPr>
        <w:pStyle w:val="ListParagraph"/>
        <w:numPr>
          <w:ilvl w:val="0"/>
          <w:numId w:val="1"/>
        </w:numPr>
      </w:pPr>
      <w:r>
        <w:t>Virtual network(VNet) and subnets</w:t>
      </w:r>
      <w:r w:rsidR="008E794A">
        <w:t>: Every Azure VM is deployed into a VNet that can be segmented into subnets. Create a separate subnet for each tier.</w:t>
      </w:r>
    </w:p>
    <w:p w:rsidR="005F0475" w:rsidRDefault="005F0475" w:rsidP="005F0475">
      <w:pPr>
        <w:pStyle w:val="ListParagraph"/>
        <w:numPr>
          <w:ilvl w:val="0"/>
          <w:numId w:val="1"/>
        </w:numPr>
      </w:pPr>
      <w:r>
        <w:t>NSGs</w:t>
      </w:r>
      <w:r w:rsidR="008E794A">
        <w:t>: Use network security groups to restrict network traffic within the VNet.  For example, in the three-tier architecture shown here, the database tier accepts traffic from the business tier and the management subnet, but not the web front end.</w:t>
      </w:r>
    </w:p>
    <w:p w:rsidR="005F0475" w:rsidRDefault="005F0475" w:rsidP="005F0475">
      <w:pPr>
        <w:pStyle w:val="ListParagraph"/>
        <w:numPr>
          <w:ilvl w:val="0"/>
          <w:numId w:val="1"/>
        </w:numPr>
      </w:pPr>
      <w:r>
        <w:t>DDos Protection</w:t>
      </w:r>
      <w:r w:rsidR="008E794A">
        <w:t>:</w:t>
      </w:r>
    </w:p>
    <w:p w:rsidR="005F0475" w:rsidRDefault="005F0475" w:rsidP="005F0475">
      <w:pPr>
        <w:pStyle w:val="ListParagraph"/>
        <w:numPr>
          <w:ilvl w:val="0"/>
          <w:numId w:val="1"/>
        </w:numPr>
      </w:pPr>
      <w:r>
        <w:t>Virtual machines</w:t>
      </w:r>
      <w:r w:rsidR="008E794A">
        <w:t xml:space="preserve">: refer to </w:t>
      </w:r>
    </w:p>
    <w:p w:rsidR="008E794A" w:rsidRDefault="008E794A" w:rsidP="008E794A">
      <w:pPr>
        <w:pStyle w:val="ListParagraph"/>
      </w:pPr>
      <w:r>
        <w:rPr>
          <w:rFonts w:ascii="Segoe UI" w:hAnsi="Segoe UI" w:cs="Segoe UI"/>
        </w:rPr>
        <w:t xml:space="preserve">Run a Linux virtual machine on Azure- </w:t>
      </w:r>
      <w:hyperlink r:id="rId10" w:history="1">
        <w:r w:rsidRPr="00A33779">
          <w:rPr>
            <w:rStyle w:val="Hyperlink"/>
          </w:rPr>
          <w:t>https://docs.microsoft.com/en-us/azure/architecture/reference-architectures/n-tier/linux-vm</w:t>
        </w:r>
      </w:hyperlink>
    </w:p>
    <w:p w:rsidR="008E794A" w:rsidRDefault="008E794A" w:rsidP="008E794A">
      <w:pPr>
        <w:pStyle w:val="ListParagraph"/>
        <w:rPr>
          <w:rFonts w:ascii="Segoe UI" w:hAnsi="Segoe UI" w:cs="Segoe UI"/>
        </w:rPr>
      </w:pPr>
      <w:r>
        <w:rPr>
          <w:rFonts w:ascii="Segoe UI" w:hAnsi="Segoe UI" w:cs="Segoe UI"/>
        </w:rPr>
        <w:t xml:space="preserve">Run a Windows virtual machine on Azure </w:t>
      </w:r>
    </w:p>
    <w:p w:rsidR="008E794A" w:rsidRDefault="008E794A" w:rsidP="008E794A">
      <w:pPr>
        <w:pStyle w:val="ListParagraph"/>
      </w:pPr>
      <w:r w:rsidRPr="008E794A">
        <w:t>https://docs.microsoft.com/en-us/azure/architecture/reference-architectures/n-tier/windows-vm</w:t>
      </w:r>
    </w:p>
    <w:p w:rsidR="005F0475" w:rsidRDefault="005F0475" w:rsidP="005F0475">
      <w:pPr>
        <w:pStyle w:val="ListParagraph"/>
        <w:numPr>
          <w:ilvl w:val="0"/>
          <w:numId w:val="1"/>
        </w:numPr>
      </w:pPr>
      <w:r>
        <w:lastRenderedPageBreak/>
        <w:t>Availability sets</w:t>
      </w:r>
      <w:r w:rsidR="00246F68">
        <w:t>: Create an availability set for each tier, and provision at least two VMs in each tier, which makes the VMs eligible for a higher SLA</w:t>
      </w:r>
    </w:p>
    <w:p w:rsidR="005F0475" w:rsidRDefault="005F0475" w:rsidP="005F0475">
      <w:pPr>
        <w:pStyle w:val="ListParagraph"/>
        <w:numPr>
          <w:ilvl w:val="0"/>
          <w:numId w:val="1"/>
        </w:numPr>
      </w:pPr>
      <w:r>
        <w:t>Azure load balancers</w:t>
      </w:r>
      <w:r w:rsidR="00246F68">
        <w:t xml:space="preserve">: </w:t>
      </w:r>
      <w:r w:rsidR="00246F68">
        <w:rPr>
          <w:rFonts w:ascii="Segoe UI" w:hAnsi="Segoe UI" w:cs="Segoe UI"/>
        </w:rPr>
        <w:t xml:space="preserve">The </w:t>
      </w:r>
      <w:hyperlink r:id="rId11" w:history="1">
        <w:r w:rsidR="00246F68">
          <w:rPr>
            <w:rStyle w:val="Hyperlink"/>
            <w:rFonts w:ascii="Segoe UI" w:hAnsi="Segoe UI" w:cs="Segoe UI"/>
          </w:rPr>
          <w:t>load balancers</w:t>
        </w:r>
      </w:hyperlink>
      <w:r w:rsidR="00246F68">
        <w:rPr>
          <w:rFonts w:ascii="Segoe UI" w:hAnsi="Segoe UI" w:cs="Segoe UI"/>
        </w:rPr>
        <w:t xml:space="preserve"> distribute incoming Internet requests to the VM instances. Use a </w:t>
      </w:r>
      <w:hyperlink r:id="rId12" w:history="1">
        <w:r w:rsidR="00246F68">
          <w:rPr>
            <w:rStyle w:val="Hyperlink"/>
            <w:rFonts w:ascii="Segoe UI" w:hAnsi="Segoe UI" w:cs="Segoe UI"/>
          </w:rPr>
          <w:t>public load balancer</w:t>
        </w:r>
      </w:hyperlink>
      <w:r w:rsidR="00246F68">
        <w:rPr>
          <w:rFonts w:ascii="Segoe UI" w:hAnsi="Segoe UI" w:cs="Segoe UI"/>
        </w:rPr>
        <w:t xml:space="preserve"> to distribute incoming Internet traffic to the web tier, and an </w:t>
      </w:r>
      <w:hyperlink r:id="rId13" w:history="1">
        <w:r w:rsidR="00246F68">
          <w:rPr>
            <w:rStyle w:val="Hyperlink"/>
            <w:rFonts w:ascii="Segoe UI" w:hAnsi="Segoe UI" w:cs="Segoe UI"/>
          </w:rPr>
          <w:t>internal load balancer</w:t>
        </w:r>
      </w:hyperlink>
      <w:r w:rsidR="00246F68">
        <w:rPr>
          <w:rFonts w:ascii="Segoe UI" w:hAnsi="Segoe UI" w:cs="Segoe UI"/>
        </w:rPr>
        <w:t xml:space="preserve"> to distribute network traffic from the web tier to the business tier.</w:t>
      </w:r>
    </w:p>
    <w:p w:rsidR="005F0475" w:rsidRDefault="005F0475" w:rsidP="005F0475">
      <w:pPr>
        <w:pStyle w:val="ListParagraph"/>
        <w:numPr>
          <w:ilvl w:val="0"/>
          <w:numId w:val="1"/>
        </w:numPr>
      </w:pPr>
      <w:r>
        <w:t>Public IP address</w:t>
      </w:r>
      <w:r w:rsidR="00C833CF">
        <w:t>: A public IP address is needed for the public load balancer to receive Internet traffic</w:t>
      </w:r>
    </w:p>
    <w:p w:rsidR="005F0475" w:rsidRDefault="005F0475" w:rsidP="005F0475">
      <w:pPr>
        <w:pStyle w:val="ListParagraph"/>
        <w:numPr>
          <w:ilvl w:val="0"/>
          <w:numId w:val="1"/>
        </w:numPr>
      </w:pPr>
      <w:r>
        <w:t>Jumpbox</w:t>
      </w:r>
      <w:r w:rsidR="00C833CF">
        <w:t>:  Also called a bastion host. A secure VM on the network that administrators use to connect to the other VMs. The  jumpbox has an NSG that allows remote traffic only from public IP addresses on a safe list. The NSG should allow ssh traffic</w:t>
      </w:r>
    </w:p>
    <w:p w:rsidR="005F0475" w:rsidRDefault="005F0475" w:rsidP="005F0475">
      <w:pPr>
        <w:pStyle w:val="ListParagraph"/>
        <w:numPr>
          <w:ilvl w:val="0"/>
          <w:numId w:val="1"/>
        </w:numPr>
      </w:pPr>
      <w:r>
        <w:t>Apache Cassandra database</w:t>
      </w:r>
      <w:r w:rsidR="00C833CF">
        <w:t>: Porvides high availability at the data tier, by ena</w:t>
      </w:r>
      <w:r w:rsidR="0018215B">
        <w:t>bling replication and failover</w:t>
      </w:r>
    </w:p>
    <w:p w:rsidR="005F0475" w:rsidRDefault="005F0475" w:rsidP="005F0475">
      <w:pPr>
        <w:pStyle w:val="ListParagraph"/>
        <w:numPr>
          <w:ilvl w:val="0"/>
          <w:numId w:val="1"/>
        </w:numPr>
      </w:pPr>
      <w:r>
        <w:t>Azure DNS</w:t>
      </w:r>
      <w:r w:rsidR="0018215B">
        <w:t>: is a hosting service for DNS domains. It provides name resolution using Microsoft Azure infrastructure. By hosting your domains in Azure, you can manage your DNS records using the same credentials, APIs, and billing as your other Azure services.</w:t>
      </w:r>
    </w:p>
    <w:p w:rsidR="0018215B" w:rsidRPr="005F0475" w:rsidRDefault="0018215B" w:rsidP="0018215B">
      <w:pPr>
        <w:pStyle w:val="ListParagraph"/>
      </w:pPr>
    </w:p>
    <w:p w:rsidR="000A185B" w:rsidRDefault="00085190" w:rsidP="000A185B">
      <w:r>
        <w:rPr>
          <w:rFonts w:ascii="Segoe UI" w:hAnsi="Segoe UI" w:cs="Segoe UI"/>
          <w:noProof/>
        </w:rPr>
        <mc:AlternateContent>
          <mc:Choice Requires="wps">
            <w:drawing>
              <wp:inline distT="0" distB="0" distL="0" distR="0" wp14:anchorId="1E16C14A" wp14:editId="6A01FA2A">
                <wp:extent cx="304800" cy="304800"/>
                <wp:effectExtent l="0" t="0" r="0" b="0"/>
                <wp:docPr id="2" name="Rectangle 2" descr="N-tier architecture using Microsoft Azur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2" o:spid="_x0000_s1026" alt="N-tier architecture using Microsoft Azur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" filled="f" stroked="f">
                <o:lock v:ext="edit" aspectratio="t"/>
                <w10:anchorlock/>
              </v:rect>
            </w:pict>
          </mc:Fallback>
        </mc:AlternateContent>
      </w:r>
    </w:p>
    <w:p w:rsidR="000A185B" w:rsidRDefault="000A185B" w:rsidP="000A185B"/>
    <w:p w:rsidR="000A185B" w:rsidRDefault="000A185B" w:rsidP="000A185B"/>
    <w:p w:rsidR="000A185B" w:rsidRDefault="000A185B" w:rsidP="000A185B"/>
    <w:p w:rsidR="000A185B" w:rsidRDefault="000A185B" w:rsidP="000A185B"/>
    <w:p w:rsidR="000A185B" w:rsidRDefault="000A185B" w:rsidP="000A185B"/>
    <w:p w:rsidR="00940398" w:rsidRDefault="00940398" w:rsidP="000A185B"/>
    <w:p w:rsidR="00940398" w:rsidRDefault="00940398" w:rsidP="000A185B"/>
    <w:p w:rsidR="00940398" w:rsidRDefault="00940398" w:rsidP="000A185B"/>
    <w:p w:rsidR="00940398" w:rsidRDefault="00940398" w:rsidP="000A185B"/>
    <w:p w:rsidR="00940398" w:rsidRDefault="00940398" w:rsidP="000A185B"/>
    <w:p w:rsidR="00940398" w:rsidRDefault="00940398" w:rsidP="000A185B"/>
    <w:p w:rsidR="00940398" w:rsidRDefault="00940398" w:rsidP="000A185B"/>
    <w:p w:rsidR="00940398" w:rsidRDefault="00940398" w:rsidP="000A185B"/>
    <w:p w:rsidR="00940398" w:rsidRDefault="00940398" w:rsidP="000A185B"/>
    <w:p w:rsidR="00940398" w:rsidRDefault="00940398" w:rsidP="000A185B"/>
    <w:p w:rsidR="00940398" w:rsidRDefault="00940398" w:rsidP="000A185B"/>
    <w:p w:rsidR="000A185B" w:rsidRDefault="0018215B" w:rsidP="0018215B">
      <w:pPr>
        <w:pStyle w:val="Heading1"/>
      </w:pPr>
      <w:r>
        <w:t>Web-Queue-Worker Architecture style</w:t>
      </w:r>
    </w:p>
    <w:p w:rsidR="00940398" w:rsidRDefault="00940398" w:rsidP="00940398"/>
    <w:p w:rsidR="00940398" w:rsidRDefault="00940398" w:rsidP="00940398"/>
    <w:p w:rsidR="00940398" w:rsidRDefault="00940398" w:rsidP="00940398">
      <w:r>
        <w:rPr>
          <w:noProof/>
        </w:rPr>
        <w:lastRenderedPageBreak/>
        <w:drawing>
          <wp:inline distT="0" distB="0" distL="0" distR="0" wp14:anchorId="68E705A1" wp14:editId="01CFF2AB">
            <wp:extent cx="5943600" cy="2817551"/>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817551"/>
                    </a:xfrm>
                    <a:prstGeom prst="rect">
                      <a:avLst/>
                    </a:prstGeom>
                    <a:noFill/>
                    <a:ln>
                      <a:noFill/>
                    </a:ln>
                  </pic:spPr>
                </pic:pic>
              </a:graphicData>
            </a:graphic>
          </wp:inline>
        </w:drawing>
      </w:r>
    </w:p>
    <w:p w:rsidR="00940398" w:rsidRDefault="00940398" w:rsidP="00940398"/>
    <w:p w:rsidR="00940398" w:rsidRDefault="00940398" w:rsidP="00940398">
      <w:r>
        <w:t xml:space="preserve">The front end is implemented as an </w:t>
      </w:r>
      <w:r w:rsidRPr="00940398">
        <w:rPr>
          <w:color w:val="FF0000"/>
        </w:rPr>
        <w:t>Azure App Service web app</w:t>
      </w:r>
      <w:r>
        <w:t xml:space="preserve">, and the worker is implemented as a </w:t>
      </w:r>
      <w:r w:rsidRPr="00940398">
        <w:rPr>
          <w:color w:val="FF0000"/>
        </w:rPr>
        <w:t>WebJob</w:t>
      </w:r>
      <w:r>
        <w:t>. The web app and the WebJob are both associated with an App Service plan that provides the VM instances.</w:t>
      </w:r>
    </w:p>
    <w:p w:rsidR="00940398" w:rsidRDefault="00940398" w:rsidP="00940398"/>
    <w:p w:rsidR="00940398" w:rsidRDefault="008C3B20" w:rsidP="00940398">
      <w:r>
        <w:t xml:space="preserve">You can use either </w:t>
      </w:r>
      <w:r w:rsidRPr="008C3B20">
        <w:rPr>
          <w:color w:val="FF0000"/>
        </w:rPr>
        <w:t xml:space="preserve">Azure Service Bus </w:t>
      </w:r>
      <w:r>
        <w:t xml:space="preserve">or </w:t>
      </w:r>
      <w:r w:rsidRPr="008C3B20">
        <w:rPr>
          <w:color w:val="FF0000"/>
        </w:rPr>
        <w:t xml:space="preserve">Azure Storage queues </w:t>
      </w:r>
      <w:r>
        <w:t>for message Queue.</w:t>
      </w:r>
    </w:p>
    <w:p w:rsidR="008C3B20" w:rsidRDefault="008C3B20" w:rsidP="00940398">
      <w:r w:rsidRPr="008C3B20">
        <w:rPr>
          <w:color w:val="FF0000"/>
        </w:rPr>
        <w:t xml:space="preserve">Azure Redis Cache </w:t>
      </w:r>
      <w:r>
        <w:t>stores session state and other data that needs low latency access.</w:t>
      </w:r>
    </w:p>
    <w:p w:rsidR="008C3B20" w:rsidRDefault="008C3B20" w:rsidP="00940398">
      <w:r w:rsidRPr="008C3B20">
        <w:rPr>
          <w:color w:val="FF0000"/>
        </w:rPr>
        <w:t xml:space="preserve">Azure CDN </w:t>
      </w:r>
      <w:r>
        <w:t>is used to cache static content such as images, CSS, or HTML</w:t>
      </w:r>
    </w:p>
    <w:p w:rsidR="00940398" w:rsidRDefault="008C3B20" w:rsidP="00940398">
      <w:r>
        <w:t>For storage , choose the storage technologies that best fit the needs of the application. You might use multiple storage technologies (polyglot persistence).</w:t>
      </w:r>
    </w:p>
    <w:p w:rsidR="008C3B20" w:rsidRDefault="008C3B20" w:rsidP="00940398"/>
    <w:p w:rsidR="008C3B20" w:rsidRDefault="008C3B20" w:rsidP="00940398">
      <w:r>
        <w:lastRenderedPageBreak/>
        <w:t>Considerations:</w:t>
      </w:r>
    </w:p>
    <w:p w:rsidR="008C3B20" w:rsidRDefault="008C3B20" w:rsidP="00940398"/>
    <w:p w:rsidR="008C3B20" w:rsidRDefault="008C3B20" w:rsidP="00940398"/>
    <w:p w:rsidR="008C3B20" w:rsidRDefault="008C3B20" w:rsidP="00940398"/>
    <w:p w:rsidR="008C3B20" w:rsidRDefault="008C3B20" w:rsidP="00940398"/>
    <w:p w:rsidR="008C3B20" w:rsidRDefault="008C3B20" w:rsidP="008C3B20">
      <w:pPr>
        <w:pStyle w:val="Heading1"/>
      </w:pPr>
      <w:r>
        <w:t>Microservices architecture style</w:t>
      </w:r>
    </w:p>
    <w:p w:rsidR="008C3B20" w:rsidRDefault="008C3B20" w:rsidP="008C3B20">
      <w:r>
        <w:t>Consists of a collection of small, autonomous services. Each service is self-contained and should implement a single business capability</w:t>
      </w:r>
    </w:p>
    <w:p w:rsidR="008C3B20" w:rsidRDefault="008C3B20" w:rsidP="008C3B20">
      <w:r>
        <w:rPr>
          <w:noProof/>
        </w:rPr>
        <w:drawing>
          <wp:inline distT="0" distB="0" distL="0" distR="0" wp14:anchorId="219D434B" wp14:editId="292B5E6E">
            <wp:extent cx="5943600" cy="3140567"/>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140567"/>
                    </a:xfrm>
                    <a:prstGeom prst="rect">
                      <a:avLst/>
                    </a:prstGeom>
                    <a:noFill/>
                    <a:ln>
                      <a:noFill/>
                    </a:ln>
                  </pic:spPr>
                </pic:pic>
              </a:graphicData>
            </a:graphic>
          </wp:inline>
        </w:drawing>
      </w:r>
    </w:p>
    <w:p w:rsidR="008C3B20" w:rsidRDefault="008C3B20" w:rsidP="00BB1011">
      <w:pPr>
        <w:pStyle w:val="Heading2"/>
      </w:pPr>
      <w:r>
        <w:lastRenderedPageBreak/>
        <w:t>SOA  vs microservice</w:t>
      </w:r>
    </w:p>
    <w:p w:rsidR="008C3B20" w:rsidRDefault="00000256" w:rsidP="008C3B20">
      <w:pPr>
        <w:pStyle w:val="ListParagraph"/>
        <w:numPr>
          <w:ilvl w:val="0"/>
          <w:numId w:val="2"/>
        </w:numPr>
      </w:pPr>
      <w:r>
        <w:t>In a microservice architecture, services are small, independent, and loosely coupled</w:t>
      </w:r>
    </w:p>
    <w:p w:rsidR="00000256" w:rsidRDefault="00000256" w:rsidP="008C3B20">
      <w:pPr>
        <w:pStyle w:val="ListParagraph"/>
        <w:numPr>
          <w:ilvl w:val="0"/>
          <w:numId w:val="2"/>
        </w:numPr>
      </w:pPr>
      <w:r>
        <w:t>Each service is a separate codebase, which can be managed by a small development team</w:t>
      </w:r>
    </w:p>
    <w:p w:rsidR="00000256" w:rsidRDefault="00000256" w:rsidP="008C3B20">
      <w:pPr>
        <w:pStyle w:val="ListParagraph"/>
        <w:numPr>
          <w:ilvl w:val="0"/>
          <w:numId w:val="2"/>
        </w:numPr>
      </w:pPr>
      <w:r>
        <w:t>Services can be deployed independently. A team can update an existing service without rebuilding and redeploying the entire application.</w:t>
      </w:r>
    </w:p>
    <w:p w:rsidR="00000256" w:rsidRDefault="00000256" w:rsidP="008C3B20">
      <w:pPr>
        <w:pStyle w:val="ListParagraph"/>
        <w:numPr>
          <w:ilvl w:val="0"/>
          <w:numId w:val="2"/>
        </w:numPr>
      </w:pPr>
      <w:r>
        <w:t>Services are responsible for persisting their own data or external state. This differs from the traditional model, where a separate data layer handles data persistence</w:t>
      </w:r>
    </w:p>
    <w:p w:rsidR="00000256" w:rsidRDefault="00000256" w:rsidP="008C3B20">
      <w:pPr>
        <w:pStyle w:val="ListParagraph"/>
        <w:numPr>
          <w:ilvl w:val="0"/>
          <w:numId w:val="2"/>
        </w:numPr>
      </w:pPr>
      <w:r>
        <w:t>Services communicate with each other by using well-defined APIs. Internal implementation details of each service are hidden from other services.</w:t>
      </w:r>
    </w:p>
    <w:p w:rsidR="00000256" w:rsidRDefault="00000256" w:rsidP="008C3B20">
      <w:pPr>
        <w:pStyle w:val="ListParagraph"/>
        <w:numPr>
          <w:ilvl w:val="0"/>
          <w:numId w:val="2"/>
        </w:numPr>
      </w:pPr>
      <w:r>
        <w:t>Services don’t need to share the same technology stack, libraries, or frameworks.</w:t>
      </w:r>
    </w:p>
    <w:p w:rsidR="008277FA" w:rsidRDefault="008277FA" w:rsidP="008277FA">
      <w:pPr>
        <w:pStyle w:val="ListParagraph"/>
      </w:pPr>
    </w:p>
    <w:p w:rsidR="008277FA" w:rsidRDefault="008277FA" w:rsidP="008277FA">
      <w:pPr>
        <w:pStyle w:val="ListParagraph"/>
      </w:pPr>
      <w:r>
        <w:t>Additional components appear in a typical microservices architecture:</w:t>
      </w:r>
    </w:p>
    <w:p w:rsidR="008277FA" w:rsidRDefault="008277FA" w:rsidP="008277FA">
      <w:pPr>
        <w:pStyle w:val="ListParagraph"/>
        <w:numPr>
          <w:ilvl w:val="0"/>
          <w:numId w:val="2"/>
        </w:numPr>
      </w:pPr>
      <w:r>
        <w:t>Management</w:t>
      </w:r>
    </w:p>
    <w:p w:rsidR="008277FA" w:rsidRDefault="008277FA" w:rsidP="008277FA">
      <w:pPr>
        <w:pStyle w:val="ListParagraph"/>
        <w:numPr>
          <w:ilvl w:val="0"/>
          <w:numId w:val="2"/>
        </w:numPr>
      </w:pPr>
      <w:r>
        <w:t>Service discovery</w:t>
      </w:r>
    </w:p>
    <w:p w:rsidR="008277FA" w:rsidRDefault="008277FA" w:rsidP="008277FA">
      <w:pPr>
        <w:pStyle w:val="ListParagraph"/>
        <w:numPr>
          <w:ilvl w:val="0"/>
          <w:numId w:val="2"/>
        </w:numPr>
      </w:pPr>
      <w:r>
        <w:t>API Gateway:  advantage of using API</w:t>
      </w:r>
    </w:p>
    <w:p w:rsidR="008277FA" w:rsidRDefault="008277FA" w:rsidP="008277FA">
      <w:pPr>
        <w:pStyle w:val="ListParagraph"/>
      </w:pPr>
    </w:p>
    <w:p w:rsidR="008277FA" w:rsidRDefault="008277FA" w:rsidP="00BB1011">
      <w:pPr>
        <w:pStyle w:val="Heading2"/>
      </w:pPr>
      <w:r>
        <w:t>When to use this architecture:</w:t>
      </w:r>
    </w:p>
    <w:p w:rsidR="008277FA" w:rsidRDefault="008277FA" w:rsidP="00BB1011">
      <w:pPr>
        <w:pStyle w:val="Heading2"/>
      </w:pPr>
      <w:r>
        <w:t>Benefits:</w:t>
      </w:r>
    </w:p>
    <w:p w:rsidR="008277FA" w:rsidRDefault="008277FA" w:rsidP="00BB1011">
      <w:pPr>
        <w:pStyle w:val="Heading2"/>
      </w:pPr>
      <w:r>
        <w:t>Challenges:</w:t>
      </w:r>
    </w:p>
    <w:p w:rsidR="008277FA" w:rsidRDefault="008277FA" w:rsidP="008277FA">
      <w:pPr>
        <w:pStyle w:val="ListParagraph"/>
        <w:numPr>
          <w:ilvl w:val="0"/>
          <w:numId w:val="2"/>
        </w:numPr>
      </w:pPr>
      <w:r>
        <w:t>Complexity, entire system</w:t>
      </w:r>
    </w:p>
    <w:p w:rsidR="008277FA" w:rsidRDefault="008277FA" w:rsidP="008277FA">
      <w:pPr>
        <w:pStyle w:val="ListParagraph"/>
        <w:numPr>
          <w:ilvl w:val="0"/>
          <w:numId w:val="2"/>
        </w:numPr>
      </w:pPr>
      <w:r>
        <w:t>Development and test</w:t>
      </w:r>
      <w:r w:rsidR="00BB1011">
        <w:t>:  services dependencies</w:t>
      </w:r>
    </w:p>
    <w:p w:rsidR="00BB1011" w:rsidRDefault="00BB1011" w:rsidP="008277FA">
      <w:pPr>
        <w:pStyle w:val="ListParagraph"/>
        <w:numPr>
          <w:ilvl w:val="0"/>
          <w:numId w:val="2"/>
        </w:numPr>
      </w:pPr>
      <w:r>
        <w:t>Lack of governance: cross-cutting functionality such as logging</w:t>
      </w:r>
    </w:p>
    <w:p w:rsidR="00BB1011" w:rsidRDefault="00BB1011" w:rsidP="008277FA">
      <w:pPr>
        <w:pStyle w:val="ListParagraph"/>
        <w:numPr>
          <w:ilvl w:val="0"/>
          <w:numId w:val="2"/>
        </w:numPr>
      </w:pPr>
      <w:r>
        <w:t xml:space="preserve">Network congestion and latency:  </w:t>
      </w:r>
    </w:p>
    <w:p w:rsidR="00BB1011" w:rsidRDefault="00BB1011" w:rsidP="00BB1011">
      <w:pPr>
        <w:pStyle w:val="ListParagraph"/>
        <w:numPr>
          <w:ilvl w:val="1"/>
          <w:numId w:val="2"/>
        </w:numPr>
      </w:pPr>
      <w:r>
        <w:t>avoid chain of service dependencies getting too long,</w:t>
      </w:r>
    </w:p>
    <w:p w:rsidR="00BB1011" w:rsidRDefault="00BB1011" w:rsidP="00BB1011">
      <w:pPr>
        <w:pStyle w:val="ListParagraph"/>
        <w:numPr>
          <w:ilvl w:val="1"/>
          <w:numId w:val="2"/>
        </w:numPr>
      </w:pPr>
      <w:r>
        <w:t>avoid overly chatty API, think about serialization formats</w:t>
      </w:r>
    </w:p>
    <w:p w:rsidR="00BB1011" w:rsidRDefault="00BB1011" w:rsidP="00BB1011">
      <w:pPr>
        <w:pStyle w:val="ListParagraph"/>
        <w:numPr>
          <w:ilvl w:val="1"/>
          <w:numId w:val="2"/>
        </w:numPr>
      </w:pPr>
      <w:r>
        <w:t>use asynchronous communication patterns</w:t>
      </w:r>
    </w:p>
    <w:p w:rsidR="00BB1011" w:rsidRDefault="00BB1011" w:rsidP="00BB1011">
      <w:pPr>
        <w:pStyle w:val="ListParagraph"/>
        <w:numPr>
          <w:ilvl w:val="0"/>
          <w:numId w:val="2"/>
        </w:numPr>
      </w:pPr>
      <w:r>
        <w:lastRenderedPageBreak/>
        <w:t>Data integrity. With each microservice responsible for its own data persistence. As  a result, data consistency can be a challenge,  Embrace eventual consistency where possible.</w:t>
      </w:r>
    </w:p>
    <w:p w:rsidR="00BB1011" w:rsidRDefault="00BB1011" w:rsidP="00BB1011">
      <w:pPr>
        <w:pStyle w:val="ListParagraph"/>
        <w:numPr>
          <w:ilvl w:val="0"/>
          <w:numId w:val="2"/>
        </w:numPr>
      </w:pPr>
      <w:r>
        <w:t>Management: Mature DevOps culture. Typically , logging must correlate multiple service calls for a single user operation</w:t>
      </w:r>
    </w:p>
    <w:p w:rsidR="00BB1011" w:rsidRDefault="00BB1011" w:rsidP="00BB1011">
      <w:pPr>
        <w:pStyle w:val="ListParagraph"/>
        <w:numPr>
          <w:ilvl w:val="0"/>
          <w:numId w:val="2"/>
        </w:numPr>
      </w:pPr>
      <w:r>
        <w:t>Versioning</w:t>
      </w:r>
    </w:p>
    <w:p w:rsidR="00BB1011" w:rsidRDefault="00BB1011" w:rsidP="00BB1011">
      <w:pPr>
        <w:pStyle w:val="ListParagraph"/>
        <w:numPr>
          <w:ilvl w:val="0"/>
          <w:numId w:val="2"/>
        </w:numPr>
      </w:pPr>
      <w:r>
        <w:t>Skillset</w:t>
      </w:r>
    </w:p>
    <w:p w:rsidR="00BB1011" w:rsidRDefault="00BB1011" w:rsidP="00BB1011">
      <w:pPr>
        <w:pStyle w:val="Heading2"/>
      </w:pPr>
      <w:r>
        <w:t>Best practices:</w:t>
      </w:r>
    </w:p>
    <w:p w:rsidR="00BB1011" w:rsidRDefault="00BB1011" w:rsidP="00BB1011">
      <w:pPr>
        <w:pStyle w:val="ListParagraph"/>
        <w:numPr>
          <w:ilvl w:val="0"/>
          <w:numId w:val="3"/>
        </w:numPr>
      </w:pPr>
      <w:r>
        <w:t>Model services</w:t>
      </w:r>
    </w:p>
    <w:p w:rsidR="00BB1011" w:rsidRDefault="00BB1011" w:rsidP="00BB1011">
      <w:pPr>
        <w:pStyle w:val="ListParagraph"/>
        <w:numPr>
          <w:ilvl w:val="0"/>
          <w:numId w:val="3"/>
        </w:numPr>
      </w:pPr>
      <w:r>
        <w:t>Decentralize everything</w:t>
      </w:r>
    </w:p>
    <w:p w:rsidR="00BB1011" w:rsidRDefault="00BB1011" w:rsidP="00BB1011">
      <w:pPr>
        <w:pStyle w:val="ListParagraph"/>
        <w:numPr>
          <w:ilvl w:val="0"/>
          <w:numId w:val="3"/>
        </w:numPr>
      </w:pPr>
      <w:r>
        <w:t>Data storage should be private to the service that owns the data</w:t>
      </w:r>
    </w:p>
    <w:p w:rsidR="00BB1011" w:rsidRDefault="00BB1011" w:rsidP="00BB1011">
      <w:pPr>
        <w:pStyle w:val="ListParagraph"/>
        <w:numPr>
          <w:ilvl w:val="0"/>
          <w:numId w:val="3"/>
        </w:numPr>
      </w:pPr>
      <w:r>
        <w:t>Services communicate through well-designed APIs</w:t>
      </w:r>
    </w:p>
    <w:p w:rsidR="00BB1011" w:rsidRDefault="00BB1011" w:rsidP="00BB1011">
      <w:pPr>
        <w:pStyle w:val="ListParagraph"/>
        <w:numPr>
          <w:ilvl w:val="0"/>
          <w:numId w:val="3"/>
        </w:numPr>
      </w:pPr>
      <w:r>
        <w:t>Avoid coupling between services</w:t>
      </w:r>
    </w:p>
    <w:p w:rsidR="00BB1011" w:rsidRDefault="00BB1011" w:rsidP="00BB1011">
      <w:pPr>
        <w:pStyle w:val="ListParagraph"/>
        <w:numPr>
          <w:ilvl w:val="0"/>
          <w:numId w:val="3"/>
        </w:numPr>
      </w:pPr>
      <w:r>
        <w:t>Offload cross-cutting concerns, such as authentication and SSL termination, to the gateway</w:t>
      </w:r>
    </w:p>
    <w:p w:rsidR="00BB1011" w:rsidRDefault="00BB1011" w:rsidP="00BB1011">
      <w:pPr>
        <w:pStyle w:val="ListParagraph"/>
        <w:numPr>
          <w:ilvl w:val="0"/>
          <w:numId w:val="3"/>
        </w:numPr>
      </w:pPr>
      <w:r>
        <w:t>Keep domain knowledge out of the gateway</w:t>
      </w:r>
    </w:p>
    <w:p w:rsidR="003F55FE" w:rsidRDefault="003F55FE" w:rsidP="00BB1011">
      <w:pPr>
        <w:pStyle w:val="ListParagraph"/>
        <w:numPr>
          <w:ilvl w:val="0"/>
          <w:numId w:val="3"/>
        </w:numPr>
      </w:pPr>
      <w:r>
        <w:t>Services should have loose coupling and high functional cohesion</w:t>
      </w:r>
    </w:p>
    <w:p w:rsidR="003F55FE" w:rsidRPr="00BB1011" w:rsidRDefault="003F55FE" w:rsidP="00BB1011">
      <w:pPr>
        <w:pStyle w:val="ListParagraph"/>
        <w:numPr>
          <w:ilvl w:val="0"/>
          <w:numId w:val="3"/>
        </w:numPr>
      </w:pPr>
      <w:r>
        <w:t>Isolate failures</w:t>
      </w:r>
    </w:p>
    <w:p w:rsidR="008277FA" w:rsidRPr="008C3B20" w:rsidRDefault="008277FA" w:rsidP="008277FA">
      <w:pPr>
        <w:pStyle w:val="ListParagraph"/>
      </w:pPr>
    </w:p>
    <w:p w:rsidR="0018215B" w:rsidRPr="0018215B" w:rsidRDefault="0018215B" w:rsidP="0018215B"/>
    <w:p w:rsidR="000A185B" w:rsidRDefault="003F55FE" w:rsidP="005100B7">
      <w:pPr>
        <w:pStyle w:val="Heading2"/>
      </w:pPr>
      <w:r>
        <w:t>Microservices using Azure Container Service</w:t>
      </w:r>
      <w:r w:rsidR="00C229A1">
        <w:t>/Azure Service Fabric</w:t>
      </w:r>
    </w:p>
    <w:p w:rsidR="003F55FE" w:rsidRDefault="003F55FE" w:rsidP="003F55FE"/>
    <w:p w:rsidR="003F55FE" w:rsidRDefault="003F55FE" w:rsidP="003F55FE">
      <w:r>
        <w:t>Azure Container Services supports.</w:t>
      </w:r>
    </w:p>
    <w:tbl>
      <w:tblPr>
        <w:tblStyle w:val="TableGrid"/>
        <w:tblW w:w="0" w:type="auto"/>
        <w:tblLayout w:type="fixed"/>
        <w:tblLook w:val="04A0" w:firstRow="1" w:lastRow="0" w:firstColumn="1" w:lastColumn="0" w:noHBand="0" w:noVBand="1"/>
      </w:tblPr>
      <w:tblGrid>
        <w:gridCol w:w="6228"/>
        <w:gridCol w:w="6948"/>
      </w:tblGrid>
      <w:tr w:rsidR="00C229A1" w:rsidTr="00C229A1">
        <w:tc>
          <w:tcPr>
            <w:tcW w:w="6228" w:type="dxa"/>
          </w:tcPr>
          <w:p w:rsidR="009B7131" w:rsidRDefault="00C229A1" w:rsidP="009B7131">
            <w:pPr>
              <w:rPr>
                <w:noProof/>
              </w:rPr>
            </w:pPr>
            <w:r>
              <w:rPr>
                <w:noProof/>
              </w:rPr>
              <w:t>Azure container service</w:t>
            </w:r>
            <w:r w:rsidR="009B7131">
              <w:rPr>
                <w:noProof/>
              </w:rPr>
              <w:t xml:space="preserve"> to configure and provision a Docker cluster. Azure Container Services support s</w:t>
            </w:r>
            <w:r w:rsidR="009B7131">
              <w:t>everal popular container orchestrators, including Kubernetes, DC/OS, AND Docker Swarm</w:t>
            </w:r>
          </w:p>
        </w:tc>
        <w:tc>
          <w:tcPr>
            <w:tcW w:w="6948" w:type="dxa"/>
          </w:tcPr>
          <w:p w:rsidR="00C229A1" w:rsidRDefault="00C229A1" w:rsidP="003F55FE">
            <w:pPr>
              <w:rPr>
                <w:noProof/>
              </w:rPr>
            </w:pPr>
            <w:r>
              <w:rPr>
                <w:noProof/>
              </w:rPr>
              <w:t>Azure service fabric</w:t>
            </w:r>
          </w:p>
        </w:tc>
      </w:tr>
      <w:tr w:rsidR="00C229A1" w:rsidTr="00C229A1">
        <w:tc>
          <w:tcPr>
            <w:tcW w:w="6228" w:type="dxa"/>
          </w:tcPr>
          <w:p w:rsidR="00C229A1" w:rsidRDefault="00C229A1" w:rsidP="003F55FE">
            <w:r>
              <w:rPr>
                <w:noProof/>
              </w:rPr>
              <w:lastRenderedPageBreak/>
              <w:drawing>
                <wp:inline distT="0" distB="0" distL="0" distR="0" wp14:anchorId="75AAC8D7" wp14:editId="33E7D4D8">
                  <wp:extent cx="3748348" cy="1863969"/>
                  <wp:effectExtent l="0" t="0" r="508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48456" cy="1864023"/>
                          </a:xfrm>
                          <a:prstGeom prst="rect">
                            <a:avLst/>
                          </a:prstGeom>
                          <a:noFill/>
                          <a:ln>
                            <a:noFill/>
                          </a:ln>
                        </pic:spPr>
                      </pic:pic>
                    </a:graphicData>
                  </a:graphic>
                </wp:inline>
              </w:drawing>
            </w:r>
          </w:p>
        </w:tc>
        <w:tc>
          <w:tcPr>
            <w:tcW w:w="6948" w:type="dxa"/>
          </w:tcPr>
          <w:p w:rsidR="00C229A1" w:rsidRDefault="00C229A1" w:rsidP="003F55FE">
            <w:r>
              <w:rPr>
                <w:noProof/>
              </w:rPr>
              <w:drawing>
                <wp:inline distT="0" distB="0" distL="0" distR="0" wp14:anchorId="5FDD3C4E" wp14:editId="455F745F">
                  <wp:extent cx="4165464" cy="2116015"/>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65581" cy="2116075"/>
                          </a:xfrm>
                          <a:prstGeom prst="rect">
                            <a:avLst/>
                          </a:prstGeom>
                          <a:noFill/>
                          <a:ln>
                            <a:noFill/>
                          </a:ln>
                        </pic:spPr>
                      </pic:pic>
                    </a:graphicData>
                  </a:graphic>
                </wp:inline>
              </w:drawing>
            </w:r>
          </w:p>
        </w:tc>
      </w:tr>
      <w:tr w:rsidR="00C229A1" w:rsidTr="00C229A1">
        <w:tc>
          <w:tcPr>
            <w:tcW w:w="6228" w:type="dxa"/>
          </w:tcPr>
          <w:p w:rsidR="00C229A1" w:rsidRDefault="00C229A1" w:rsidP="003F55FE">
            <w:r w:rsidRPr="00B90096">
              <w:rPr>
                <w:b/>
              </w:rPr>
              <w:t>Public nodes</w:t>
            </w:r>
            <w:r>
              <w:t>:</w:t>
            </w:r>
            <w:r w:rsidR="00B90096">
              <w:t xml:space="preserve"> </w:t>
            </w:r>
            <w:r>
              <w:t>Reachable through a public-facing load balancer, API gateway is hosted on these nodes.</w:t>
            </w:r>
          </w:p>
          <w:p w:rsidR="00C229A1" w:rsidRDefault="00C229A1" w:rsidP="003F55FE">
            <w:r w:rsidRPr="00B90096">
              <w:rPr>
                <w:b/>
              </w:rPr>
              <w:t>Backend nodes</w:t>
            </w:r>
            <w:r>
              <w:t>:</w:t>
            </w:r>
            <w:r w:rsidR="00B90096">
              <w:t xml:space="preserve"> </w:t>
            </w:r>
            <w:r>
              <w:t>Run services that clients reach via the API gateway.</w:t>
            </w:r>
          </w:p>
          <w:p w:rsidR="00C229A1" w:rsidRDefault="00C229A1" w:rsidP="003F55FE">
            <w:r w:rsidRPr="00B90096">
              <w:rPr>
                <w:b/>
              </w:rPr>
              <w:t>Management VMs</w:t>
            </w:r>
            <w:r>
              <w:t>: run the master nodes for the container orchestrator.</w:t>
            </w:r>
          </w:p>
          <w:p w:rsidR="00C229A1" w:rsidRDefault="00C229A1" w:rsidP="003F55FE">
            <w:r w:rsidRPr="00B90096">
              <w:rPr>
                <w:b/>
              </w:rPr>
              <w:t>Networking</w:t>
            </w:r>
            <w:r>
              <w:t>: public nodes, backend nodes and management VMs are placed in separate subnets within the same virtual network(VNet)</w:t>
            </w:r>
          </w:p>
          <w:p w:rsidR="00C229A1" w:rsidRDefault="00C229A1" w:rsidP="003F55FE">
            <w:r w:rsidRPr="00B90096">
              <w:rPr>
                <w:b/>
              </w:rPr>
              <w:t>Load balancers</w:t>
            </w:r>
            <w:r>
              <w:t xml:space="preserve">:1, An </w:t>
            </w:r>
            <w:r w:rsidR="00B90096">
              <w:t xml:space="preserve">externally </w:t>
            </w:r>
            <w:r>
              <w:t xml:space="preserve">facing </w:t>
            </w:r>
            <w:r w:rsidR="00B90096">
              <w:t>load balancer sits in front of the public nodes. It distributes internet requests to the public nodes. 2, Another load balancer is placed in front of the management VMs, to allow secure shell(ssh) traffic to the management VMs, using NAT rules</w:t>
            </w:r>
          </w:p>
          <w:p w:rsidR="00B90096" w:rsidRDefault="00B90096" w:rsidP="003F55FE"/>
          <w:p w:rsidR="00B90096" w:rsidRDefault="00B90096" w:rsidP="003F55FE">
            <w:r w:rsidRPr="00B90096">
              <w:rPr>
                <w:b/>
              </w:rPr>
              <w:t>Examples</w:t>
            </w:r>
            <w:r>
              <w:t>: three nodes running 4 different services, each service has at least two instances.</w:t>
            </w:r>
          </w:p>
          <w:p w:rsidR="00B90096" w:rsidRDefault="00B90096" w:rsidP="003F55FE">
            <w:r>
              <w:rPr>
                <w:noProof/>
              </w:rPr>
              <w:lastRenderedPageBreak/>
              <w:drawing>
                <wp:inline distT="0" distB="0" distL="0" distR="0">
                  <wp:extent cx="3071495" cy="94361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71495" cy="943610"/>
                          </a:xfrm>
                          <a:prstGeom prst="rect">
                            <a:avLst/>
                          </a:prstGeom>
                          <a:noFill/>
                          <a:ln>
                            <a:noFill/>
                          </a:ln>
                        </pic:spPr>
                      </pic:pic>
                    </a:graphicData>
                  </a:graphic>
                </wp:inline>
              </w:drawing>
            </w:r>
          </w:p>
          <w:p w:rsidR="00B90096" w:rsidRDefault="00B90096" w:rsidP="003F55FE"/>
        </w:tc>
        <w:tc>
          <w:tcPr>
            <w:tcW w:w="6948" w:type="dxa"/>
          </w:tcPr>
          <w:p w:rsidR="00C229A1" w:rsidRDefault="009B7131" w:rsidP="009B7131">
            <w:pPr>
              <w:pStyle w:val="ListParagraph"/>
              <w:numPr>
                <w:ilvl w:val="0"/>
                <w:numId w:val="4"/>
              </w:numPr>
            </w:pPr>
            <w:r>
              <w:lastRenderedPageBreak/>
              <w:t>The Service Fabric Cluster is deployed to one or more VM scale sets.</w:t>
            </w:r>
          </w:p>
          <w:p w:rsidR="009B7131" w:rsidRDefault="009B7131" w:rsidP="009B7131">
            <w:pPr>
              <w:pStyle w:val="ListParagraph"/>
              <w:numPr>
                <w:ilvl w:val="0"/>
                <w:numId w:val="4"/>
              </w:numPr>
            </w:pPr>
            <w:r>
              <w:t>API gateway is placed in front of the Service Fabric cluster, with and external load balancer to receive client requests</w:t>
            </w:r>
          </w:p>
          <w:p w:rsidR="009B7131" w:rsidRDefault="009B7131" w:rsidP="009B7131">
            <w:pPr>
              <w:pStyle w:val="ListParagraph"/>
              <w:numPr>
                <w:ilvl w:val="0"/>
                <w:numId w:val="4"/>
              </w:numPr>
            </w:pPr>
            <w:r>
              <w:t>Service Fabric</w:t>
            </w:r>
            <w:r>
              <w:t xml:space="preserve"> runtime performs cluster management, including service placement, node failover, and health monitoring. </w:t>
            </w:r>
          </w:p>
          <w:p w:rsidR="00A84484" w:rsidRDefault="009B7131" w:rsidP="009B7131">
            <w:pPr>
              <w:pStyle w:val="ListParagraph"/>
              <w:numPr>
                <w:ilvl w:val="0"/>
                <w:numId w:val="4"/>
              </w:numPr>
            </w:pPr>
            <w:r>
              <w:t xml:space="preserve">Services communicate with each other using the reverse proxy that is built into </w:t>
            </w:r>
            <w:r>
              <w:t>Service Fabric</w:t>
            </w:r>
            <w:r>
              <w:t xml:space="preserve">. </w:t>
            </w:r>
          </w:p>
          <w:p w:rsidR="009B7131" w:rsidRDefault="009B7131" w:rsidP="009B7131">
            <w:pPr>
              <w:pStyle w:val="ListParagraph"/>
              <w:numPr>
                <w:ilvl w:val="0"/>
                <w:numId w:val="4"/>
              </w:numPr>
            </w:pPr>
            <w:r>
              <w:t>Service Fabric</w:t>
            </w:r>
            <w:r w:rsidR="00A84484">
              <w:t xml:space="preserve"> provides a discovery service that can resolve the endpoint for a named service</w:t>
            </w:r>
          </w:p>
          <w:p w:rsidR="009B7131" w:rsidRDefault="009B7131" w:rsidP="003F55FE"/>
        </w:tc>
      </w:tr>
    </w:tbl>
    <w:p w:rsidR="00C229A1" w:rsidRDefault="00C229A1" w:rsidP="003F55FE"/>
    <w:p w:rsidR="003F55FE" w:rsidRDefault="003F55FE" w:rsidP="003F55FE"/>
    <w:p w:rsidR="00ED07AC" w:rsidRDefault="00ED07AC" w:rsidP="003F55FE"/>
    <w:p w:rsidR="000A185B" w:rsidRDefault="00645FC8" w:rsidP="00645FC8">
      <w:pPr>
        <w:pStyle w:val="Heading1"/>
      </w:pPr>
      <w:r>
        <w:t>CQRS architecture style</w:t>
      </w:r>
    </w:p>
    <w:p w:rsidR="00645FC8" w:rsidRDefault="00645FC8" w:rsidP="00645FC8">
      <w:r>
        <w:t>Separated read operations from write operations</w:t>
      </w:r>
    </w:p>
    <w:p w:rsidR="00645FC8" w:rsidRDefault="00645FC8" w:rsidP="00645FC8">
      <w:r>
        <w:rPr>
          <w:noProof/>
        </w:rPr>
        <w:lastRenderedPageBreak/>
        <w:drawing>
          <wp:inline distT="0" distB="0" distL="0" distR="0">
            <wp:extent cx="6213475" cy="4419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13475" cy="4419600"/>
                    </a:xfrm>
                    <a:prstGeom prst="rect">
                      <a:avLst/>
                    </a:prstGeom>
                    <a:noFill/>
                    <a:ln>
                      <a:noFill/>
                    </a:ln>
                  </pic:spPr>
                </pic:pic>
              </a:graphicData>
            </a:graphic>
          </wp:inline>
        </w:drawing>
      </w:r>
    </w:p>
    <w:p w:rsidR="00F40C01" w:rsidRDefault="00F40C01" w:rsidP="00645FC8">
      <w:r>
        <w:t>In traditional architectures, the same data model is used to query and update a database. That’s simple and works well for basic CRUD operations.</w:t>
      </w:r>
    </w:p>
    <w:p w:rsidR="00F40C01" w:rsidRDefault="00F40C01" w:rsidP="00645FC8">
      <w:r>
        <w:t>Complex applications, however, this approach can become unwieldy. On read side, the app may perform many different queries, retruning data transfer objects(DTOs) with different shapes. Object mapping can become complicated.</w:t>
      </w:r>
    </w:p>
    <w:p w:rsidR="00F40C01" w:rsidRDefault="00F40C01" w:rsidP="00645FC8">
      <w:r>
        <w:t>On the write side, the model may implement complex validation and business logic.</w:t>
      </w:r>
    </w:p>
    <w:p w:rsidR="00F40C01" w:rsidRDefault="00F40C01" w:rsidP="00F40C01">
      <w:pPr>
        <w:autoSpaceDE w:val="0"/>
        <w:autoSpaceDN w:val="0"/>
        <w:adjustRightInd w:val="0"/>
        <w:spacing w:after="0" w:line="240" w:lineRule="auto"/>
        <w:rPr>
          <w:rFonts w:ascii="SegoeUI" w:hAnsi="SegoeUI" w:cs="SegoeUI"/>
          <w:sz w:val="20"/>
          <w:szCs w:val="20"/>
        </w:rPr>
      </w:pPr>
      <w:r>
        <w:rPr>
          <w:rFonts w:ascii="SegoeUI" w:hAnsi="SegoeUI" w:cs="SegoeUI"/>
          <w:sz w:val="20"/>
          <w:szCs w:val="20"/>
        </w:rPr>
        <w:lastRenderedPageBreak/>
        <w:t>Another potential problem is that read and write workloads are often asymmetrical, with very</w:t>
      </w:r>
      <w:r>
        <w:rPr>
          <w:rFonts w:ascii="SegoeUI" w:hAnsi="SegoeUI" w:cs="SegoeUI"/>
          <w:sz w:val="20"/>
          <w:szCs w:val="20"/>
        </w:rPr>
        <w:t xml:space="preserve"> </w:t>
      </w:r>
      <w:r>
        <w:rPr>
          <w:rFonts w:ascii="SegoeUI" w:hAnsi="SegoeUI" w:cs="SegoeUI"/>
          <w:sz w:val="20"/>
          <w:szCs w:val="20"/>
        </w:rPr>
        <w:t>different performance and scale requirements.</w:t>
      </w:r>
    </w:p>
    <w:p w:rsidR="00F40C01" w:rsidRDefault="00F40C01" w:rsidP="00F40C01">
      <w:pPr>
        <w:autoSpaceDE w:val="0"/>
        <w:autoSpaceDN w:val="0"/>
        <w:adjustRightInd w:val="0"/>
        <w:spacing w:after="0" w:line="240" w:lineRule="auto"/>
        <w:rPr>
          <w:rFonts w:ascii="SegoeUI" w:hAnsi="SegoeUI" w:cs="SegoeUI"/>
          <w:sz w:val="20"/>
          <w:szCs w:val="20"/>
        </w:rPr>
      </w:pPr>
    </w:p>
    <w:p w:rsidR="00F40C01" w:rsidRDefault="00F40C01" w:rsidP="00F40C01">
      <w:pPr>
        <w:autoSpaceDE w:val="0"/>
        <w:autoSpaceDN w:val="0"/>
        <w:adjustRightInd w:val="0"/>
        <w:spacing w:after="0" w:line="240" w:lineRule="auto"/>
        <w:rPr>
          <w:rFonts w:ascii="SegoeUI" w:hAnsi="SegoeUI" w:cs="SegoeUI"/>
          <w:sz w:val="20"/>
          <w:szCs w:val="20"/>
        </w:rPr>
      </w:pPr>
      <w:r>
        <w:rPr>
          <w:rFonts w:ascii="SegoeUI" w:hAnsi="SegoeUI" w:cs="SegoeUI"/>
          <w:sz w:val="20"/>
          <w:szCs w:val="20"/>
        </w:rPr>
        <w:t>CQRS addresses these problems by separating reads and writes into separate models, using</w:t>
      </w:r>
      <w:r>
        <w:rPr>
          <w:rFonts w:ascii="SegoeUI" w:hAnsi="SegoeUI" w:cs="SegoeUI"/>
          <w:sz w:val="20"/>
          <w:szCs w:val="20"/>
        </w:rPr>
        <w:t xml:space="preserve"> </w:t>
      </w:r>
      <w:r>
        <w:rPr>
          <w:rFonts w:ascii="SegoeUI" w:hAnsi="SegoeUI" w:cs="SegoeUI"/>
          <w:sz w:val="20"/>
          <w:szCs w:val="20"/>
        </w:rPr>
        <w:t>commands to update data, and queries to read data.</w:t>
      </w:r>
    </w:p>
    <w:p w:rsidR="009A3036" w:rsidRDefault="009A3036" w:rsidP="009A3036">
      <w:pPr>
        <w:pStyle w:val="ListParagraph"/>
        <w:numPr>
          <w:ilvl w:val="0"/>
          <w:numId w:val="5"/>
        </w:numPr>
        <w:autoSpaceDE w:val="0"/>
        <w:autoSpaceDN w:val="0"/>
        <w:adjustRightInd w:val="0"/>
        <w:spacing w:after="0" w:line="240" w:lineRule="auto"/>
        <w:rPr>
          <w:rFonts w:ascii="SegoeUI" w:hAnsi="SegoeUI" w:cs="SegoeUI"/>
          <w:sz w:val="20"/>
          <w:szCs w:val="20"/>
        </w:rPr>
      </w:pPr>
      <w:r>
        <w:rPr>
          <w:rFonts w:ascii="SegoeUI" w:hAnsi="SegoeUI" w:cs="SegoeUI"/>
          <w:sz w:val="20"/>
          <w:szCs w:val="20"/>
        </w:rPr>
        <w:t>Commands should be task based, rather than data centric. (“Book hotel room”, not “set ReservationStatus to Reserved”). Command may be placed on a queue for asynchronous processing, rather than being processed synchronously.</w:t>
      </w:r>
    </w:p>
    <w:p w:rsidR="009A3036" w:rsidRDefault="009A3036" w:rsidP="009A3036">
      <w:pPr>
        <w:pStyle w:val="ListParagraph"/>
        <w:numPr>
          <w:ilvl w:val="0"/>
          <w:numId w:val="5"/>
        </w:numPr>
        <w:autoSpaceDE w:val="0"/>
        <w:autoSpaceDN w:val="0"/>
        <w:adjustRightInd w:val="0"/>
        <w:spacing w:after="0" w:line="240" w:lineRule="auto"/>
        <w:rPr>
          <w:rFonts w:ascii="SegoeUI" w:hAnsi="SegoeUI" w:cs="SegoeUI"/>
          <w:sz w:val="20"/>
          <w:szCs w:val="20"/>
        </w:rPr>
      </w:pPr>
      <w:r>
        <w:rPr>
          <w:rFonts w:ascii="SegoeUI" w:hAnsi="SegoeUI" w:cs="SegoeUI"/>
          <w:sz w:val="20"/>
          <w:szCs w:val="20"/>
        </w:rPr>
        <w:t>Queries never modify the database. A query returns a DTO that does not encapsulate any domain knowledge.</w:t>
      </w:r>
    </w:p>
    <w:p w:rsidR="00D23641" w:rsidRDefault="004B3814" w:rsidP="009A3036">
      <w:pPr>
        <w:pStyle w:val="ListParagraph"/>
        <w:numPr>
          <w:ilvl w:val="0"/>
          <w:numId w:val="5"/>
        </w:numPr>
        <w:autoSpaceDE w:val="0"/>
        <w:autoSpaceDN w:val="0"/>
        <w:adjustRightInd w:val="0"/>
        <w:spacing w:after="0" w:line="240" w:lineRule="auto"/>
        <w:rPr>
          <w:rFonts w:ascii="SegoeUI" w:hAnsi="SegoeUI" w:cs="SegoeUI"/>
          <w:sz w:val="20"/>
          <w:szCs w:val="20"/>
        </w:rPr>
      </w:pPr>
      <w:r>
        <w:rPr>
          <w:rFonts w:ascii="SegoeUI" w:hAnsi="SegoeUI" w:cs="SegoeUI"/>
          <w:sz w:val="20"/>
          <w:szCs w:val="20"/>
        </w:rPr>
        <w:t xml:space="preserve">For greater isolation, can physically separate the read data from the write data. The read database can use its own data schema that is optimized for </w:t>
      </w:r>
      <w:r w:rsidR="00D23641">
        <w:rPr>
          <w:rFonts w:ascii="SegoeUI" w:hAnsi="SegoeUI" w:cs="SegoeUI"/>
          <w:sz w:val="20"/>
          <w:szCs w:val="20"/>
        </w:rPr>
        <w:t>queries</w:t>
      </w:r>
      <w:r>
        <w:rPr>
          <w:rFonts w:ascii="SegoeUI" w:hAnsi="SegoeUI" w:cs="SegoeUI"/>
          <w:sz w:val="20"/>
          <w:szCs w:val="20"/>
        </w:rPr>
        <w:t xml:space="preserve">. </w:t>
      </w:r>
      <w:r w:rsidR="00D23641">
        <w:rPr>
          <w:rFonts w:ascii="SegoeUI" w:hAnsi="SegoeUI" w:cs="SegoeUI"/>
          <w:sz w:val="20"/>
          <w:szCs w:val="20"/>
        </w:rPr>
        <w:t xml:space="preserve"> E.g. it can store a materialized view of the data, in order to avoid complex joins or O/RM mappings.</w:t>
      </w:r>
    </w:p>
    <w:p w:rsidR="00D23641" w:rsidRDefault="00D23641" w:rsidP="009A3036">
      <w:pPr>
        <w:pStyle w:val="ListParagraph"/>
        <w:numPr>
          <w:ilvl w:val="0"/>
          <w:numId w:val="5"/>
        </w:numPr>
        <w:autoSpaceDE w:val="0"/>
        <w:autoSpaceDN w:val="0"/>
        <w:adjustRightInd w:val="0"/>
        <w:spacing w:after="0" w:line="240" w:lineRule="auto"/>
        <w:rPr>
          <w:rFonts w:ascii="SegoeUI" w:hAnsi="SegoeUI" w:cs="SegoeUI"/>
          <w:sz w:val="20"/>
          <w:szCs w:val="20"/>
        </w:rPr>
      </w:pPr>
      <w:r>
        <w:rPr>
          <w:rFonts w:ascii="SegoeUI" w:hAnsi="SegoeUI" w:cs="SegoeUI"/>
          <w:sz w:val="20"/>
          <w:szCs w:val="20"/>
        </w:rPr>
        <w:t>Even can use different types of data store, the write database might be relational, while the read database is a document database.</w:t>
      </w:r>
    </w:p>
    <w:p w:rsidR="004B3814" w:rsidRDefault="00D23641" w:rsidP="009A3036">
      <w:pPr>
        <w:pStyle w:val="ListParagraph"/>
        <w:numPr>
          <w:ilvl w:val="0"/>
          <w:numId w:val="5"/>
        </w:numPr>
        <w:autoSpaceDE w:val="0"/>
        <w:autoSpaceDN w:val="0"/>
        <w:adjustRightInd w:val="0"/>
        <w:spacing w:after="0" w:line="240" w:lineRule="auto"/>
        <w:rPr>
          <w:rFonts w:ascii="SegoeUI" w:hAnsi="SegoeUI" w:cs="SegoeUI"/>
          <w:sz w:val="20"/>
          <w:szCs w:val="20"/>
        </w:rPr>
      </w:pPr>
      <w:r>
        <w:rPr>
          <w:rFonts w:ascii="SegoeUI" w:hAnsi="SegoeUI" w:cs="SegoeUI"/>
          <w:sz w:val="20"/>
          <w:szCs w:val="20"/>
        </w:rPr>
        <w:t xml:space="preserve">Keep read and write database in sync, typically this is accomplished by having the write model publish an event whenever it updates the database. Updating the database and publishing the event must occur in a single transaction. </w:t>
      </w:r>
    </w:p>
    <w:p w:rsidR="00D23641" w:rsidRDefault="00D23641" w:rsidP="009A3036">
      <w:pPr>
        <w:pStyle w:val="ListParagraph"/>
        <w:numPr>
          <w:ilvl w:val="0"/>
          <w:numId w:val="5"/>
        </w:numPr>
        <w:autoSpaceDE w:val="0"/>
        <w:autoSpaceDN w:val="0"/>
        <w:adjustRightInd w:val="0"/>
        <w:spacing w:after="0" w:line="240" w:lineRule="auto"/>
        <w:rPr>
          <w:rFonts w:ascii="SegoeUI" w:hAnsi="SegoeUI" w:cs="SegoeUI"/>
          <w:sz w:val="20"/>
          <w:szCs w:val="20"/>
        </w:rPr>
      </w:pPr>
      <w:r>
        <w:rPr>
          <w:rFonts w:ascii="SegoeUI" w:hAnsi="SegoeUI" w:cs="SegoeUI"/>
          <w:sz w:val="20"/>
          <w:szCs w:val="20"/>
        </w:rPr>
        <w:t>Event sourcing pattern</w:t>
      </w:r>
    </w:p>
    <w:tbl>
      <w:tblPr>
        <w:tblStyle w:val="TableGrid"/>
        <w:tblW w:w="0" w:type="auto"/>
        <w:tblInd w:w="720" w:type="dxa"/>
        <w:tblLook w:val="04A0" w:firstRow="1" w:lastRow="0" w:firstColumn="1" w:lastColumn="0" w:noHBand="0" w:noVBand="1"/>
      </w:tblPr>
      <w:tblGrid>
        <w:gridCol w:w="12456"/>
      </w:tblGrid>
      <w:tr w:rsidR="00D23641" w:rsidTr="00D23641">
        <w:tc>
          <w:tcPr>
            <w:tcW w:w="13176" w:type="dxa"/>
          </w:tcPr>
          <w:p w:rsidR="00D23641" w:rsidRDefault="00D23641" w:rsidP="00D23641">
            <w:pPr>
              <w:pStyle w:val="ListParagraph"/>
              <w:autoSpaceDE w:val="0"/>
              <w:autoSpaceDN w:val="0"/>
              <w:adjustRightInd w:val="0"/>
              <w:ind w:left="0"/>
              <w:rPr>
                <w:rFonts w:ascii="SegoeUI" w:hAnsi="SegoeUI" w:cs="SegoeUI"/>
                <w:sz w:val="20"/>
                <w:szCs w:val="20"/>
              </w:rPr>
            </w:pPr>
            <w:r>
              <w:rPr>
                <w:rFonts w:ascii="SegoeUI" w:hAnsi="SegoeUI" w:cs="SegoeUI"/>
                <w:noProof/>
                <w:sz w:val="20"/>
                <w:szCs w:val="20"/>
              </w:rPr>
              <w:lastRenderedPageBreak/>
              <w:drawing>
                <wp:inline distT="0" distB="0" distL="0" distR="0">
                  <wp:extent cx="4958715" cy="4372610"/>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58715" cy="4372610"/>
                          </a:xfrm>
                          <a:prstGeom prst="rect">
                            <a:avLst/>
                          </a:prstGeom>
                          <a:noFill/>
                          <a:ln>
                            <a:noFill/>
                          </a:ln>
                        </pic:spPr>
                      </pic:pic>
                    </a:graphicData>
                  </a:graphic>
                </wp:inline>
              </w:drawing>
            </w:r>
          </w:p>
        </w:tc>
      </w:tr>
    </w:tbl>
    <w:p w:rsidR="00D23641" w:rsidRPr="009A3036" w:rsidRDefault="00D23641" w:rsidP="00D23641">
      <w:pPr>
        <w:pStyle w:val="ListParagraph"/>
        <w:autoSpaceDE w:val="0"/>
        <w:autoSpaceDN w:val="0"/>
        <w:adjustRightInd w:val="0"/>
        <w:spacing w:after="0" w:line="240" w:lineRule="auto"/>
        <w:rPr>
          <w:rFonts w:ascii="SegoeUI" w:hAnsi="SegoeUI" w:cs="SegoeUI"/>
          <w:sz w:val="20"/>
          <w:szCs w:val="20"/>
        </w:rPr>
      </w:pPr>
    </w:p>
    <w:p w:rsidR="00D23641" w:rsidRDefault="00D23641" w:rsidP="00AC146A">
      <w:pPr>
        <w:pStyle w:val="Heading2"/>
      </w:pPr>
      <w:r>
        <w:t>When to use CQRS</w:t>
      </w:r>
    </w:p>
    <w:p w:rsidR="00D23641" w:rsidRDefault="00D23641" w:rsidP="00D23641">
      <w:r>
        <w:t>Apply CQRS only to those subsystems where there is a clear value in separating reads and writes to an entire system</w:t>
      </w:r>
    </w:p>
    <w:p w:rsidR="00D23641" w:rsidRDefault="00D23641" w:rsidP="00D23641">
      <w:pPr>
        <w:pStyle w:val="Heading2"/>
      </w:pPr>
      <w:r>
        <w:t>Benefits</w:t>
      </w:r>
    </w:p>
    <w:p w:rsidR="00D23641" w:rsidRDefault="00D23641" w:rsidP="00D23641">
      <w:r>
        <w:t>Independently scaling</w:t>
      </w:r>
    </w:p>
    <w:p w:rsidR="00D23641" w:rsidRDefault="00D23641" w:rsidP="00D23641">
      <w:r>
        <w:t>Optimized data schemas</w:t>
      </w:r>
    </w:p>
    <w:p w:rsidR="00D23641" w:rsidRDefault="00D23641" w:rsidP="00D23641">
      <w:r>
        <w:lastRenderedPageBreak/>
        <w:t>Security</w:t>
      </w:r>
    </w:p>
    <w:p w:rsidR="00D23641" w:rsidRDefault="00D23641" w:rsidP="00D23641">
      <w:r>
        <w:t>Separation of concerns</w:t>
      </w:r>
    </w:p>
    <w:p w:rsidR="00D23641" w:rsidRDefault="00D23641" w:rsidP="00D23641">
      <w:r>
        <w:t>Simpler queries</w:t>
      </w:r>
    </w:p>
    <w:p w:rsidR="00D23641" w:rsidRDefault="00D23641" w:rsidP="00D23641">
      <w:r w:rsidRPr="00D23641">
        <w:rPr>
          <w:rStyle w:val="Heading2Char"/>
        </w:rPr>
        <w:t>Challenges</w:t>
      </w:r>
      <w:r>
        <w:t>:</w:t>
      </w:r>
    </w:p>
    <w:p w:rsidR="00D23641" w:rsidRDefault="00D23641" w:rsidP="00D23641">
      <w:r>
        <w:t>Complexity</w:t>
      </w:r>
    </w:p>
    <w:p w:rsidR="00D23641" w:rsidRDefault="00D23641" w:rsidP="00D23641">
      <w:r>
        <w:t>Messaging: it is common to use messaging to process commands and publish update events. In that case, the application must handle message failures or duplicate messages</w:t>
      </w:r>
    </w:p>
    <w:p w:rsidR="00D23641" w:rsidRPr="00D23641" w:rsidRDefault="00D23641" w:rsidP="00D23641">
      <w:r>
        <w:t>Eventual consistency:</w:t>
      </w:r>
      <w:bookmarkStart w:id="0" w:name="_GoBack"/>
      <w:bookmarkEnd w:id="0"/>
      <w:r>
        <w:t xml:space="preserve"> If you separate the read and write databases, the read data may be stale</w:t>
      </w:r>
    </w:p>
    <w:p w:rsidR="00F40C01" w:rsidRDefault="007F431E" w:rsidP="00AC146A">
      <w:pPr>
        <w:pStyle w:val="Heading2"/>
      </w:pPr>
      <w:r>
        <w:t>CRQS in Micro</w:t>
      </w:r>
      <w:r w:rsidR="00AC146A">
        <w:t>services</w:t>
      </w:r>
    </w:p>
    <w:p w:rsidR="00AC146A" w:rsidRPr="00645FC8" w:rsidRDefault="00AC146A" w:rsidP="00F40C01">
      <w:pPr>
        <w:autoSpaceDE w:val="0"/>
        <w:autoSpaceDN w:val="0"/>
        <w:adjustRightInd w:val="0"/>
        <w:spacing w:after="0" w:line="240" w:lineRule="auto"/>
      </w:pPr>
      <w:r>
        <w:rPr>
          <w:rFonts w:ascii="SegoeUI" w:hAnsi="SegoeUI" w:cs="SegoeUI"/>
          <w:sz w:val="20"/>
          <w:szCs w:val="20"/>
        </w:rPr>
        <w:t>One of the principles of microsservices is that a service cannot directly access another service’s data store</w:t>
      </w:r>
    </w:p>
    <w:p w:rsidR="000A185B" w:rsidRDefault="00AC146A" w:rsidP="000A185B">
      <w:r>
        <w:rPr>
          <w:noProof/>
        </w:rPr>
        <w:drawing>
          <wp:inline distT="0" distB="0" distL="0" distR="0">
            <wp:extent cx="2127885" cy="1342390"/>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27885" cy="1342390"/>
                    </a:xfrm>
                    <a:prstGeom prst="rect">
                      <a:avLst/>
                    </a:prstGeom>
                    <a:noFill/>
                    <a:ln>
                      <a:noFill/>
                    </a:ln>
                  </pic:spPr>
                </pic:pic>
              </a:graphicData>
            </a:graphic>
          </wp:inline>
        </w:drawing>
      </w:r>
    </w:p>
    <w:p w:rsidR="00AC146A" w:rsidRDefault="00AC146A" w:rsidP="000A185B">
      <w:r>
        <w:t>In the following diagram, Service A writes to a data store, and Service B keeps a materialized view of the data. Service A publishes an event whenever it writes to the data store. Service B subscribes to the event.</w:t>
      </w:r>
    </w:p>
    <w:p w:rsidR="00AC146A" w:rsidRDefault="00AC146A" w:rsidP="000A185B">
      <w:r>
        <w:rPr>
          <w:noProof/>
        </w:rPr>
        <w:lastRenderedPageBreak/>
        <w:drawing>
          <wp:inline distT="0" distB="0" distL="0" distR="0">
            <wp:extent cx="2004695" cy="1823085"/>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04695" cy="1823085"/>
                    </a:xfrm>
                    <a:prstGeom prst="rect">
                      <a:avLst/>
                    </a:prstGeom>
                    <a:noFill/>
                    <a:ln>
                      <a:noFill/>
                    </a:ln>
                  </pic:spPr>
                </pic:pic>
              </a:graphicData>
            </a:graphic>
          </wp:inline>
        </w:drawing>
      </w:r>
    </w:p>
    <w:p w:rsidR="000A185B" w:rsidRPr="000A185B" w:rsidRDefault="000A185B" w:rsidP="000A185B"/>
    <w:sectPr w:rsidR="000A185B" w:rsidRPr="000A185B" w:rsidSect="00C229A1">
      <w:pgSz w:w="15840" w:h="12240" w:orient="landscape"/>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00000000" w:usb2="00000000"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10022FF" w:usb1="C000E47F" w:usb2="00000029" w:usb3="00000000" w:csb0="000001DF" w:csb1="00000000"/>
  </w:font>
  <w:font w:name="SegoeUI">
    <w:panose1 w:val="00000000000000000000"/>
    <w:charset w:val="00"/>
    <w:family w:val="swiss"/>
    <w:notTrueType/>
    <w:pitch w:val="default"/>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A933029"/>
    <w:multiLevelType w:val="hybridMultilevel"/>
    <w:tmpl w:val="925436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6C20A09"/>
    <w:multiLevelType w:val="hybridMultilevel"/>
    <w:tmpl w:val="8B68A1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A341833"/>
    <w:multiLevelType w:val="hybridMultilevel"/>
    <w:tmpl w:val="FDF2C3B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CB82361"/>
    <w:multiLevelType w:val="hybridMultilevel"/>
    <w:tmpl w:val="DE90DB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7D0042E9"/>
    <w:multiLevelType w:val="hybridMultilevel"/>
    <w:tmpl w:val="3C2026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oNotDisplayPageBoundaries/>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A185B"/>
    <w:rsid w:val="00000256"/>
    <w:rsid w:val="00085190"/>
    <w:rsid w:val="000A185B"/>
    <w:rsid w:val="0018215B"/>
    <w:rsid w:val="002347D6"/>
    <w:rsid w:val="00246F68"/>
    <w:rsid w:val="003F55FE"/>
    <w:rsid w:val="004B3814"/>
    <w:rsid w:val="005100B7"/>
    <w:rsid w:val="005F0475"/>
    <w:rsid w:val="00645FC8"/>
    <w:rsid w:val="007F431E"/>
    <w:rsid w:val="008277FA"/>
    <w:rsid w:val="008C3B20"/>
    <w:rsid w:val="008E794A"/>
    <w:rsid w:val="00940398"/>
    <w:rsid w:val="009A3036"/>
    <w:rsid w:val="009B7131"/>
    <w:rsid w:val="00A84484"/>
    <w:rsid w:val="00AC146A"/>
    <w:rsid w:val="00B90096"/>
    <w:rsid w:val="00BB1011"/>
    <w:rsid w:val="00C229A1"/>
    <w:rsid w:val="00C833CF"/>
    <w:rsid w:val="00D23641"/>
    <w:rsid w:val="00ED07AC"/>
    <w:rsid w:val="00F40C01"/>
    <w:rsid w:val="00FE5D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18215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A185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347D6"/>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5F0475"/>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A185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A185B"/>
    <w:rPr>
      <w:rFonts w:asciiTheme="majorHAnsi" w:eastAsiaTheme="majorEastAsia" w:hAnsiTheme="majorHAnsi" w:cstheme="majorBidi"/>
      <w:color w:val="17365D" w:themeColor="text2" w:themeShade="BF"/>
      <w:spacing w:val="5"/>
      <w:kern w:val="28"/>
      <w:sz w:val="52"/>
      <w:szCs w:val="52"/>
    </w:rPr>
  </w:style>
  <w:style w:type="paragraph" w:styleId="BalloonText">
    <w:name w:val="Balloon Text"/>
    <w:basedOn w:val="Normal"/>
    <w:link w:val="BalloonTextChar"/>
    <w:uiPriority w:val="99"/>
    <w:semiHidden/>
    <w:unhideWhenUsed/>
    <w:rsid w:val="000A185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A185B"/>
    <w:rPr>
      <w:rFonts w:ascii="Tahoma" w:hAnsi="Tahoma" w:cs="Tahoma"/>
      <w:sz w:val="16"/>
      <w:szCs w:val="16"/>
    </w:rPr>
  </w:style>
  <w:style w:type="character" w:customStyle="1" w:styleId="Heading2Char">
    <w:name w:val="Heading 2 Char"/>
    <w:basedOn w:val="DefaultParagraphFont"/>
    <w:link w:val="Heading2"/>
    <w:uiPriority w:val="9"/>
    <w:rsid w:val="000A185B"/>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2347D6"/>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2347D6"/>
    <w:rPr>
      <w:color w:val="0000FF" w:themeColor="hyperlink"/>
      <w:u w:val="single"/>
    </w:rPr>
  </w:style>
  <w:style w:type="character" w:customStyle="1" w:styleId="Heading4Char">
    <w:name w:val="Heading 4 Char"/>
    <w:basedOn w:val="DefaultParagraphFont"/>
    <w:link w:val="Heading4"/>
    <w:uiPriority w:val="9"/>
    <w:rsid w:val="005F0475"/>
    <w:rPr>
      <w:rFonts w:asciiTheme="majorHAnsi" w:eastAsiaTheme="majorEastAsia" w:hAnsiTheme="majorHAnsi" w:cstheme="majorBidi"/>
      <w:b/>
      <w:bCs/>
      <w:i/>
      <w:iCs/>
      <w:color w:val="4F81BD" w:themeColor="accent1"/>
    </w:rPr>
  </w:style>
  <w:style w:type="paragraph" w:styleId="ListParagraph">
    <w:name w:val="List Paragraph"/>
    <w:basedOn w:val="Normal"/>
    <w:uiPriority w:val="34"/>
    <w:qFormat/>
    <w:rsid w:val="005F0475"/>
    <w:pPr>
      <w:ind w:left="720"/>
      <w:contextualSpacing/>
    </w:pPr>
  </w:style>
  <w:style w:type="character" w:customStyle="1" w:styleId="Heading1Char">
    <w:name w:val="Heading 1 Char"/>
    <w:basedOn w:val="DefaultParagraphFont"/>
    <w:link w:val="Heading1"/>
    <w:uiPriority w:val="9"/>
    <w:rsid w:val="0018215B"/>
    <w:rPr>
      <w:rFonts w:asciiTheme="majorHAnsi" w:eastAsiaTheme="majorEastAsia" w:hAnsiTheme="majorHAnsi" w:cstheme="majorBidi"/>
      <w:b/>
      <w:bCs/>
      <w:color w:val="365F91" w:themeColor="accent1" w:themeShade="BF"/>
      <w:sz w:val="28"/>
      <w:szCs w:val="28"/>
    </w:rPr>
  </w:style>
  <w:style w:type="table" w:styleId="TableGrid">
    <w:name w:val="Table Grid"/>
    <w:basedOn w:val="TableNormal"/>
    <w:uiPriority w:val="59"/>
    <w:rsid w:val="00C229A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18215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A185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347D6"/>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5F0475"/>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A185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A185B"/>
    <w:rPr>
      <w:rFonts w:asciiTheme="majorHAnsi" w:eastAsiaTheme="majorEastAsia" w:hAnsiTheme="majorHAnsi" w:cstheme="majorBidi"/>
      <w:color w:val="17365D" w:themeColor="text2" w:themeShade="BF"/>
      <w:spacing w:val="5"/>
      <w:kern w:val="28"/>
      <w:sz w:val="52"/>
      <w:szCs w:val="52"/>
    </w:rPr>
  </w:style>
  <w:style w:type="paragraph" w:styleId="BalloonText">
    <w:name w:val="Balloon Text"/>
    <w:basedOn w:val="Normal"/>
    <w:link w:val="BalloonTextChar"/>
    <w:uiPriority w:val="99"/>
    <w:semiHidden/>
    <w:unhideWhenUsed/>
    <w:rsid w:val="000A185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A185B"/>
    <w:rPr>
      <w:rFonts w:ascii="Tahoma" w:hAnsi="Tahoma" w:cs="Tahoma"/>
      <w:sz w:val="16"/>
      <w:szCs w:val="16"/>
    </w:rPr>
  </w:style>
  <w:style w:type="character" w:customStyle="1" w:styleId="Heading2Char">
    <w:name w:val="Heading 2 Char"/>
    <w:basedOn w:val="DefaultParagraphFont"/>
    <w:link w:val="Heading2"/>
    <w:uiPriority w:val="9"/>
    <w:rsid w:val="000A185B"/>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2347D6"/>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2347D6"/>
    <w:rPr>
      <w:color w:val="0000FF" w:themeColor="hyperlink"/>
      <w:u w:val="single"/>
    </w:rPr>
  </w:style>
  <w:style w:type="character" w:customStyle="1" w:styleId="Heading4Char">
    <w:name w:val="Heading 4 Char"/>
    <w:basedOn w:val="DefaultParagraphFont"/>
    <w:link w:val="Heading4"/>
    <w:uiPriority w:val="9"/>
    <w:rsid w:val="005F0475"/>
    <w:rPr>
      <w:rFonts w:asciiTheme="majorHAnsi" w:eastAsiaTheme="majorEastAsia" w:hAnsiTheme="majorHAnsi" w:cstheme="majorBidi"/>
      <w:b/>
      <w:bCs/>
      <w:i/>
      <w:iCs/>
      <w:color w:val="4F81BD" w:themeColor="accent1"/>
    </w:rPr>
  </w:style>
  <w:style w:type="paragraph" w:styleId="ListParagraph">
    <w:name w:val="List Paragraph"/>
    <w:basedOn w:val="Normal"/>
    <w:uiPriority w:val="34"/>
    <w:qFormat/>
    <w:rsid w:val="005F0475"/>
    <w:pPr>
      <w:ind w:left="720"/>
      <w:contextualSpacing/>
    </w:pPr>
  </w:style>
  <w:style w:type="character" w:customStyle="1" w:styleId="Heading1Char">
    <w:name w:val="Heading 1 Char"/>
    <w:basedOn w:val="DefaultParagraphFont"/>
    <w:link w:val="Heading1"/>
    <w:uiPriority w:val="9"/>
    <w:rsid w:val="0018215B"/>
    <w:rPr>
      <w:rFonts w:asciiTheme="majorHAnsi" w:eastAsiaTheme="majorEastAsia" w:hAnsiTheme="majorHAnsi" w:cstheme="majorBidi"/>
      <w:b/>
      <w:bCs/>
      <w:color w:val="365F91" w:themeColor="accent1" w:themeShade="BF"/>
      <w:sz w:val="28"/>
      <w:szCs w:val="28"/>
    </w:rPr>
  </w:style>
  <w:style w:type="table" w:styleId="TableGrid">
    <w:name w:val="Table Grid"/>
    <w:basedOn w:val="TableNormal"/>
    <w:uiPriority w:val="59"/>
    <w:rsid w:val="00C229A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hyperlink" Target="https://docs.microsoft.com/en-us/azure/load-balancer/load-balancer-internal-overview" TargetMode="External"/><Relationship Id="rId18" Type="http://schemas.openxmlformats.org/officeDocument/2006/relationships/image" Target="media/image7.emf"/><Relationship Id="rId3" Type="http://schemas.microsoft.com/office/2007/relationships/stylesWithEffects" Target="stylesWithEffects.xml"/><Relationship Id="rId21" Type="http://schemas.openxmlformats.org/officeDocument/2006/relationships/image" Target="media/image10.emf"/><Relationship Id="rId7" Type="http://schemas.openxmlformats.org/officeDocument/2006/relationships/hyperlink" Target="https://docs.microsoft.com/en-us/azure/architecture/reference-architectures/n-tier/n-tier-cassandra" TargetMode="External"/><Relationship Id="rId12" Type="http://schemas.openxmlformats.org/officeDocument/2006/relationships/hyperlink" Target="https://docs.microsoft.com/en-us/azure/load-balancer/load-balancer-internet-overview" TargetMode="External"/><Relationship Id="rId17" Type="http://schemas.openxmlformats.org/officeDocument/2006/relationships/image" Target="media/image6.emf"/><Relationship Id="rId2" Type="http://schemas.openxmlformats.org/officeDocument/2006/relationships/styles" Target="styles.xml"/><Relationship Id="rId16" Type="http://schemas.openxmlformats.org/officeDocument/2006/relationships/image" Target="media/image5.emf"/><Relationship Id="rId20" Type="http://schemas.openxmlformats.org/officeDocument/2006/relationships/image" Target="media/image9.emf"/><Relationship Id="rId1" Type="http://schemas.openxmlformats.org/officeDocument/2006/relationships/numbering" Target="numbering.xml"/><Relationship Id="rId6" Type="http://schemas.openxmlformats.org/officeDocument/2006/relationships/image" Target="media/image1.emf"/><Relationship Id="rId11" Type="http://schemas.openxmlformats.org/officeDocument/2006/relationships/hyperlink" Target="https://docs.microsoft.com/en-us/azure/load-balancer/load-balancer-get-started-internet-arm-cli"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fontTable" Target="fontTable.xml"/><Relationship Id="rId10" Type="http://schemas.openxmlformats.org/officeDocument/2006/relationships/hyperlink" Target="https://docs.microsoft.com/en-us/azure/architecture/reference-architectures/n-tier/linux-vm" TargetMode="External"/><Relationship Id="rId19" Type="http://schemas.openxmlformats.org/officeDocument/2006/relationships/image" Target="media/image8.emf"/><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3.emf"/><Relationship Id="rId22" Type="http://schemas.openxmlformats.org/officeDocument/2006/relationships/image" Target="media/image1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272</TotalTime>
  <Pages>17</Pages>
  <Words>1613</Words>
  <Characters>9200</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Bank of Nova Scotia</Company>
  <LinksUpToDate>false</LinksUpToDate>
  <CharactersWithSpaces>10792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Bank of Nova Scotia User</dc:creator>
  <cp:lastModifiedBy>Bank of Nova Scotia User</cp:lastModifiedBy>
  <cp:revision>16</cp:revision>
  <dcterms:created xsi:type="dcterms:W3CDTF">2019-05-24T15:41:00Z</dcterms:created>
  <dcterms:modified xsi:type="dcterms:W3CDTF">2019-05-28T15:02:00Z</dcterms:modified>
</cp:coreProperties>
</file>