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4682B4"/>
          <w:sz w:val="22"/>
        </w:rPr>
        <w:t>PCC-26 – CYBER INNOVATION &amp; STARTUP CHALLENGE</w:t>
      </w:r>
    </w:p>
    <w:p>
      <w:pPr>
        <w:spacing w:before="0" w:after="80"/>
        <w:jc w:val="center"/>
      </w:pPr>
      <w:r>
        <w:rPr>
          <w:rFonts w:ascii="Arial" w:hAnsi="Arial"/>
          <w:b/>
          <w:color w:val="003366"/>
          <w:sz w:val="40"/>
        </w:rPr>
        <w:t>CONCEPT NOTE APPLICATION TEMPLATE</w:t>
      </w:r>
    </w:p>
    <w:p>
      <w:pPr>
        <w:spacing w:before="0" w:after="280"/>
        <w:jc w:val="center"/>
      </w:pPr>
      <w:r>
        <w:rPr>
          <w:rFonts w:ascii="Calibri" w:hAnsi="Calibri"/>
          <w:i/>
          <w:color w:val="646E78"/>
          <w:sz w:val="20"/>
        </w:rPr>
        <w:t>National Center for Cyber Security (NCCS) Secretariat, Air University, Islamabad</w:t>
      </w:r>
    </w:p>
    <w:tbl>
      <w:tblPr>
        <w:tblW w:type="auto" w:w="0"/>
        <w:jc w:val="center"/>
        <w:tblLook w:firstColumn="1" w:firstRow="1" w:lastColumn="0" w:lastRow="0" w:noHBand="0" w:noVBand="1" w:val="04A0"/>
      </w:tblPr>
      <w:tblGrid>
        <w:gridCol w:w="10368"/>
      </w:tblGrid>
      <w:tr>
        <w:tc>
          <w:tcPr>
            <w:tcW w:type="dxa" w:w="10368"/>
            <w:shd w:fill="F0F4F8"/>
            <w:tcMar>
              <w:top w:w="120" w:type="dxa"/>
              <w:bottom w:w="120" w:type="dxa"/>
              <w:left w:w="180" w:type="dxa"/>
              <w:right w:w="180" w:type="dxa"/>
            </w:tcMar>
          </w:tcPr>
          <w:p>
            <w:pPr>
              <w:spacing w:after="80"/>
            </w:pPr>
            <w:r>
              <w:rPr>
                <w:rFonts w:ascii="Arial" w:hAnsi="Arial"/>
                <w:b/>
                <w:color w:val="003366"/>
                <w:sz w:val="20"/>
              </w:rPr>
              <w:t>INSTRUCTIONS FOR APPLICANTS</w:t>
            </w:r>
          </w:p>
          <w:p>
            <w:pPr>
              <w:spacing w:after="0"/>
            </w:pPr>
            <w:r>
              <w:rPr>
                <w:rFonts w:ascii="Calibri" w:hAnsi="Calibri"/>
                <w:color w:val="2C3E50"/>
                <w:sz w:val="19"/>
              </w:rPr>
              <w:t>1. Do not alter the structure or formatting of this application template.</w:t>
              <w:br/>
              <w:t>2. Provide clear, concise, and structured responses within the designated spaces.</w:t>
              <w:br/>
              <w:t>3. Fields not applicable to your project stage (e.g., commercialization for early research) should be marked N/A.</w:t>
              <w:br/>
              <w:t>4. Central Theme: Cybersecurity Innovation for Emerging and Future Threats.</w:t>
            </w:r>
          </w:p>
        </w:tc>
      </w:tr>
    </w:tbl>
    <w:p>
      <w:pPr>
        <w:spacing w:after="120"/>
      </w:pPr>
    </w:p>
    <w:p>
      <w:pPr>
        <w:keepNext/>
        <w:spacing w:before="240" w:after="120"/>
      </w:pPr>
      <w:r>
        <w:rPr>
          <w:rFonts w:ascii="Arial" w:hAnsi="Arial"/>
          <w:b/>
          <w:color w:val="003366"/>
          <w:sz w:val="24"/>
        </w:rPr>
        <w:t>1. Executive Summary (One-Page Overview)</w:t>
      </w:r>
    </w:p>
    <w:tbl>
      <w:tblPr>
        <w:tblW w:type="auto" w:w="0"/>
        <w:jc w:val="center"/>
        <w:tblLayout w:type="fixed"/>
        <w:tblLook w:firstColumn="1" w:firstRow="1" w:lastColumn="0" w:lastRow="0" w:noHBand="0" w:noVBand="1" w:val="04A0"/>
      </w:tblPr>
      <w:tblGrid>
        <w:gridCol w:w="5184"/>
        <w:gridCol w:w="5184"/>
      </w:tblGrid>
      <w:tr>
        <w:tc>
          <w:tcPr>
            <w:tcW w:type="dxa" w:w="3168"/>
            <w:shd w:fill="F4F6F9"/>
            <w:tcMar>
              <w:top w:w="100" w:type="dxa"/>
              <w:bottom w:w="100" w:type="dxa"/>
              <w:left w:w="120" w:type="dxa"/>
              <w:right w:w="120" w:type="dxa"/>
            </w:tcMar>
          </w:tcPr>
          <w:p>
            <w:pPr>
              <w:spacing w:after="0"/>
            </w:pPr>
            <w:r>
              <w:rPr>
                <w:rFonts w:ascii="Calibri" w:hAnsi="Calibri"/>
                <w:b/>
                <w:color w:val="003366"/>
                <w:sz w:val="20"/>
              </w:rPr>
              <w:t>Project / Startup Title</w:t>
            </w:r>
          </w:p>
        </w:tc>
        <w:tc>
          <w:tcPr>
            <w:tcW w:type="dxa" w:w="6912"/>
            <w:tcMar>
              <w:top w:w="100" w:type="dxa"/>
              <w:bottom w:w="100" w:type="dxa"/>
              <w:left w:w="120" w:type="dxa"/>
              <w:right w:w="120" w:type="dxa"/>
            </w:tcMar>
          </w:tcPr>
          <w:p>
            <w:pPr>
              <w:spacing w:after="0"/>
            </w:pPr>
            <w:r>
              <w:rPr>
                <w:rFonts w:ascii="Calibri" w:hAnsi="Calibri"/>
                <w:sz w:val="19"/>
                <w:color w:val="000000"/>
              </w:rPr>
              <w:t xml:space="preserve">Digital Cognitive Firewall</w:t>
            </w:r>
          </w:p>
        </w:tc>
      </w:tr>
      <w:tr>
        <w:tc>
          <w:tcPr>
            <w:tcW w:type="dxa" w:w="3168"/>
            <w:shd w:fill="F4F6F9"/>
            <w:tcMar>
              <w:top w:w="100" w:type="dxa"/>
              <w:bottom w:w="100" w:type="dxa"/>
              <w:left w:w="120" w:type="dxa"/>
              <w:right w:w="120" w:type="dxa"/>
            </w:tcMar>
          </w:tcPr>
          <w:p>
            <w:pPr>
              <w:spacing w:after="0"/>
            </w:pPr>
            <w:r>
              <w:rPr>
                <w:rFonts w:ascii="Calibri" w:hAnsi="Calibri"/>
                <w:b/>
                <w:color w:val="003366"/>
                <w:sz w:val="20"/>
              </w:rPr>
              <w:t>Applicant Type</w:t>
            </w:r>
          </w:p>
        </w:tc>
        <w:tc>
          <w:tcPr>
            <w:tcW w:type="dxa" w:w="6912"/>
            <w:tcMar>
              <w:top w:w="100" w:type="dxa"/>
              <w:bottom w:w="100" w:type="dxa"/>
              <w:left w:w="120" w:type="dxa"/>
              <w:right w:w="120" w:type="dxa"/>
            </w:tcMar>
          </w:tcPr>
          <w:p>
            <w:pPr>
              <w:spacing w:after="0"/>
            </w:pPr>
            <w:r>
              <w:rPr>
                <w:rFonts w:ascii="Calibri" w:hAnsi="Calibri"/>
                <w:sz w:val="19"/>
                <w:color w:val="000000"/>
              </w:rPr>
              <w:t xml:space="preserve">[X] Student Team    [  ] Researcher / Academic    [  ] Startup    [  ] Industry Professional</w:t>
            </w:r>
          </w:p>
        </w:tc>
      </w:tr>
      <w:tr>
        <w:tc>
          <w:tcPr>
            <w:tcW w:type="dxa" w:w="3168"/>
            <w:shd w:fill="F4F6F9"/>
            <w:tcMar>
              <w:top w:w="100" w:type="dxa"/>
              <w:bottom w:w="100" w:type="dxa"/>
              <w:left w:w="120" w:type="dxa"/>
              <w:right w:w="120" w:type="dxa"/>
            </w:tcMar>
          </w:tcPr>
          <w:p>
            <w:pPr>
              <w:spacing w:after="0"/>
            </w:pPr>
            <w:r>
              <w:rPr>
                <w:rFonts w:ascii="Calibri" w:hAnsi="Calibri"/>
                <w:b/>
                <w:color w:val="003366"/>
                <w:sz w:val="20"/>
              </w:rPr>
              <w:t>Primary Focus Area</w:t>
            </w:r>
          </w:p>
        </w:tc>
        <w:tc>
          <w:tcPr>
            <w:tcW w:type="dxa" w:w="6912"/>
            <w:tcMar>
              <w:top w:w="100" w:type="dxa"/>
              <w:bottom w:w="100" w:type="dxa"/>
              <w:left w:w="120" w:type="dxa"/>
              <w:right w:w="120" w:type="dxa"/>
            </w:tcMar>
          </w:tcPr>
          <w:p>
            <w:pPr>
              <w:spacing w:after="0"/>
            </w:pPr>
            <w:r>
              <w:rPr>
                <w:rFonts w:ascii="Calibri" w:hAnsi="Calibri"/>
                <w:sz w:val="19"/>
                <w:color w:val="000000"/>
              </w:rPr>
              <w:t xml:space="preserve">[X] AI + Cybersecurity (proposed)    [  ] OT / ICS / Critical Infrastructure</w:t>
              <w:br/>
              <w:t xml:space="preserve">[  ] Emerging AI Threats    [  ] Emerging Tech (Cloud/IoT/Web3/Zero Trust)</w:t>
              <w:br/>
              <w:t xml:space="preserve">[X] Cyber Defense &amp; Resilience</w:t>
            </w:r>
          </w:p>
        </w:tc>
      </w:tr>
      <w:tr>
        <w:tc>
          <w:tcPr>
            <w:tcW w:type="dxa" w:w="3168"/>
            <w:shd w:fill="F4F6F9"/>
            <w:tcMar>
              <w:top w:w="100" w:type="dxa"/>
              <w:bottom w:w="100" w:type="dxa"/>
              <w:left w:w="120" w:type="dxa"/>
              <w:right w:w="120" w:type="dxa"/>
            </w:tcMar>
          </w:tcPr>
          <w:p>
            <w:pPr>
              <w:spacing w:after="0"/>
            </w:pPr>
            <w:r>
              <w:rPr>
                <w:rFonts w:ascii="Calibri" w:hAnsi="Calibri"/>
                <w:b/>
                <w:color w:val="003366"/>
                <w:sz w:val="20"/>
              </w:rPr>
              <w:t>Project Stage</w:t>
            </w:r>
          </w:p>
        </w:tc>
        <w:tc>
          <w:tcPr>
            <w:tcW w:type="dxa" w:w="6912"/>
            <w:tcMar>
              <w:top w:w="100" w:type="dxa"/>
              <w:bottom w:w="100" w:type="dxa"/>
              <w:left w:w="120" w:type="dxa"/>
              <w:right w:w="120" w:type="dxa"/>
            </w:tcMar>
          </w:tcPr>
          <w:p>
            <w:pPr>
              <w:spacing w:after="0"/>
            </w:pPr>
            <w:r>
              <w:rPr>
                <w:rFonts w:ascii="Calibri" w:hAnsi="Calibri"/>
                <w:sz w:val="19"/>
                <w:color w:val="000000"/>
              </w:rPr>
              <w:t xml:space="preserve">[X] Idea / Concept    [  ] Proof of Concept / Prototype</w:t>
              <w:br/>
              <w:t xml:space="preserve">[  ] Minimum Viable Product (MVP)    [  ] Commercialized Solution</w:t>
              <w:br/>
              <w:t xml:space="preserve">A separate rule demonstrator supports review of the concept.</w:t>
            </w:r>
          </w:p>
        </w:tc>
      </w:tr>
      <w:tr>
        <w:tc>
          <w:tcPr>
            <w:tcW w:type="dxa" w:w="3168"/>
            <w:shd w:fill="F4F6F9"/>
            <w:tcMar>
              <w:top w:w="100" w:type="dxa"/>
              <w:bottom w:w="100" w:type="dxa"/>
              <w:left w:w="120" w:type="dxa"/>
              <w:right w:w="120" w:type="dxa"/>
            </w:tcMar>
          </w:tcPr>
          <w:p>
            <w:pPr>
              <w:spacing w:after="0"/>
            </w:pPr>
            <w:r>
              <w:rPr>
                <w:rFonts w:ascii="Calibri" w:hAnsi="Calibri"/>
                <w:b/>
                <w:color w:val="003366"/>
                <w:sz w:val="20"/>
              </w:rPr>
              <w:t>Core Problem Statement</w:t>
              <w:br/>
              <w:t>(Max 3 sentences)</w:t>
            </w:r>
          </w:p>
        </w:tc>
        <w:tc>
          <w:tcPr>
            <w:tcW w:type="dxa" w:w="6912"/>
            <w:tcMar>
              <w:top w:w="100" w:type="dxa"/>
              <w:bottom w:w="100" w:type="dxa"/>
              <w:left w:w="120" w:type="dxa"/>
              <w:right w:w="120" w:type="dxa"/>
            </w:tcMar>
          </w:tcPr>
          <w:p>
            <w:pPr>
              <w:spacing w:after="0"/>
            </w:pPr>
            <w:r>
              <w:rPr>
                <w:rFonts w:ascii="Calibri" w:hAnsi="Calibri"/>
                <w:sz w:val="19"/>
                <w:color w:val="000000"/>
              </w:rPr>
              <w:t xml:space="preserve">Social engineering can pressure recipients into acting on unverified messages. Students and institutional users may face urgent requests for credentials or payment. The research problem is how to explain visible cues and support independent verification while limiting false alarms.</w:t>
            </w:r>
          </w:p>
        </w:tc>
      </w:tr>
      <w:tr>
        <w:tc>
          <w:tcPr>
            <w:tcW w:type="dxa" w:w="3168"/>
            <w:shd w:fill="F4F6F9"/>
            <w:tcMar>
              <w:top w:w="100" w:type="dxa"/>
              <w:bottom w:w="100" w:type="dxa"/>
              <w:left w:w="120" w:type="dxa"/>
              <w:right w:w="120" w:type="dxa"/>
            </w:tcMar>
          </w:tcPr>
          <w:p>
            <w:pPr>
              <w:spacing w:after="0"/>
            </w:pPr>
            <w:r>
              <w:rPr>
                <w:rFonts w:ascii="Calibri" w:hAnsi="Calibri"/>
                <w:b/>
                <w:color w:val="003366"/>
                <w:sz w:val="20"/>
              </w:rPr>
              <w:t>Proposed Solution &amp; Impact</w:t>
              <w:br/>
              <w:t>(Max 3 sentences)</w:t>
            </w:r>
          </w:p>
        </w:tc>
        <w:tc>
          <w:tcPr>
            <w:tcW w:type="dxa" w:w="6912"/>
            <w:tcMar>
              <w:top w:w="100" w:type="dxa"/>
              <w:bottom w:w="100" w:type="dxa"/>
              <w:left w:w="120" w:type="dxa"/>
              <w:right w:w="120" w:type="dxa"/>
            </w:tcMar>
          </w:tcPr>
          <w:p>
            <w:pPr>
              <w:spacing w:after="0"/>
            </w:pPr>
            <w:r>
              <w:rPr>
                <w:rFonts w:ascii="Calibri" w:hAnsi="Calibri"/>
                <w:sz w:val="19"/>
                <w:color w:val="000000"/>
              </w:rPr>
              <w:t xml:space="preserve">The proposed Digital Cognitive Firewall combines message analysis with contextual explanations. The current local demonstrator uses transparent rules, preserves the original message and offers a verification checklist. Benefits, trained-model performance and behavioural sensing remain unvalidated.</w:t>
            </w:r>
          </w:p>
        </w:tc>
      </w:tr>
    </w:tbl>
    <w:p>
      <w:pPr>
        <w:keepNext/>
        <w:spacing w:before="240" w:after="120"/>
      </w:pPr>
      <w:r>
        <w:rPr>
          <w:rFonts w:ascii="Arial" w:hAnsi="Arial"/>
          <w:b/>
          <w:color w:val="003366"/>
          <w:sz w:val="24"/>
        </w:rPr>
        <w:t>2. Applicant &amp; Team Information</w:t>
      </w:r>
    </w:p>
    <w:tbl>
      <w:tblPr>
        <w:tblW w:type="auto" w:w="0"/>
        <w:jc w:val="center"/>
        <w:tblLook w:firstColumn="1" w:firstRow="1" w:lastColumn="0" w:lastRow="0" w:noHBand="0" w:noVBand="1" w:val="04A0"/>
      </w:tblPr>
      <w:tblGrid>
        <w:gridCol w:w="5184"/>
        <w:gridCol w:w="5184"/>
      </w:tblGrid>
      <w:tr>
        <w:tc>
          <w:tcPr>
            <w:tcW w:type="dxa" w:w="3168"/>
            <w:shd w:fill="F4F6F9"/>
            <w:tcMar>
              <w:top w:w="80" w:type="dxa"/>
              <w:bottom w:w="80" w:type="dxa"/>
              <w:left w:w="120" w:type="dxa"/>
              <w:right w:w="120" w:type="dxa"/>
            </w:tcMar>
          </w:tcPr>
          <w:p>
            <w:r>
              <w:rPr>
                <w:rFonts w:ascii="Calibri" w:hAnsi="Calibri"/>
                <w:b/>
                <w:color w:val="003366"/>
                <w:sz w:val="20"/>
              </w:rPr>
              <w:t>Team / Startup Name:</w:t>
            </w:r>
          </w:p>
        </w:tc>
        <w:tc>
          <w:tcPr>
            <w:tcW w:type="dxa" w:w="6912"/>
            <w:tcMar>
              <w:top w:w="80" w:type="dxa"/>
              <w:bottom w:w="80" w:type="dxa"/>
              <w:left w:w="120" w:type="dxa"/>
              <w:right w:w="120" w:type="dxa"/>
            </w:tcMar>
          </w:tcPr>
          <w:p>
            <w:r>
              <w:rPr>
                <w:rFonts w:ascii="Calibri" w:hAnsi="Calibri"/>
                <w:sz w:val="19"/>
                <w:color w:val="000000"/>
              </w:rPr>
              <w:t xml:space="preserve">Digital Cognitive Firewall (working project name; official team name pending)</w:t>
            </w:r>
          </w:p>
        </w:tc>
      </w:tr>
      <w:tr>
        <w:tc>
          <w:tcPr>
            <w:tcW w:type="dxa" w:w="3168"/>
            <w:shd w:fill="F4F6F9"/>
            <w:tcMar>
              <w:top w:w="80" w:type="dxa"/>
              <w:bottom w:w="80" w:type="dxa"/>
              <w:left w:w="120" w:type="dxa"/>
              <w:right w:w="120" w:type="dxa"/>
            </w:tcMar>
          </w:tcPr>
          <w:p>
            <w:r>
              <w:rPr>
                <w:rFonts w:ascii="Calibri" w:hAnsi="Calibri"/>
                <w:b/>
                <w:color w:val="003366"/>
                <w:sz w:val="20"/>
              </w:rPr>
              <w:t>Affiliated University / Organization:</w:t>
            </w:r>
          </w:p>
        </w:tc>
        <w:tc>
          <w:tcPr>
            <w:tcW w:type="dxa" w:w="6912"/>
            <w:tcMar>
              <w:top w:w="80" w:type="dxa"/>
              <w:bottom w:w="80" w:type="dxa"/>
              <w:left w:w="120" w:type="dxa"/>
              <w:right w:w="120" w:type="dxa"/>
            </w:tcMar>
          </w:tcPr>
          <w:p>
            <w:r>
              <w:rPr>
                <w:rFonts w:ascii="Calibri" w:hAnsi="Calibri"/>
                <w:sz w:val="19"/>
                <w:color w:val="000000"/>
              </w:rPr>
              <w:t xml:space="preserve">NUMS: Lubna Khalid, Javeria Naseer, Arooba Jamil. NUST: Maheen Athar.</w:t>
              <w:br/>
              <w:t xml:space="preserve">Faculty mentor and exact departments/programmes: pending confirmation.</w:t>
            </w:r>
          </w:p>
        </w:tc>
      </w:tr>
    </w:tbl>
    <w:p>
      <w:pPr>
        <w:spacing w:before="120" w:after="80"/>
      </w:pPr>
      <w:r>
        <w:rPr>
          <w:rFonts w:ascii="Calibri" w:hAnsi="Calibri"/>
          <w:b/>
          <w:color w:val="003366"/>
          <w:sz w:val="21"/>
        </w:rPr>
        <w:t>Key Team Members:</w:t>
      </w:r>
    </w:p>
    <w:tbl>
      <w:tblPr>
        <w:tblW w:type="auto" w:w="0"/>
        <w:jc w:val="center"/>
        <w:tblLook w:firstColumn="1" w:firstRow="1" w:lastColumn="0" w:lastRow="0" w:noHBand="0" w:noVBand="1" w:val="04A0"/>
      </w:tblPr>
      <w:tblGrid>
        <w:gridCol w:w="2592"/>
        <w:gridCol w:w="2592"/>
        <w:gridCol w:w="2592"/>
        <w:gridCol w:w="2592"/>
      </w:tblGrid>
      <w:tr>
        <w:tc>
          <w:tcPr>
            <w:tcW w:type="dxa" w:w="2160"/>
            <w:shd w:fill="003366"/>
            <w:tcMar>
              <w:top w:w="100" w:type="dxa"/>
              <w:bottom w:w="100" w:type="dxa"/>
              <w:left w:w="100" w:type="dxa"/>
              <w:right w:w="100" w:type="dxa"/>
            </w:tcMar>
          </w:tcPr>
          <w:p>
            <w:r>
              <w:rPr>
                <w:rFonts w:ascii="Arial" w:hAnsi="Arial"/>
                <w:b/>
                <w:color w:val="FFFFFF"/>
                <w:sz w:val="19"/>
              </w:rPr>
              <w:t>Role</w:t>
            </w:r>
          </w:p>
        </w:tc>
        <w:tc>
          <w:tcPr>
            <w:tcW w:type="dxa" w:w="2592"/>
            <w:shd w:fill="003366"/>
            <w:tcMar>
              <w:top w:w="100" w:type="dxa"/>
              <w:bottom w:w="100" w:type="dxa"/>
              <w:left w:w="100" w:type="dxa"/>
              <w:right w:w="100" w:type="dxa"/>
            </w:tcMar>
          </w:tcPr>
          <w:p>
            <w:r>
              <w:rPr>
                <w:rFonts w:ascii="Arial" w:hAnsi="Arial"/>
                <w:b/>
                <w:color w:val="FFFFFF"/>
                <w:sz w:val="19"/>
              </w:rPr>
              <w:t>Full Name</w:t>
            </w:r>
          </w:p>
        </w:tc>
        <w:tc>
          <w:tcPr>
            <w:tcW w:type="dxa" w:w="2736"/>
            <w:shd w:fill="003366"/>
            <w:tcMar>
              <w:top w:w="100" w:type="dxa"/>
              <w:bottom w:w="100" w:type="dxa"/>
              <w:left w:w="100" w:type="dxa"/>
              <w:right w:w="100" w:type="dxa"/>
            </w:tcMar>
          </w:tcPr>
          <w:p>
            <w:r>
              <w:rPr>
                <w:rFonts w:ascii="Arial" w:hAnsi="Arial"/>
                <w:b/>
                <w:color w:val="FFFFFF"/>
                <w:sz w:val="19"/>
              </w:rPr>
              <w:t>Designation &amp; Qualification</w:t>
            </w:r>
          </w:p>
        </w:tc>
        <w:tc>
          <w:tcPr>
            <w:tcW w:type="dxa" w:w="2592"/>
            <w:shd w:fill="003366"/>
            <w:tcMar>
              <w:top w:w="100" w:type="dxa"/>
              <w:bottom w:w="100" w:type="dxa"/>
              <w:left w:w="100" w:type="dxa"/>
              <w:right w:w="100" w:type="dxa"/>
            </w:tcMar>
          </w:tcPr>
          <w:p>
            <w:r>
              <w:rPr>
                <w:rFonts w:ascii="Arial" w:hAnsi="Arial"/>
                <w:b/>
                <w:color w:val="FFFFFF"/>
                <w:sz w:val="19"/>
              </w:rPr>
              <w:t>Email &amp; Contact Number</w:t>
            </w:r>
          </w:p>
        </w:tc>
      </w:tr>
      <w:tr>
        <w:tc>
          <w:tcPr>
            <w:tcW w:type="dxa" w:w="2160"/>
            <w:tcMar>
              <w:top w:w="80" w:type="dxa"/>
              <w:bottom w:w="80" w:type="dxa"/>
              <w:left w:w="100" w:type="dxa"/>
              <w:right w:w="100" w:type="dxa"/>
            </w:tcMar>
            <w:shd w:fill="F4F6F9"/>
          </w:tcPr>
          <w:p>
            <w:r>
              <w:rPr>
                <w:rFonts w:ascii="Calibri" w:hAnsi="Calibri"/>
                <w:b/>
                <w:color w:val="003366"/>
                <w:sz w:val="19"/>
              </w:rPr>
              <w:t>Team Lead / Primary Contact</w:t>
            </w:r>
          </w:p>
        </w:tc>
        <w:tc>
          <w:tcPr>
            <w:tcW w:type="dxa" w:w="2592"/>
            <w:tcMar>
              <w:top w:w="80" w:type="dxa"/>
              <w:bottom w:w="80" w:type="dxa"/>
              <w:left w:w="100" w:type="dxa"/>
              <w:right w:w="100" w:type="dxa"/>
            </w:tcMar>
          </w:tcPr>
          <w:p>
            <w:r>
              <w:rPr>
                <w:rFonts w:ascii="Calibri" w:hAnsi="Calibri"/>
                <w:sz w:val="19"/>
                <w:color w:val="000000"/>
              </w:rPr>
              <w:t xml:space="preserve">Lubna Khalid</w:t>
            </w:r>
          </w:p>
        </w:tc>
        <w:tc>
          <w:tcPr>
            <w:tcW w:type="dxa" w:w="2736"/>
            <w:tcMar>
              <w:top w:w="80" w:type="dxa"/>
              <w:bottom w:w="80" w:type="dxa"/>
              <w:left w:w="100" w:type="dxa"/>
              <w:right w:w="100" w:type="dxa"/>
            </w:tcMar>
          </w:tcPr>
          <w:p>
            <w:r>
              <w:rPr>
                <w:rFonts w:ascii="Calibri" w:hAnsi="Calibri"/>
                <w:sz w:val="19"/>
                <w:color w:val="000000"/>
              </w:rPr>
              <w:t xml:space="preserve">NUMS. Degree and role pending.</w:t>
            </w:r>
          </w:p>
        </w:tc>
        <w:tc>
          <w:tcPr>
            <w:tcW w:type="dxa" w:w="2592"/>
            <w:tcMar>
              <w:top w:w="80" w:type="dxa"/>
              <w:bottom w:w="80" w:type="dxa"/>
              <w:left w:w="100" w:type="dxa"/>
              <w:right w:w="100" w:type="dxa"/>
            </w:tcMar>
          </w:tcPr>
          <w:p>
            <w:r>
              <w:rPr>
                <w:rFonts w:ascii="Calibri" w:hAnsi="Calibri"/>
                <w:sz w:val="19"/>
                <w:color w:val="000000"/>
              </w:rPr>
              <w:t xml:space="preserve">Contact details not supplied.</w:t>
            </w:r>
          </w:p>
        </w:tc>
      </w:tr>
      <w:tr>
        <w:tc>
          <w:tcPr>
            <w:tcW w:type="dxa" w:w="2160"/>
            <w:tcMar>
              <w:top w:w="80" w:type="dxa"/>
              <w:bottom w:w="80" w:type="dxa"/>
              <w:left w:w="100" w:type="dxa"/>
              <w:right w:w="100" w:type="dxa"/>
            </w:tcMar>
            <w:shd w:fill="F4F6F9"/>
          </w:tcPr>
          <w:p>
            <w:r>
              <w:rPr>
                <w:rFonts w:ascii="Calibri" w:hAnsi="Calibri"/>
                <w:b/>
                <w:color w:val="003366"/>
                <w:sz w:val="19"/>
              </w:rPr>
              <w:t>Co-Founder / Tech Lead</w:t>
            </w:r>
          </w:p>
        </w:tc>
        <w:tc>
          <w:tcPr>
            <w:tcW w:type="dxa" w:w="2592"/>
            <w:tcMar>
              <w:top w:w="80" w:type="dxa"/>
              <w:bottom w:w="80" w:type="dxa"/>
              <w:left w:w="100" w:type="dxa"/>
              <w:right w:w="100" w:type="dxa"/>
            </w:tcMar>
          </w:tcPr>
          <w:p>
            <w:r>
              <w:rPr>
                <w:rFonts w:ascii="Calibri" w:hAnsi="Calibri"/>
                <w:sz w:val="19"/>
                <w:color w:val="000000"/>
              </w:rPr>
              <w:t xml:space="preserve">Javeria Naseer</w:t>
            </w:r>
          </w:p>
        </w:tc>
        <w:tc>
          <w:tcPr>
            <w:tcW w:type="dxa" w:w="2736"/>
            <w:tcMar>
              <w:top w:w="80" w:type="dxa"/>
              <w:bottom w:w="80" w:type="dxa"/>
              <w:left w:w="100" w:type="dxa"/>
              <w:right w:w="100" w:type="dxa"/>
            </w:tcMar>
          </w:tcPr>
          <w:p>
            <w:r>
              <w:rPr>
                <w:rFonts w:ascii="Calibri" w:hAnsi="Calibri"/>
                <w:sz w:val="19"/>
                <w:color w:val="000000"/>
              </w:rPr>
              <w:t xml:space="preserve">NUMS. Degree and role pending.</w:t>
            </w:r>
          </w:p>
        </w:tc>
        <w:tc>
          <w:tcPr>
            <w:tcW w:type="dxa" w:w="2592"/>
            <w:tcMar>
              <w:top w:w="80" w:type="dxa"/>
              <w:bottom w:w="80" w:type="dxa"/>
              <w:left w:w="100" w:type="dxa"/>
              <w:right w:w="100" w:type="dxa"/>
            </w:tcMar>
          </w:tcPr>
          <w:p>
            <w:r>
              <w:rPr>
                <w:rFonts w:ascii="Calibri" w:hAnsi="Calibri"/>
                <w:sz w:val="19"/>
                <w:color w:val="000000"/>
              </w:rPr>
              <w:t xml:space="preserve">Contact details not supplied.</w:t>
            </w:r>
          </w:p>
        </w:tc>
      </w:tr>
      <w:tr>
        <w:tc>
          <w:tcPr>
            <w:tcW w:type="dxa" w:w="2160"/>
            <w:tcMar>
              <w:top w:w="80" w:type="dxa"/>
              <w:bottom w:w="80" w:type="dxa"/>
              <w:left w:w="100" w:type="dxa"/>
              <w:right w:w="100" w:type="dxa"/>
            </w:tcMar>
            <w:shd w:fill="F4F6F9"/>
          </w:tcPr>
          <w:p>
            <w:r>
              <w:rPr>
                <w:rFonts w:ascii="Calibri" w:hAnsi="Calibri"/>
                <w:b/>
                <w:color w:val="003366"/>
                <w:sz w:val="19"/>
              </w:rPr>
              <w:t>Core Team Member</w:t>
            </w:r>
          </w:p>
        </w:tc>
        <w:tc>
          <w:tcPr>
            <w:tcW w:type="dxa" w:w="2592"/>
            <w:tcMar>
              <w:top w:w="80" w:type="dxa"/>
              <w:bottom w:w="80" w:type="dxa"/>
              <w:left w:w="100" w:type="dxa"/>
              <w:right w:w="100" w:type="dxa"/>
            </w:tcMar>
          </w:tcPr>
          <w:p>
            <w:r>
              <w:rPr>
                <w:rFonts w:ascii="Calibri" w:hAnsi="Calibri"/>
                <w:sz w:val="19"/>
                <w:color w:val="000000"/>
              </w:rPr>
              <w:t xml:space="preserve">Arooba Jamil</w:t>
            </w:r>
          </w:p>
        </w:tc>
        <w:tc>
          <w:tcPr>
            <w:tcW w:type="dxa" w:w="2736"/>
            <w:tcMar>
              <w:top w:w="80" w:type="dxa"/>
              <w:bottom w:w="80" w:type="dxa"/>
              <w:left w:w="100" w:type="dxa"/>
              <w:right w:w="100" w:type="dxa"/>
            </w:tcMar>
          </w:tcPr>
          <w:p>
            <w:r>
              <w:rPr>
                <w:rFonts w:ascii="Calibri" w:hAnsi="Calibri"/>
                <w:sz w:val="19"/>
                <w:color w:val="000000"/>
              </w:rPr>
              <w:t xml:space="preserve">NUMS. Degree and role pending.</w:t>
            </w:r>
          </w:p>
        </w:tc>
        <w:tc>
          <w:tcPr>
            <w:tcW w:type="dxa" w:w="2592"/>
            <w:tcMar>
              <w:top w:w="80" w:type="dxa"/>
              <w:bottom w:w="80" w:type="dxa"/>
              <w:left w:w="100" w:type="dxa"/>
              <w:right w:w="100" w:type="dxa"/>
            </w:tcMar>
          </w:tcPr>
          <w:p>
            <w:r>
              <w:rPr>
                <w:rFonts w:ascii="Calibri" w:hAnsi="Calibri"/>
                <w:sz w:val="19"/>
                <w:color w:val="000000"/>
              </w:rPr>
              <w:t xml:space="preserve">Contact details not supplied.</w:t>
            </w:r>
          </w:p>
        </w:tc>
      </w:tr>
      <w:tr>
        <w:tc>
          <w:tcPr>
            <w:tcW w:type="dxa" w:w="2160"/>
            <w:tcMar>
              <w:top w:w="80" w:type="dxa"/>
              <w:bottom w:w="80" w:type="dxa"/>
              <w:left w:w="100" w:type="dxa"/>
              <w:right w:w="100" w:type="dxa"/>
            </w:tcMar>
            <w:shd w:fill="F4F6F9"/>
          </w:tcPr>
          <w:p>
            <w:r>
              <w:rPr>
                <w:rFonts w:ascii="Calibri" w:hAnsi="Calibri"/>
                <w:b/>
                <w:color w:val="003366"/>
                <w:sz w:val="19"/>
              </w:rPr>
              <w:t>Core Team Member</w:t>
            </w:r>
          </w:p>
        </w:tc>
        <w:tc>
          <w:tcPr>
            <w:tcW w:type="dxa" w:w="2592"/>
            <w:tcMar>
              <w:top w:w="80" w:type="dxa"/>
              <w:bottom w:w="80" w:type="dxa"/>
              <w:left w:w="100" w:type="dxa"/>
              <w:right w:w="100" w:type="dxa"/>
            </w:tcMar>
          </w:tcPr>
          <w:p>
            <w:r>
              <w:rPr>
                <w:rFonts w:ascii="Calibri" w:hAnsi="Calibri"/>
                <w:sz w:val="19"/>
                <w:color w:val="000000"/>
              </w:rPr>
              <w:t xml:space="preserve">Maheen Athar</w:t>
            </w:r>
          </w:p>
        </w:tc>
        <w:tc>
          <w:tcPr>
            <w:tcW w:type="dxa" w:w="2736"/>
            <w:tcMar>
              <w:top w:w="80" w:type="dxa"/>
              <w:bottom w:w="80" w:type="dxa"/>
              <w:left w:w="100" w:type="dxa"/>
              <w:right w:w="100" w:type="dxa"/>
            </w:tcMar>
          </w:tcPr>
          <w:p>
            <w:r>
              <w:rPr>
                <w:rFonts w:ascii="Calibri" w:hAnsi="Calibri"/>
                <w:sz w:val="19"/>
                <w:color w:val="000000"/>
              </w:rPr>
              <w:t xml:space="preserve">NUST. Degree and role pending.</w:t>
            </w:r>
          </w:p>
        </w:tc>
        <w:tc>
          <w:tcPr>
            <w:tcW w:type="dxa" w:w="2592"/>
            <w:tcMar>
              <w:top w:w="80" w:type="dxa"/>
              <w:bottom w:w="80" w:type="dxa"/>
              <w:left w:w="100" w:type="dxa"/>
              <w:right w:w="100" w:type="dxa"/>
            </w:tcMar>
          </w:tcPr>
          <w:p>
            <w:r>
              <w:rPr>
                <w:rFonts w:ascii="Calibri" w:hAnsi="Calibri"/>
                <w:sz w:val="19"/>
                <w:color w:val="000000"/>
              </w:rPr>
              <w:t xml:space="preserve">Contact details not supplied.</w:t>
            </w:r>
          </w:p>
        </w:tc>
      </w:tr>
    </w:tbl>
    <w:p>
      <w:pPr>
        <w:keepNext/>
        <w:spacing w:before="240" w:after="120"/>
      </w:pPr>
      <w:r>
        <w:rPr>
          <w:rFonts w:ascii="Arial" w:hAnsi="Arial"/>
          <w:b/>
          <w:color w:val="003366"/>
          <w:sz w:val="24"/>
        </w:rPr>
        <w:t>3. Cybersecurity Focus Area</w:t>
      </w:r>
    </w:p>
    <w:p>
      <w:pPr>
        <w:spacing w:after="80"/>
      </w:pPr>
      <w:r>
        <w:rPr>
          <w:rFonts w:ascii="Calibri" w:hAnsi="Calibri"/>
          <w:i/>
          <w:color w:val="646E78"/>
          <w:sz w:val="19"/>
        </w:rPr>
        <w:t>Select all primary and secondary focus areas applicable to your project:</w:t>
      </w:r>
    </w:p>
    <w:tbl>
      <w:tblPr>
        <w:tblW w:type="auto" w:w="0"/>
        <w:jc w:val="center"/>
        <w:tblLook w:firstColumn="1" w:firstRow="1" w:lastColumn="0" w:lastRow="0" w:noHBand="0" w:noVBand="1" w:val="04A0"/>
      </w:tblPr>
      <w:tblGrid>
        <w:gridCol w:w="5184"/>
        <w:gridCol w:w="5184"/>
      </w:tblGrid>
      <w:tr>
        <w:tc>
          <w:tcPr>
            <w:tcW w:type="dxa" w:w="3600"/>
            <w:tcMar>
              <w:top w:w="80" w:type="dxa"/>
              <w:bottom w:w="80" w:type="dxa"/>
              <w:left w:w="100" w:type="dxa"/>
              <w:right w:w="100" w:type="dxa"/>
            </w:tcMar>
          </w:tcPr>
          <w:p>
            <w:r>
              <w:rPr>
                <w:rFonts w:ascii="Calibri" w:hAnsi="Calibri"/>
                <w:b/>
                <w:color w:val="003366"/>
                <w:sz w:val="19"/>
              </w:rPr>
              <w:t>[X] Cybersecurity + Artificial Intelligence</w:t>
            </w:r>
          </w:p>
        </w:tc>
        <w:tc>
          <w:tcPr>
            <w:tcW w:type="dxa" w:w="6480"/>
            <w:tcMar>
              <w:top w:w="80" w:type="dxa"/>
              <w:bottom w:w="80" w:type="dxa"/>
              <w:left w:w="100" w:type="dxa"/>
              <w:right w:w="100" w:type="dxa"/>
            </w:tcMar>
          </w:tcPr>
          <w:p>
            <w:r>
              <w:rPr>
                <w:rFonts w:ascii="Calibri" w:hAnsi="Calibri"/>
                <w:color w:val="2C3E50"/>
                <w:sz w:val="18"/>
              </w:rPr>
              <w:t>AI/ML threat detection, AI-driven SOC/SIEM/SOAR, automated malware/phishing/fraud detection, securing Generative AI &amp; LLMs, AI-powered incident response.</w:t>
            </w:r>
          </w:p>
        </w:tc>
      </w:tr>
      <w:tr>
        <w:tc>
          <w:tcPr>
            <w:tcW w:type="dxa" w:w="3600"/>
            <w:tcMar>
              <w:top w:w="80" w:type="dxa"/>
              <w:bottom w:w="80" w:type="dxa"/>
              <w:left w:w="100" w:type="dxa"/>
              <w:right w:w="100" w:type="dxa"/>
            </w:tcMar>
          </w:tcPr>
          <w:p>
            <w:r>
              <w:rPr>
                <w:rFonts w:ascii="Calibri" w:hAnsi="Calibri"/>
                <w:b/>
                <w:color w:val="003366"/>
                <w:sz w:val="19"/>
              </w:rPr>
              <w:t>[  ] OT / ICS / Critical Infrastructure Security</w:t>
            </w:r>
          </w:p>
        </w:tc>
        <w:tc>
          <w:tcPr>
            <w:tcW w:type="dxa" w:w="6480"/>
            <w:tcMar>
              <w:top w:w="80" w:type="dxa"/>
              <w:bottom w:w="80" w:type="dxa"/>
              <w:left w:w="100" w:type="dxa"/>
              <w:right w:w="100" w:type="dxa"/>
            </w:tcMar>
          </w:tcPr>
          <w:p>
            <w:r>
              <w:rPr>
                <w:rFonts w:ascii="Calibri" w:hAnsi="Calibri"/>
                <w:color w:val="2C3E50"/>
                <w:sz w:val="18"/>
              </w:rPr>
              <w:t>SCADA security, Industrial Control Systems protection, OT threat monitoring, IT/OT convergence security, critical infrastructure resilience.</w:t>
            </w:r>
          </w:p>
        </w:tc>
      </w:tr>
      <w:tr>
        <w:tc>
          <w:tcPr>
            <w:tcW w:type="dxa" w:w="3600"/>
            <w:tcMar>
              <w:top w:w="80" w:type="dxa"/>
              <w:bottom w:w="80" w:type="dxa"/>
              <w:left w:w="100" w:type="dxa"/>
              <w:right w:w="100" w:type="dxa"/>
            </w:tcMar>
          </w:tcPr>
          <w:p>
            <w:r>
              <w:rPr>
                <w:rFonts w:ascii="Calibri" w:hAnsi="Calibri"/>
                <w:b/>
                <w:color w:val="003366"/>
                <w:sz w:val="19"/>
              </w:rPr>
              <w:t>[  ] Emerging AI-Driven Threats</w:t>
            </w:r>
          </w:p>
        </w:tc>
        <w:tc>
          <w:tcPr>
            <w:tcW w:type="dxa" w:w="6480"/>
            <w:tcMar>
              <w:top w:w="80" w:type="dxa"/>
              <w:bottom w:w="80" w:type="dxa"/>
              <w:left w:w="100" w:type="dxa"/>
              <w:right w:w="100" w:type="dxa"/>
            </w:tcMar>
          </w:tcPr>
          <w:p>
            <w:r>
              <w:rPr>
                <w:rFonts w:ascii="Calibri" w:hAnsi="Calibri"/>
                <w:color w:val="2C3E50"/>
                <w:sz w:val="18"/>
              </w:rPr>
              <w:t>Deepfake detection &amp; identity defense, AI-generated phishing mitigation, automated attack defense, adversarial ML robustness, autonomous agent risks.</w:t>
            </w:r>
          </w:p>
        </w:tc>
      </w:tr>
      <w:tr>
        <w:tc>
          <w:tcPr>
            <w:tcW w:type="dxa" w:w="3600"/>
            <w:tcMar>
              <w:top w:w="80" w:type="dxa"/>
              <w:bottom w:w="80" w:type="dxa"/>
              <w:left w:w="100" w:type="dxa"/>
              <w:right w:w="100" w:type="dxa"/>
            </w:tcMar>
          </w:tcPr>
          <w:p>
            <w:r>
              <w:rPr>
                <w:rFonts w:ascii="Calibri" w:hAnsi="Calibri"/>
                <w:b/>
                <w:color w:val="003366"/>
                <w:sz w:val="19"/>
              </w:rPr>
              <w:t>[  ] Cybersecurity for Emerging Technologies</w:t>
            </w:r>
          </w:p>
        </w:tc>
        <w:tc>
          <w:tcPr>
            <w:tcW w:type="dxa" w:w="6480"/>
            <w:tcMar>
              <w:top w:w="80" w:type="dxa"/>
              <w:bottom w:w="80" w:type="dxa"/>
              <w:left w:w="100" w:type="dxa"/>
              <w:right w:w="100" w:type="dxa"/>
            </w:tcMar>
          </w:tcPr>
          <w:p>
            <w:r>
              <w:rPr>
                <w:rFonts w:ascii="Calibri" w:hAnsi="Calibri"/>
                <w:color w:val="2C3E50"/>
                <w:sz w:val="18"/>
              </w:rPr>
              <w:t>Cloud security, IoT/Edge security, mobile device security, Blockchain/Web3 security, privacy-enhancing tech, Zero Trust architecture.</w:t>
            </w:r>
          </w:p>
        </w:tc>
      </w:tr>
      <w:tr>
        <w:tc>
          <w:tcPr>
            <w:tcW w:type="dxa" w:w="3600"/>
            <w:tcMar>
              <w:top w:w="80" w:type="dxa"/>
              <w:bottom w:w="80" w:type="dxa"/>
              <w:left w:w="100" w:type="dxa"/>
              <w:right w:w="100" w:type="dxa"/>
            </w:tcMar>
          </w:tcPr>
          <w:p>
            <w:r>
              <w:rPr>
                <w:rFonts w:ascii="Calibri" w:hAnsi="Calibri"/>
                <w:b/>
                <w:color w:val="003366"/>
                <w:sz w:val="19"/>
              </w:rPr>
              <w:t>[X] Cyber Defense &amp; Resilience</w:t>
            </w:r>
          </w:p>
        </w:tc>
        <w:tc>
          <w:tcPr>
            <w:tcW w:type="dxa" w:w="6480"/>
            <w:tcMar>
              <w:top w:w="80" w:type="dxa"/>
              <w:bottom w:w="80" w:type="dxa"/>
              <w:left w:w="100" w:type="dxa"/>
              <w:right w:w="100" w:type="dxa"/>
            </w:tcMar>
          </w:tcPr>
          <w:p>
            <w:r>
              <w:rPr>
                <w:rFonts w:ascii="Calibri" w:hAnsi="Calibri"/>
                <w:color w:val="2C3E50"/>
                <w:sz w:val="18"/>
              </w:rPr>
              <w:t>Threat intelligence, digital forensics, vulnerability management, threat hunting, ransomware defense, incident response automation.</w:t>
            </w:r>
          </w:p>
        </w:tc>
      </w:tr>
    </w:tbl>
    <w:p>
      <w:pPr>
        <w:keepNext/>
        <w:spacing w:before="240" w:after="120"/>
      </w:pPr>
      <w:r>
        <w:rPr>
          <w:rFonts w:ascii="Arial" w:hAnsi="Arial"/>
          <w:b/>
          <w:color w:val="003366"/>
          <w:sz w:val="24"/>
        </w:rPr>
        <w:t>4. Problem Statement &amp; Existing Gaps</w:t>
      </w:r>
    </w:p>
    <w:tbl>
      <w:tblPr>
        <w:tblW w:type="auto" w:w="0"/>
        <w:jc w:val="center"/>
        <w:tblLook w:firstColumn="1" w:firstRow="1" w:lastColumn="0" w:lastRow="0" w:noHBand="0" w:noVBand="1" w:val="04A0"/>
      </w:tblPr>
      <w:tblGrid>
        <w:gridCol w:w="5184"/>
        <w:gridCol w:w="5184"/>
      </w:tblGrid>
      <w:tr>
        <w:tc>
          <w:tcPr>
            <w:tcW w:type="dxa" w:w="3168"/>
            <w:shd w:fill="F4F6F9"/>
            <w:tcMar>
              <w:top w:w="100" w:type="dxa"/>
              <w:bottom w:w="100" w:type="dxa"/>
              <w:left w:w="120" w:type="dxa"/>
              <w:right w:w="120" w:type="dxa"/>
            </w:tcMar>
          </w:tcPr>
          <w:p>
            <w:r>
              <w:rPr>
                <w:rFonts w:ascii="Calibri" w:hAnsi="Calibri"/>
                <w:b/>
                <w:color w:val="003366"/>
                <w:sz w:val="19"/>
              </w:rPr>
              <w:t>Core Cybersecurity Problem</w:t>
            </w:r>
          </w:p>
        </w:tc>
        <w:tc>
          <w:tcPr>
            <w:tcW w:type="dxa" w:w="6912"/>
            <w:tcMar>
              <w:top w:w="100" w:type="dxa"/>
              <w:bottom w:w="100" w:type="dxa"/>
              <w:left w:w="120" w:type="dxa"/>
              <w:right w:w="120" w:type="dxa"/>
            </w:tcMar>
          </w:tcPr>
          <w:p>
            <w:r>
              <w:rPr>
                <w:rFonts w:ascii="Calibri" w:hAnsi="Calibri"/>
                <w:sz w:val="18"/>
                <w:color w:val="000000"/>
              </w:rPr>
              <w:t xml:space="preserve">Unverified messages can exploit time pressure, threats and claimed authority to elicit credentials or payment. A recipient needs an independent verification route before responding.</w:t>
            </w:r>
          </w:p>
        </w:tc>
      </w:tr>
      <w:tr>
        <w:tc>
          <w:tcPr>
            <w:tcW w:type="dxa" w:w="3168"/>
            <w:shd w:fill="F4F6F9"/>
            <w:tcMar>
              <w:top w:w="100" w:type="dxa"/>
              <w:bottom w:w="100" w:type="dxa"/>
              <w:left w:w="120" w:type="dxa"/>
              <w:right w:w="120" w:type="dxa"/>
            </w:tcMar>
          </w:tcPr>
          <w:p>
            <w:r>
              <w:rPr>
                <w:rFonts w:ascii="Calibri" w:hAnsi="Calibri"/>
                <w:b/>
                <w:color w:val="003366"/>
                <w:sz w:val="19"/>
              </w:rPr>
              <w:t>Affected Stakeholders</w:t>
            </w:r>
          </w:p>
        </w:tc>
        <w:tc>
          <w:tcPr>
            <w:tcW w:type="dxa" w:w="6912"/>
            <w:tcMar>
              <w:top w:w="100" w:type="dxa"/>
              <w:bottom w:w="100" w:type="dxa"/>
              <w:left w:w="120" w:type="dxa"/>
              <w:right w:w="120" w:type="dxa"/>
            </w:tcMar>
          </w:tcPr>
          <w:p>
            <w:r>
              <w:rPr>
                <w:rFonts w:ascii="Calibri" w:hAnsi="Calibri"/>
                <w:sz w:val="18"/>
                <w:color w:val="000000"/>
              </w:rPr>
              <w:t xml:space="preserve">Initial research audience: university students and institutional end users. The military-console example is synthetic training only. No critical-system integration or deployment is claimed.</w:t>
            </w:r>
          </w:p>
        </w:tc>
      </w:tr>
      <w:tr>
        <w:tc>
          <w:tcPr>
            <w:tcW w:type="dxa" w:w="3168"/>
            <w:shd w:fill="F4F6F9"/>
            <w:tcMar>
              <w:top w:w="100" w:type="dxa"/>
              <w:bottom w:w="100" w:type="dxa"/>
              <w:left w:w="120" w:type="dxa"/>
              <w:right w:w="120" w:type="dxa"/>
            </w:tcMar>
          </w:tcPr>
          <w:p>
            <w:r>
              <w:rPr>
                <w:rFonts w:ascii="Calibri" w:hAnsi="Calibri"/>
                <w:b/>
                <w:color w:val="003366"/>
                <w:sz w:val="19"/>
              </w:rPr>
              <w:t>Severity &amp; Significance</w:t>
            </w:r>
          </w:p>
        </w:tc>
        <w:tc>
          <w:tcPr>
            <w:tcW w:type="dxa" w:w="6912"/>
            <w:tcMar>
              <w:top w:w="100" w:type="dxa"/>
              <w:bottom w:w="100" w:type="dxa"/>
              <w:left w:w="120" w:type="dxa"/>
              <w:right w:w="120" w:type="dxa"/>
            </w:tcMar>
          </w:tcPr>
          <w:p>
            <w:r>
              <w:rPr>
                <w:rFonts w:ascii="Calibri" w:hAnsi="Calibri"/>
                <w:sz w:val="18"/>
                <w:color w:val="000000"/>
              </w:rPr>
              <w:t xml:space="preserve">A mistaken response can expose credentials or money. The project does not estimate Pakistani incident prevalence, financial losses or national-security benefit. Legitimate urgent messages and unnecessary warning delays must be evaluated.</w:t>
            </w:r>
          </w:p>
        </w:tc>
      </w:tr>
      <w:tr>
        <w:tc>
          <w:tcPr>
            <w:tcW w:type="dxa" w:w="3168"/>
            <w:shd w:fill="F4F6F9"/>
            <w:tcMar>
              <w:top w:w="100" w:type="dxa"/>
              <w:bottom w:w="100" w:type="dxa"/>
              <w:left w:w="120" w:type="dxa"/>
              <w:right w:w="120" w:type="dxa"/>
            </w:tcMar>
          </w:tcPr>
          <w:p>
            <w:r>
              <w:rPr>
                <w:rFonts w:ascii="Calibri" w:hAnsi="Calibri"/>
                <w:b/>
                <w:color w:val="003366"/>
                <w:sz w:val="19"/>
              </w:rPr>
              <w:t>Existing Solution Gaps</w:t>
            </w:r>
          </w:p>
        </w:tc>
        <w:tc>
          <w:tcPr>
            <w:tcW w:type="dxa" w:w="6912"/>
            <w:tcMar>
              <w:top w:w="100" w:type="dxa"/>
              <w:bottom w:w="100" w:type="dxa"/>
              <w:left w:w="120" w:type="dxa"/>
              <w:right w:w="120" w:type="dxa"/>
            </w:tcMar>
          </w:tcPr>
          <w:p>
            <w:r>
              <w:rPr>
                <w:rFonts w:ascii="Calibri" w:hAnsi="Calibri"/>
                <w:sz w:val="18"/>
                <w:color w:val="000000"/>
              </w:rPr>
              <w:t xml:space="preserve">Human phishing cues and explainable warnings already have precedents, including NIST TN 2276 and PhishXplain. Candidate differentiation is an inspectable local workflow and language/context evaluation. First-in-country status, market absence and comparative superiority are unestablished.</w:t>
            </w:r>
          </w:p>
        </w:tc>
      </w:tr>
    </w:tbl>
    <w:p>
      <w:pPr>
        <w:keepNext/>
        <w:spacing w:before="240" w:after="120"/>
      </w:pPr>
      <w:r>
        <w:rPr>
          <w:rFonts w:ascii="Arial" w:hAnsi="Arial"/>
          <w:b/>
          <w:color w:val="003366"/>
          <w:sz w:val="24"/>
        </w:rPr>
        <w:t>5. Proposed Cybersecurity Solution &amp; AI Component</w:t>
      </w:r>
    </w:p>
    <w:tbl>
      <w:tblPr>
        <w:tblW w:type="auto" w:w="0"/>
        <w:jc w:val="center"/>
        <w:tblLook w:firstColumn="1" w:firstRow="1" w:lastColumn="0" w:lastRow="0" w:noHBand="0" w:noVBand="1" w:val="04A0"/>
      </w:tblPr>
      <w:tblGrid>
        <w:gridCol w:w="5184"/>
        <w:gridCol w:w="5184"/>
      </w:tblGrid>
      <w:tr>
        <w:tc>
          <w:tcPr>
            <w:tcW w:type="dxa" w:w="3168"/>
            <w:shd w:fill="F4F6F9"/>
            <w:tcMar>
              <w:top w:w="100" w:type="dxa"/>
              <w:bottom w:w="100" w:type="dxa"/>
              <w:left w:w="120" w:type="dxa"/>
              <w:right w:w="120" w:type="dxa"/>
            </w:tcMar>
          </w:tcPr>
          <w:p>
            <w:r>
              <w:rPr>
                <w:rFonts w:ascii="Calibri" w:hAnsi="Calibri"/>
                <w:b/>
                <w:color w:val="003366"/>
                <w:sz w:val="19"/>
              </w:rPr>
              <w:t>Proposed Solution Overview</w:t>
            </w:r>
          </w:p>
        </w:tc>
        <w:tc>
          <w:tcPr>
            <w:tcW w:type="dxa" w:w="6912"/>
            <w:tcMar>
              <w:top w:w="100" w:type="dxa"/>
              <w:bottom w:w="100" w:type="dxa"/>
              <w:left w:w="120" w:type="dxa"/>
              <w:right w:w="120" w:type="dxa"/>
            </w:tcMar>
          </w:tcPr>
          <w:p>
            <w:r>
              <w:rPr>
                <w:rFonts w:ascii="Calibri" w:hAnsi="Calibri"/>
                <w:sz w:val="18"/>
                <w:color w:val="000000"/>
              </w:rPr>
              <w:t xml:space="preserve">Proposed system: message analysis, context handling, explanation and graded verification support. The executable adjunct parses pasted text and optional domain context, shows matched rules and leaves all links unopened. AI classification, panic sensing and message sanitising remain future research.</w:t>
            </w:r>
          </w:p>
        </w:tc>
      </w:tr>
      <w:tr>
        <w:tc>
          <w:tcPr>
            <w:tcW w:type="dxa" w:w="3168"/>
            <w:shd w:fill="F4F6F9"/>
            <w:tcMar>
              <w:top w:w="100" w:type="dxa"/>
              <w:bottom w:w="100" w:type="dxa"/>
              <w:left w:w="120" w:type="dxa"/>
              <w:right w:w="120" w:type="dxa"/>
            </w:tcMar>
          </w:tcPr>
          <w:p>
            <w:r>
              <w:rPr>
                <w:rFonts w:ascii="Calibri" w:hAnsi="Calibri"/>
                <w:b/>
                <w:color w:val="003366"/>
                <w:sz w:val="19"/>
              </w:rPr>
              <w:t>AI / Emerging Tech Role</w:t>
            </w:r>
          </w:p>
        </w:tc>
        <w:tc>
          <w:tcPr>
            <w:tcW w:type="dxa" w:w="6912"/>
            <w:tcMar>
              <w:top w:w="100" w:type="dxa"/>
              <w:bottom w:w="100" w:type="dxa"/>
              <w:left w:w="120" w:type="dxa"/>
              <w:right w:w="120" w:type="dxa"/>
            </w:tcMar>
          </w:tcPr>
          <w:p>
            <w:r>
              <w:rPr>
                <w:rFonts w:ascii="Calibri" w:hAnsi="Calibri"/>
                <w:sz w:val="18"/>
                <w:color w:val="000000"/>
              </w:rPr>
              <w:t xml:space="preserve">[X] Defensive AI (proposed; no trained model in current demo)</w:t>
              <w:br/>
              <w:t xml:space="preserve">[  ] Adversarial Security</w:t>
              <w:br/>
              <w:t xml:space="preserve">[  ] Non-AI Emerging Tech</w:t>
              <w:br/>
              <w:t xml:space="preserve">Current executable: deterministic language and URL rules.</w:t>
            </w:r>
          </w:p>
        </w:tc>
      </w:tr>
      <w:tr>
        <w:tc>
          <w:tcPr>
            <w:tcW w:type="dxa" w:w="3168"/>
            <w:shd w:fill="F4F6F9"/>
            <w:tcMar>
              <w:top w:w="100" w:type="dxa"/>
              <w:bottom w:w="100" w:type="dxa"/>
              <w:left w:w="120" w:type="dxa"/>
              <w:right w:w="120" w:type="dxa"/>
            </w:tcMar>
          </w:tcPr>
          <w:p>
            <w:r>
              <w:rPr>
                <w:rFonts w:ascii="Calibri" w:hAnsi="Calibri"/>
                <w:b/>
                <w:color w:val="003366"/>
                <w:sz w:val="19"/>
              </w:rPr>
              <w:t>Technical Innovation</w:t>
            </w:r>
          </w:p>
        </w:tc>
        <w:tc>
          <w:tcPr>
            <w:tcW w:type="dxa" w:w="6912"/>
            <w:tcMar>
              <w:top w:w="100" w:type="dxa"/>
              <w:bottom w:w="100" w:type="dxa"/>
              <w:left w:w="120" w:type="dxa"/>
              <w:right w:w="120" w:type="dxa"/>
            </w:tcMar>
          </w:tcPr>
          <w:p>
            <w:r>
              <w:rPr>
                <w:rFonts w:ascii="Calibri" w:hAnsi="Calibri"/>
                <w:sz w:val="18"/>
                <w:color w:val="000000"/>
              </w:rPr>
              <w:t xml:space="preserve">Candidate integration: transparent technical observations with pressure-language explanations and an independent verification prompt. Planned intervention tiers need prespecified calibration and separate safety validation. The current adjunct gives categorical explanations only.</w:t>
            </w:r>
          </w:p>
        </w:tc>
      </w:tr>
      <w:tr>
        <w:tc>
          <w:tcPr>
            <w:tcW w:type="dxa" w:w="3168"/>
            <w:shd w:fill="F4F6F9"/>
            <w:tcMar>
              <w:top w:w="100" w:type="dxa"/>
              <w:bottom w:w="100" w:type="dxa"/>
              <w:left w:w="120" w:type="dxa"/>
              <w:right w:w="120" w:type="dxa"/>
            </w:tcMar>
          </w:tcPr>
          <w:p>
            <w:r>
              <w:rPr>
                <w:rFonts w:ascii="Calibri" w:hAnsi="Calibri"/>
                <w:b/>
                <w:color w:val="003366"/>
                <w:sz w:val="19"/>
              </w:rPr>
              <w:t>AI Risk &amp; Vulnerability Analysis</w:t>
            </w:r>
          </w:p>
        </w:tc>
        <w:tc>
          <w:tcPr>
            <w:tcW w:type="dxa" w:w="6912"/>
            <w:tcMar>
              <w:top w:w="100" w:type="dxa"/>
              <w:bottom w:w="100" w:type="dxa"/>
              <w:left w:w="120" w:type="dxa"/>
              <w:right w:w="120" w:type="dxa"/>
            </w:tcMar>
          </w:tcPr>
          <w:p>
            <w:r>
              <w:rPr>
                <w:rFonts w:ascii="Calibri" w:hAnsi="Calibri"/>
                <w:sz w:val="18"/>
                <w:color w:val="000000"/>
              </w:rPr>
              <w:t xml:space="preserve">Future models could misclassify legitimate urgency, miss evasion, leak messages or follow embedded instructions. Evaluate held-out data and adversarial cases, preserve originals and limit data access. Current text remains inert; the demo does not authenticate senders or infer emotional state.</w:t>
            </w:r>
          </w:p>
        </w:tc>
      </w:tr>
      <w:tr>
        <w:tc>
          <w:tcPr>
            <w:tcW w:type="dxa" w:w="3168"/>
            <w:shd w:fill="F4F6F9"/>
            <w:tcMar>
              <w:top w:w="100" w:type="dxa"/>
              <w:bottom w:w="100" w:type="dxa"/>
              <w:left w:w="120" w:type="dxa"/>
              <w:right w:w="120" w:type="dxa"/>
            </w:tcMar>
          </w:tcPr>
          <w:p>
            <w:r>
              <w:rPr>
                <w:rFonts w:ascii="Calibri" w:hAnsi="Calibri"/>
                <w:b/>
                <w:color w:val="003366"/>
                <w:sz w:val="19"/>
              </w:rPr>
              <w:t>Competitive Advantage</w:t>
            </w:r>
          </w:p>
        </w:tc>
        <w:tc>
          <w:tcPr>
            <w:tcW w:type="dxa" w:w="6912"/>
            <w:tcMar>
              <w:top w:w="100" w:type="dxa"/>
              <w:bottom w:w="100" w:type="dxa"/>
              <w:left w:w="120" w:type="dxa"/>
              <w:right w:w="120" w:type="dxa"/>
            </w:tcMar>
          </w:tcPr>
          <w:p>
            <w:r>
              <w:rPr>
                <w:rFonts w:ascii="Calibri" w:hAnsi="Calibri"/>
                <w:sz w:val="18"/>
                <w:color w:val="000000"/>
              </w:rPr>
              <w:t xml:space="preserve">The local adjunct has 28 passing author-defined synthetic regression checks. These test rule-policy behaviour and input boundaries, including known false alarms and misses. They do not measure phishing accuracy, user benefit, commercial superiority or the source F1/FPR targets.</w:t>
            </w:r>
          </w:p>
        </w:tc>
      </w:tr>
    </w:tbl>
    <w:p>
      <w:pPr>
        <w:keepNext/>
        <w:spacing w:before="240" w:after="120"/>
      </w:pPr>
      <w:r>
        <w:rPr>
          <w:rFonts w:ascii="Arial" w:hAnsi="Arial"/>
          <w:b/>
          <w:color w:val="003366"/>
          <w:sz w:val="24"/>
        </w:rPr>
        <w:t>6. Technical Approach, Architecture &amp; Readiness</w:t>
      </w:r>
    </w:p>
    <w:tbl>
      <w:tblPr>
        <w:tblW w:type="auto" w:w="0"/>
        <w:jc w:val="center"/>
        <w:tblLook w:firstColumn="1" w:firstRow="1" w:lastColumn="0" w:lastRow="0" w:noHBand="0" w:noVBand="1" w:val="04A0"/>
      </w:tblPr>
      <w:tblGrid>
        <w:gridCol w:w="5184"/>
        <w:gridCol w:w="5184"/>
      </w:tblGrid>
      <w:tr>
        <w:tc>
          <w:tcPr>
            <w:tcW w:type="dxa" w:w="3168"/>
            <w:shd w:fill="F4F6F9"/>
            <w:tcMar>
              <w:top w:w="100" w:type="dxa"/>
              <w:bottom w:w="100" w:type="dxa"/>
              <w:left w:w="120" w:type="dxa"/>
              <w:right w:w="120" w:type="dxa"/>
            </w:tcMar>
          </w:tcPr>
          <w:p>
            <w:r>
              <w:rPr>
                <w:rFonts w:ascii="Calibri" w:hAnsi="Calibri"/>
                <w:b/>
                <w:color w:val="003366"/>
                <w:sz w:val="19"/>
              </w:rPr>
              <w:t>System Architecture &amp; Workflow</w:t>
            </w:r>
          </w:p>
        </w:tc>
        <w:tc>
          <w:tcPr>
            <w:tcW w:type="dxa" w:w="6912"/>
            <w:tcMar>
              <w:top w:w="100" w:type="dxa"/>
              <w:bottom w:w="100" w:type="dxa"/>
              <w:left w:w="120" w:type="dxa"/>
              <w:right w:w="120" w:type="dxa"/>
            </w:tcMar>
          </w:tcPr>
          <w:p>
            <w:r>
              <w:rPr>
                <w:rFonts w:ascii="Calibri" w:hAnsi="Calibri"/>
                <w:sz w:val="18"/>
                <w:color w:val="000000"/>
              </w:rPr>
              <w:t xml:space="preserve">Pasted text and optional stated sender/expected domain; length checks and Unicode normalization; language rules and URL-host observations; categorical explanation; verification checklist. Browser computation only. A Python loopback server serves allowlisted static files.</w:t>
            </w:r>
          </w:p>
        </w:tc>
      </w:tr>
      <w:tr>
        <w:tc>
          <w:tcPr>
            <w:tcW w:type="dxa" w:w="3168"/>
            <w:shd w:fill="F4F6F9"/>
            <w:tcMar>
              <w:top w:w="100" w:type="dxa"/>
              <w:bottom w:w="100" w:type="dxa"/>
              <w:left w:w="120" w:type="dxa"/>
              <w:right w:w="120" w:type="dxa"/>
            </w:tcMar>
          </w:tcPr>
          <w:p>
            <w:r>
              <w:rPr>
                <w:rFonts w:ascii="Calibri" w:hAnsi="Calibri"/>
                <w:b/>
                <w:color w:val="003366"/>
                <w:sz w:val="19"/>
              </w:rPr>
              <w:t>Data Sources &amp; Datasets</w:t>
            </w:r>
          </w:p>
        </w:tc>
        <w:tc>
          <w:tcPr>
            <w:tcW w:type="dxa" w:w="6912"/>
            <w:tcMar>
              <w:top w:w="100" w:type="dxa"/>
              <w:bottom w:w="100" w:type="dxa"/>
              <w:left w:w="120" w:type="dxa"/>
              <w:right w:w="120" w:type="dxa"/>
            </w:tcMar>
          </w:tcPr>
          <w:p>
            <w:r>
              <w:rPr>
                <w:rFonts w:ascii="Calibri" w:hAnsi="Calibri"/>
                <w:sz w:val="18"/>
                <w:color w:val="000000"/>
              </w:rPr>
              <w:t xml:space="preserve">24 invented message cases and four input-rejection cases. Limited English, Urdu and Roman Urdu examples; no representative corpus, training, inbox telemetry or real credentials. A future labelled dataset needs documented provenance, licensing, independent labels and family-separated evaluation.</w:t>
            </w:r>
          </w:p>
        </w:tc>
      </w:tr>
      <w:tr>
        <w:tc>
          <w:tcPr>
            <w:tcW w:type="dxa" w:w="3168"/>
            <w:shd w:fill="F4F6F9"/>
            <w:tcMar>
              <w:top w:w="100" w:type="dxa"/>
              <w:bottom w:w="100" w:type="dxa"/>
              <w:left w:w="120" w:type="dxa"/>
              <w:right w:w="120" w:type="dxa"/>
            </w:tcMar>
          </w:tcPr>
          <w:p>
            <w:r>
              <w:rPr>
                <w:rFonts w:ascii="Calibri" w:hAnsi="Calibri"/>
                <w:b/>
                <w:color w:val="003366"/>
                <w:sz w:val="19"/>
              </w:rPr>
              <w:t>Security Mechanisms &amp; Tech Stack</w:t>
            </w:r>
          </w:p>
        </w:tc>
        <w:tc>
          <w:tcPr>
            <w:tcW w:type="dxa" w:w="6912"/>
            <w:tcMar>
              <w:top w:w="100" w:type="dxa"/>
              <w:bottom w:w="100" w:type="dxa"/>
              <w:left w:w="120" w:type="dxa"/>
              <w:right w:w="120" w:type="dxa"/>
            </w:tcMar>
          </w:tcPr>
          <w:p>
            <w:r>
              <w:rPr>
                <w:rFonts w:ascii="Calibri" w:hAnsi="Calibri"/>
                <w:sz w:val="18"/>
                <w:color w:val="000000"/>
              </w:rPr>
              <w:t xml:space="preserve">Browser HTML/CSS/JavaScript modules, dependency-free Python static server, and Node.js regression runner. Text-only rendering, input limits, no external lookups/storage, inert message links and a content-security policy. Local HTTP; no production TLS or certified security controls.</w:t>
            </w:r>
          </w:p>
        </w:tc>
      </w:tr>
      <w:tr>
        <w:tc>
          <w:tcPr>
            <w:tcW w:type="dxa" w:w="3168"/>
            <w:shd w:fill="F4F6F9"/>
            <w:tcMar>
              <w:top w:w="100" w:type="dxa"/>
              <w:bottom w:w="100" w:type="dxa"/>
              <w:left w:w="120" w:type="dxa"/>
              <w:right w:w="120" w:type="dxa"/>
            </w:tcMar>
          </w:tcPr>
          <w:p>
            <w:r>
              <w:rPr>
                <w:rFonts w:ascii="Calibri" w:hAnsi="Calibri"/>
                <w:b/>
                <w:color w:val="003366"/>
                <w:sz w:val="19"/>
              </w:rPr>
              <w:t>Prototype / Demo Status</w:t>
            </w:r>
          </w:p>
        </w:tc>
        <w:tc>
          <w:tcPr>
            <w:tcW w:type="dxa" w:w="6912"/>
            <w:tcMar>
              <w:top w:w="100" w:type="dxa"/>
              <w:bottom w:w="100" w:type="dxa"/>
              <w:left w:w="120" w:type="dxa"/>
              <w:right w:w="120" w:type="dxa"/>
            </w:tcMar>
          </w:tcPr>
          <w:p>
            <w:r>
              <w:rPr>
                <w:rFonts w:ascii="Calibri" w:hAnsi="Calibri"/>
                <w:sz w:val="18"/>
                <w:color w:val="000000"/>
              </w:rPr>
              <w:t xml:space="preserve">[  ] Concept stage    [X] Algorithmic PoC (rule adjunct only)</w:t>
              <w:br/>
              <w:t xml:space="preserve">[  ] Functional Lab Prototype    [  ] Live MVP</w:t>
              <w:br/>
              <w:t xml:space="preserve">The proposed AI/behavioural system remains a concept. Recorded rule demonstration and source are available through Section 9.</w:t>
            </w:r>
          </w:p>
        </w:tc>
      </w:tr>
    </w:tbl>
    <w:p>
      <w:pPr>
        <w:keepNext/>
        <w:spacing w:before="240" w:after="120"/>
      </w:pPr>
      <w:r>
        <w:rPr>
          <w:rFonts w:ascii="Arial" w:hAnsi="Arial"/>
          <w:b/>
          <w:color w:val="003366"/>
          <w:sz w:val="24"/>
        </w:rPr>
        <w:t>7. Innovation, Target Users &amp; Real-World Use Case</w:t>
      </w:r>
    </w:p>
    <w:tbl>
      <w:tblPr>
        <w:tblW w:type="auto" w:w="0"/>
        <w:jc w:val="center"/>
        <w:tblLook w:firstColumn="1" w:firstRow="1" w:lastColumn="0" w:lastRow="0" w:noHBand="0" w:noVBand="1" w:val="04A0"/>
      </w:tblPr>
      <w:tblGrid>
        <w:gridCol w:w="5184"/>
        <w:gridCol w:w="5184"/>
      </w:tblGrid>
      <w:tr>
        <w:tc>
          <w:tcPr>
            <w:tcW w:type="dxa" w:w="3168"/>
            <w:shd w:fill="F4F6F9"/>
            <w:tcMar>
              <w:top w:w="100" w:type="dxa"/>
              <w:bottom w:w="100" w:type="dxa"/>
              <w:left w:w="120" w:type="dxa"/>
              <w:right w:w="120" w:type="dxa"/>
            </w:tcMar>
          </w:tcPr>
          <w:p>
            <w:r>
              <w:rPr>
                <w:rFonts w:ascii="Calibri" w:hAnsi="Calibri"/>
                <w:b/>
                <w:color w:val="003366"/>
                <w:sz w:val="19"/>
              </w:rPr>
              <w:t>Innovation Type &amp; Differentiator</w:t>
            </w:r>
          </w:p>
        </w:tc>
        <w:tc>
          <w:tcPr>
            <w:tcW w:type="dxa" w:w="6912"/>
            <w:tcMar>
              <w:top w:w="100" w:type="dxa"/>
              <w:bottom w:w="100" w:type="dxa"/>
              <w:left w:w="120" w:type="dxa"/>
              <w:right w:w="120" w:type="dxa"/>
            </w:tcMar>
          </w:tcPr>
          <w:p>
            <w:r>
              <w:rPr>
                <w:rFonts w:ascii="Calibri" w:hAnsi="Calibri"/>
                <w:sz w:val="18"/>
                <w:color w:val="000000"/>
              </w:rPr>
              <w:t xml:space="preserve">Candidate implementation and evaluation direction. Existing research already combines user context and explainable warnings. Establishing additional benefit requires defined comparators, multilingual test data and prospective human evaluation. No novel algorithm or broad originality claim is made.</w:t>
            </w:r>
          </w:p>
        </w:tc>
      </w:tr>
      <w:tr>
        <w:tc>
          <w:tcPr>
            <w:tcW w:type="dxa" w:w="3168"/>
            <w:shd w:fill="F4F6F9"/>
            <w:tcMar>
              <w:top w:w="100" w:type="dxa"/>
              <w:bottom w:w="100" w:type="dxa"/>
              <w:left w:w="120" w:type="dxa"/>
              <w:right w:w="120" w:type="dxa"/>
            </w:tcMar>
          </w:tcPr>
          <w:p>
            <w:r>
              <w:rPr>
                <w:rFonts w:ascii="Calibri" w:hAnsi="Calibri"/>
                <w:b/>
                <w:color w:val="003366"/>
                <w:sz w:val="19"/>
              </w:rPr>
              <w:t>IP &amp; Patent Potential</w:t>
            </w:r>
          </w:p>
        </w:tc>
        <w:tc>
          <w:tcPr>
            <w:tcW w:type="dxa" w:w="6912"/>
            <w:tcMar>
              <w:top w:w="100" w:type="dxa"/>
              <w:bottom w:w="100" w:type="dxa"/>
              <w:left w:w="120" w:type="dxa"/>
              <w:right w:w="120" w:type="dxa"/>
            </w:tcMar>
          </w:tcPr>
          <w:p>
            <w:r>
              <w:rPr>
                <w:rFonts w:ascii="Calibri" w:hAnsi="Calibri"/>
                <w:sz w:val="18"/>
                <w:color w:val="000000"/>
              </w:rPr>
              <w:t xml:space="preserve">[  ] Granted Patent    [  ] Patent Filed / Pending</w:t>
              <w:br/>
              <w:t xml:space="preserve">[  ] High IP Potential (Unfiled)    [  ] Open Source</w:t>
              <w:br/>
              <w:t xml:space="preserve">IP ownership, patent position and licensing: pending confirmation. Public review access does not confer an open-source licence.</w:t>
            </w:r>
          </w:p>
        </w:tc>
      </w:tr>
      <w:tr>
        <w:tc>
          <w:tcPr>
            <w:tcW w:type="dxa" w:w="3168"/>
            <w:shd w:fill="F4F6F9"/>
            <w:tcMar>
              <w:top w:w="100" w:type="dxa"/>
              <w:bottom w:w="100" w:type="dxa"/>
              <w:left w:w="120" w:type="dxa"/>
              <w:right w:w="120" w:type="dxa"/>
            </w:tcMar>
          </w:tcPr>
          <w:p>
            <w:r>
              <w:rPr>
                <w:rFonts w:ascii="Calibri" w:hAnsi="Calibri"/>
                <w:b/>
                <w:color w:val="003366"/>
                <w:sz w:val="19"/>
              </w:rPr>
              <w:t>Target Users / Sectors</w:t>
            </w:r>
          </w:p>
        </w:tc>
        <w:tc>
          <w:tcPr>
            <w:tcW w:type="dxa" w:w="6912"/>
            <w:tcMar>
              <w:top w:w="100" w:type="dxa"/>
              <w:bottom w:w="100" w:type="dxa"/>
              <w:left w:w="120" w:type="dxa"/>
              <w:right w:w="120" w:type="dxa"/>
            </w:tcMar>
          </w:tcPr>
          <w:p>
            <w:r>
              <w:rPr>
                <w:rFonts w:ascii="Calibri" w:hAnsi="Calibri"/>
                <w:sz w:val="18"/>
                <w:color w:val="000000"/>
              </w:rPr>
              <w:t xml:space="preserve">[  ] Government / Defense    [  ] Critical Infrastructure / Energy</w:t>
              <w:br/>
              <w:t xml:space="preserve">[  ] Banking &amp; Financial Services    [  ] Enterprise / Healthcare</w:t>
              <w:br/>
              <w:t xml:space="preserve">[  ] Small &amp; Medium Enterprises    [X] General Public / End Users</w:t>
              <w:br/>
              <w:t xml:space="preserve">Initial scope: university/institutional research users.</w:t>
            </w:r>
          </w:p>
        </w:tc>
      </w:tr>
      <w:tr>
        <w:tc>
          <w:tcPr>
            <w:tcW w:type="dxa" w:w="3168"/>
            <w:shd w:fill="F4F6F9"/>
            <w:tcMar>
              <w:top w:w="100" w:type="dxa"/>
              <w:bottom w:w="100" w:type="dxa"/>
              <w:left w:w="120" w:type="dxa"/>
              <w:right w:w="120" w:type="dxa"/>
            </w:tcMar>
          </w:tcPr>
          <w:p>
            <w:r>
              <w:rPr>
                <w:rFonts w:ascii="Calibri" w:hAnsi="Calibri"/>
                <w:b/>
                <w:color w:val="003366"/>
                <w:sz w:val="19"/>
              </w:rPr>
              <w:t>Practical Cybersecurity Use Case</w:t>
            </w:r>
          </w:p>
        </w:tc>
        <w:tc>
          <w:tcPr>
            <w:tcW w:type="dxa" w:w="6912"/>
            <w:tcMar>
              <w:top w:w="100" w:type="dxa"/>
              <w:bottom w:w="100" w:type="dxa"/>
              <w:left w:w="120" w:type="dxa"/>
              <w:right w:w="120" w:type="dxa"/>
            </w:tcMar>
          </w:tcPr>
          <w:p>
            <w:r>
              <w:rPr>
                <w:rFonts w:ascii="Calibri" w:hAnsi="Calibri"/>
                <w:sz w:val="18"/>
                <w:color w:val="000000"/>
              </w:rPr>
              <w:t xml:space="preserve">A synthetic account message demands an OTP within 30 seconds and uses a link outside the user-supplied expected domain. The demo explains the observed cues and suggests a known verification channel. A benign urgent notice can also trigger rules, so the output never gives a safety verdict.</w:t>
            </w:r>
          </w:p>
        </w:tc>
      </w:tr>
    </w:tbl>
    <w:p>
      <w:pPr>
        <w:keepNext/>
        <w:spacing w:before="240" w:after="120"/>
      </w:pPr>
      <w:r>
        <w:rPr>
          <w:rFonts w:ascii="Arial" w:hAnsi="Arial"/>
          <w:b/>
          <w:color w:val="003366"/>
          <w:sz w:val="24"/>
        </w:rPr>
        <w:t>8. Business Potential, Feasibility &amp; Security Readiness</w:t>
      </w:r>
    </w:p>
    <w:tbl>
      <w:tblPr>
        <w:tblW w:type="auto" w:w="0"/>
        <w:jc w:val="center"/>
        <w:tblLook w:firstColumn="1" w:firstRow="1" w:lastColumn="0" w:lastRow="0" w:noHBand="0" w:noVBand="1" w:val="04A0"/>
      </w:tblPr>
      <w:tblGrid>
        <w:gridCol w:w="5184"/>
        <w:gridCol w:w="5184"/>
      </w:tblGrid>
      <w:tr>
        <w:tc>
          <w:tcPr>
            <w:tcW w:type="dxa" w:w="3168"/>
            <w:shd w:fill="F4F6F9"/>
            <w:tcMar>
              <w:top w:w="100" w:type="dxa"/>
              <w:bottom w:w="100" w:type="dxa"/>
              <w:left w:w="120" w:type="dxa"/>
              <w:right w:w="120" w:type="dxa"/>
            </w:tcMar>
          </w:tcPr>
          <w:p>
            <w:r>
              <w:rPr>
                <w:rFonts w:ascii="Calibri" w:hAnsi="Calibri"/>
                <w:b/>
                <w:color w:val="003366"/>
                <w:sz w:val="19"/>
              </w:rPr>
              <w:t>Commercial Strategy / Business Model</w:t>
            </w:r>
          </w:p>
        </w:tc>
        <w:tc>
          <w:tcPr>
            <w:tcW w:type="dxa" w:w="6912"/>
            <w:tcMar>
              <w:top w:w="100" w:type="dxa"/>
              <w:bottom w:w="100" w:type="dxa"/>
              <w:left w:w="120" w:type="dxa"/>
              <w:right w:w="120" w:type="dxa"/>
            </w:tcMar>
          </w:tcPr>
          <w:p>
            <w:r>
              <w:rPr>
                <w:rFonts w:ascii="Calibri" w:hAnsi="Calibri"/>
                <w:sz w:val="18"/>
                <w:color w:val="000000"/>
              </w:rPr>
              <w:t xml:space="preserve">N/A for current academic concept. A future institutional offering would require buyer interviews, pricing, demand and procurement validation. No revenue, contract, market-size estimate or cost advantage is asserted.</w:t>
            </w:r>
          </w:p>
        </w:tc>
      </w:tr>
      <w:tr>
        <w:tc>
          <w:tcPr>
            <w:tcW w:type="dxa" w:w="3168"/>
            <w:shd w:fill="F4F6F9"/>
            <w:tcMar>
              <w:top w:w="100" w:type="dxa"/>
              <w:bottom w:w="100" w:type="dxa"/>
              <w:left w:w="120" w:type="dxa"/>
              <w:right w:w="120" w:type="dxa"/>
            </w:tcMar>
          </w:tcPr>
          <w:p>
            <w:r>
              <w:rPr>
                <w:rFonts w:ascii="Calibri" w:hAnsi="Calibri"/>
                <w:b/>
                <w:color w:val="003366"/>
                <w:sz w:val="19"/>
              </w:rPr>
              <w:t>Implementation Roadmap &amp; Timeline</w:t>
            </w:r>
          </w:p>
        </w:tc>
        <w:tc>
          <w:tcPr>
            <w:tcW w:type="dxa" w:w="6912"/>
            <w:tcMar>
              <w:top w:w="100" w:type="dxa"/>
              <w:bottom w:w="100" w:type="dxa"/>
              <w:left w:w="120" w:type="dxa"/>
              <w:right w:w="120" w:type="dxa"/>
            </w:tcMar>
          </w:tcPr>
          <w:p>
            <w:r>
              <w:rPr>
                <w:rFonts w:ascii="Calibri" w:hAnsi="Calibri"/>
                <w:sz w:val="18"/>
                <w:color w:val="000000"/>
              </w:rPr>
              <w:t xml:space="preserve">Proposed planning gates: 3 months, define scope and independently label data; 6 months, compare specified NLP/rule baselines; 12 months, seek approval for a controlled user study. Source targets F1 &gt;= 0.90 and false-positive rate &lt;= 5% remain unvalidated. Deployment and behavioural sensing require separate review.</w:t>
            </w:r>
          </w:p>
        </w:tc>
      </w:tr>
      <w:tr>
        <w:tc>
          <w:tcPr>
            <w:tcW w:type="dxa" w:w="3168"/>
            <w:shd w:fill="F4F6F9"/>
            <w:tcMar>
              <w:top w:w="100" w:type="dxa"/>
              <w:bottom w:w="100" w:type="dxa"/>
              <w:left w:w="120" w:type="dxa"/>
              <w:right w:w="120" w:type="dxa"/>
            </w:tcMar>
          </w:tcPr>
          <w:p>
            <w:r>
              <w:rPr>
                <w:rFonts w:ascii="Calibri" w:hAnsi="Calibri"/>
                <w:b/>
                <w:color w:val="003366"/>
                <w:sz w:val="19"/>
              </w:rPr>
              <w:t>Resource Requirements &amp; Budget</w:t>
            </w:r>
          </w:p>
        </w:tc>
        <w:tc>
          <w:tcPr>
            <w:tcW w:type="dxa" w:w="6912"/>
            <w:tcMar>
              <w:top w:w="100" w:type="dxa"/>
              <w:bottom w:w="100" w:type="dxa"/>
              <w:left w:w="120" w:type="dxa"/>
              <w:right w:w="120" w:type="dxa"/>
            </w:tcMar>
          </w:tcPr>
          <w:p>
            <w:r>
              <w:rPr>
                <w:rFonts w:ascii="Calibri" w:hAnsi="Calibri"/>
                <w:sz w:val="18"/>
                <w:color w:val="000000"/>
              </w:rPr>
              <w:t xml:space="preserve">Current adjunct uses one existing laptop without cloud services or specialised hardware. Provisional budget reported in supplied material: PKR 6.5 million. Applicant confirmation and itemized staffing, data, evaluation and infrastructure costs remain pending.</w:t>
            </w:r>
          </w:p>
        </w:tc>
      </w:tr>
      <w:tr>
        <w:tc>
          <w:tcPr>
            <w:tcW w:type="dxa" w:w="3168"/>
            <w:shd w:fill="F4F6F9"/>
            <w:tcMar>
              <w:top w:w="100" w:type="dxa"/>
              <w:bottom w:w="100" w:type="dxa"/>
              <w:left w:w="120" w:type="dxa"/>
              <w:right w:w="120" w:type="dxa"/>
            </w:tcMar>
          </w:tcPr>
          <w:p>
            <w:r>
              <w:rPr>
                <w:rFonts w:ascii="Calibri" w:hAnsi="Calibri"/>
                <w:b/>
                <w:color w:val="003366"/>
                <w:sz w:val="19"/>
              </w:rPr>
              <w:t>Security-by-Design &amp; Privacy</w:t>
            </w:r>
          </w:p>
        </w:tc>
        <w:tc>
          <w:tcPr>
            <w:tcW w:type="dxa" w:w="6912"/>
            <w:tcMar>
              <w:top w:w="100" w:type="dxa"/>
              <w:bottom w:w="100" w:type="dxa"/>
              <w:left w:w="120" w:type="dxa"/>
              <w:right w:w="120" w:type="dxa"/>
            </w:tcMar>
          </w:tcPr>
          <w:p>
            <w:r>
              <w:rPr>
                <w:rFonts w:ascii="Calibri" w:hAnsi="Calibri"/>
                <w:sz w:val="18"/>
                <w:color w:val="000000"/>
              </w:rPr>
              <w:t xml:space="preserve">Minimize message collection, process locally and preserve original wording. No mailbox permissions, behavioural surveillance or external model service is used. Optional review downloads contain excerpts. Future sensing, storage or live intervention needs explicit governance, retention, access and safety controls.</w:t>
            </w:r>
          </w:p>
        </w:tc>
      </w:tr>
      <w:tr>
        <w:tc>
          <w:tcPr>
            <w:tcW w:type="dxa" w:w="3168"/>
            <w:shd w:fill="F4F6F9"/>
            <w:tcMar>
              <w:top w:w="100" w:type="dxa"/>
              <w:bottom w:w="100" w:type="dxa"/>
              <w:left w:w="120" w:type="dxa"/>
              <w:right w:w="120" w:type="dxa"/>
            </w:tcMar>
          </w:tcPr>
          <w:p>
            <w:r>
              <w:rPr>
                <w:rFonts w:ascii="Calibri" w:hAnsi="Calibri"/>
                <w:b/>
                <w:color w:val="003366"/>
                <w:sz w:val="19"/>
              </w:rPr>
              <w:t>Regulatory &amp; Standard Alignment</w:t>
            </w:r>
          </w:p>
        </w:tc>
        <w:tc>
          <w:tcPr>
            <w:tcW w:type="dxa" w:w="6912"/>
            <w:tcMar>
              <w:top w:w="100" w:type="dxa"/>
              <w:bottom w:w="100" w:type="dxa"/>
              <w:left w:w="120" w:type="dxa"/>
              <w:right w:w="120" w:type="dxa"/>
            </w:tcMar>
          </w:tcPr>
          <w:p>
            <w:r>
              <w:rPr>
                <w:rFonts w:ascii="Calibri" w:hAnsi="Calibri"/>
                <w:sz w:val="18"/>
                <w:color w:val="000000"/>
              </w:rPr>
              <w:t xml:space="preserve">[  ] ISO 27001    [  ] NIST CSF    [  ] GDPR / Local Data Protection    [X] N/A</w:t>
              <w:br/>
              <w:t xml:space="preserve">No certification or formal compliance assessment. NIST Phish Scale is a research reference, not a compliance claim.</w:t>
            </w:r>
          </w:p>
        </w:tc>
      </w:tr>
    </w:tbl>
    <w:p>
      <w:pPr>
        <w:keepNext/>
        <w:spacing w:before="240" w:after="120"/>
      </w:pPr>
      <w:r>
        <w:rPr>
          <w:rFonts w:ascii="Arial" w:hAnsi="Arial"/>
          <w:b/>
          <w:color w:val="003366"/>
          <w:sz w:val="24"/>
        </w:rPr>
        <w:t>9. Supporting Material &amp; Applicant Declaration</w:t>
      </w:r>
    </w:p>
    <w:tbl>
      <w:tblPr>
        <w:tblW w:type="auto" w:w="0"/>
        <w:jc w:val="center"/>
        <w:tblLook w:firstColumn="1" w:firstRow="1" w:lastColumn="0" w:lastRow="0" w:noHBand="0" w:noVBand="1" w:val="04A0"/>
      </w:tblPr>
      <w:tblGrid>
        <w:gridCol w:w="5184"/>
        <w:gridCol w:w="5184"/>
      </w:tblGrid>
      <w:tr>
        <w:tc>
          <w:tcPr>
            <w:tcW w:type="dxa" w:w="3168"/>
            <w:shd w:fill="F4F6F9"/>
            <w:tcMar>
              <w:top w:w="80" w:type="dxa"/>
              <w:bottom w:w="80" w:type="dxa"/>
              <w:left w:w="120" w:type="dxa"/>
              <w:right w:w="120" w:type="dxa"/>
            </w:tcMar>
          </w:tcPr>
          <w:p>
            <w:r>
              <w:rPr>
                <w:rFonts w:ascii="Calibri" w:hAnsi="Calibri"/>
                <w:b/>
                <w:color w:val="003366"/>
                <w:sz w:val="19"/>
              </w:rPr>
              <w:t>Working Demo / Video Link</w:t>
            </w:r>
          </w:p>
        </w:tc>
        <w:tc>
          <w:tcPr>
            <w:tcW w:type="dxa" w:w="6912"/>
            <w:tcMar>
              <w:top w:w="80" w:type="dxa"/>
              <w:bottom w:w="80" w:type="dxa"/>
              <w:left w:w="120" w:type="dxa"/>
              <w:right w:w="120" w:type="dxa"/>
            </w:tcMar>
          </w:tcPr>
          <w:p>
            <w:hyperlink r:id="rIdDCF9">
              <w:r>
                <w:rPr>
                  <w:rFonts w:ascii="Calibri" w:hAnsi="Calibri"/>
                  <w:sz w:val="18"/>
                  <w:color w:val="0563C1"/>
                  <w:u w:val="single"/>
                </w:rPr>
                <w:t xml:space="preserve">Recorded working rule demonstration</w:t>
              </w:r>
            </w:hyperlink>
            <w:r>
              <w:rPr>
                <w:rFonts w:ascii="Calibri" w:hAnsi="Calibri"/>
                <w:sz w:val="18"/>
                <w:color w:val="000000"/>
              </w:rPr>
              <w:t xml:space="preserve">. Public video of the executable rule adjunct. </w:t>
            </w:r>
            <w:hyperlink r:id="rIdDCF10">
              <w:r>
                <w:rPr>
                  <w:rFonts w:ascii="Calibri" w:hAnsi="Calibri"/>
                  <w:sz w:val="18"/>
                  <w:color w:val="0563C1"/>
                  <w:u w:val="single"/>
                </w:rPr>
                <w:t xml:space="preserve">Run-locally instructions</w:t>
              </w:r>
            </w:hyperlink>
            <w:r>
              <w:rPr>
                <w:rFonts w:ascii="Calibri" w:hAnsi="Calibri"/>
                <w:sz w:val="18"/>
                <w:color w:val="000000"/>
              </w:rPr>
              <w:t xml:space="preserve">. No public application deployment.</w:t>
            </w:r>
          </w:p>
        </w:tc>
      </w:tr>
      <w:tr>
        <w:tc>
          <w:tcPr>
            <w:tcW w:type="dxa" w:w="3168"/>
            <w:shd w:fill="F4F6F9"/>
            <w:tcMar>
              <w:top w:w="80" w:type="dxa"/>
              <w:bottom w:w="80" w:type="dxa"/>
              <w:left w:w="120" w:type="dxa"/>
              <w:right w:w="120" w:type="dxa"/>
            </w:tcMar>
          </w:tcPr>
          <w:p>
            <w:r>
              <w:rPr>
                <w:rFonts w:ascii="Calibri" w:hAnsi="Calibri"/>
                <w:b/>
                <w:color w:val="003366"/>
                <w:sz w:val="19"/>
              </w:rPr>
              <w:t>GitHub / Code Repository</w:t>
            </w:r>
          </w:p>
        </w:tc>
        <w:tc>
          <w:tcPr>
            <w:tcW w:type="dxa" w:w="6912"/>
            <w:tcMar>
              <w:top w:w="80" w:type="dxa"/>
              <w:bottom w:w="80" w:type="dxa"/>
              <w:left w:w="120" w:type="dxa"/>
              <w:right w:w="120" w:type="dxa"/>
            </w:tcMar>
          </w:tcPr>
          <w:p>
            <w:hyperlink r:id="rIdDCF11">
              <w:r>
                <w:rPr>
                  <w:rFonts w:ascii="Calibri" w:hAnsi="Calibri"/>
                  <w:sz w:val="18"/>
                  <w:color w:val="0563C1"/>
                  <w:u w:val="single"/>
                </w:rPr>
                <w:t xml:space="preserve">Public reviewer repository</w:t>
              </w:r>
            </w:hyperlink>
            <w:r>
              <w:rPr>
                <w:rFonts w:ascii="Calibri" w:hAnsi="Calibri"/>
                <w:sz w:val="18"/>
                <w:color w:val="000000"/>
              </w:rPr>
              <w:t xml:space="preserve">. Source, reproducible checks and reviewer materials. No sign-in required for public files.</w:t>
            </w:r>
          </w:p>
        </w:tc>
      </w:tr>
      <w:tr>
        <w:tc>
          <w:tcPr>
            <w:tcW w:type="dxa" w:w="3168"/>
            <w:shd w:fill="F4F6F9"/>
            <w:tcMar>
              <w:top w:w="80" w:type="dxa"/>
              <w:bottom w:w="80" w:type="dxa"/>
              <w:left w:w="120" w:type="dxa"/>
              <w:right w:w="120" w:type="dxa"/>
            </w:tcMar>
          </w:tcPr>
          <w:p>
            <w:r>
              <w:rPr>
                <w:rFonts w:ascii="Calibri" w:hAnsi="Calibri"/>
                <w:b/>
                <w:color w:val="003366"/>
                <w:sz w:val="19"/>
              </w:rPr>
              <w:t>Research Paper / Pitch Deck</w:t>
            </w:r>
          </w:p>
        </w:tc>
        <w:tc>
          <w:tcPr>
            <w:tcW w:type="dxa" w:w="6912"/>
            <w:tcMar>
              <w:top w:w="80" w:type="dxa"/>
              <w:bottom w:w="80" w:type="dxa"/>
              <w:left w:w="120" w:type="dxa"/>
              <w:right w:w="120" w:type="dxa"/>
            </w:tcMar>
          </w:tcPr>
          <w:p>
            <w:hyperlink r:id="rIdDCF12">
              <w:r>
                <w:rPr>
                  <w:rFonts w:ascii="Calibri" w:hAnsi="Calibri"/>
                  <w:sz w:val="18"/>
                  <w:color w:val="0563C1"/>
                  <w:u w:val="single"/>
                </w:rPr>
                <w:t xml:space="preserve">Refined editable pitch deck</w:t>
              </w:r>
            </w:hyperlink>
            <w:r>
              <w:rPr>
                <w:rFonts w:ascii="Calibri" w:hAnsi="Calibri"/>
                <w:sz w:val="18"/>
                <w:color w:val="000000"/>
              </w:rPr>
              <w:t xml:space="preserve">. No publication or peer review is claimed.</w:t>
            </w:r>
          </w:p>
        </w:tc>
      </w:tr>
      <w:tr>
        <w:tc>
          <w:tcPr>
            <w:tcW w:type="dxa" w:w="3168"/>
            <w:shd w:fill="F4F6F9"/>
            <w:tcMar>
              <w:top w:w="80" w:type="dxa"/>
              <w:bottom w:w="80" w:type="dxa"/>
              <w:left w:w="120" w:type="dxa"/>
              <w:right w:w="120" w:type="dxa"/>
            </w:tcMar>
          </w:tcPr>
          <w:p>
            <w:r>
              <w:rPr>
                <w:rFonts w:ascii="Calibri" w:hAnsi="Calibri"/>
                <w:b/>
                <w:color w:val="003366"/>
                <w:sz w:val="19"/>
              </w:rPr>
              <w:t>Additional Documents</w:t>
            </w:r>
          </w:p>
        </w:tc>
        <w:tc>
          <w:tcPr>
            <w:tcW w:type="dxa" w:w="6912"/>
            <w:tcMar>
              <w:top w:w="80" w:type="dxa"/>
              <w:bottom w:w="80" w:type="dxa"/>
              <w:left w:w="120" w:type="dxa"/>
              <w:right w:w="120" w:type="dxa"/>
            </w:tcMar>
          </w:tcPr>
          <w:p>
            <w:hyperlink r:id="rIdDCF13">
              <w:r>
                <w:rPr>
                  <w:rFonts w:ascii="Calibri" w:hAnsi="Calibri"/>
                  <w:sz w:val="18"/>
                  <w:color w:val="0563C1"/>
                  <w:u w:val="single"/>
                </w:rPr>
                <w:t xml:space="preserve">Technical documents</w:t>
              </w:r>
            </w:hyperlink>
            <w:r>
              <w:rPr>
                <w:rFonts w:ascii="Calibri" w:hAnsi="Calibri"/>
                <w:sz w:val="18"/>
                <w:color w:val="000000"/>
              </w:rPr>
              <w:t xml:space="preserve">; </w:t>
            </w:r>
            <w:hyperlink r:id="rIdDCF14">
              <w:r>
                <w:rPr>
                  <w:rFonts w:ascii="Calibri" w:hAnsi="Calibri"/>
                  <w:sz w:val="18"/>
                  <w:color w:val="0563C1"/>
                  <w:u w:val="single"/>
                </w:rPr>
                <w:t xml:space="preserve">validation report</w:t>
              </w:r>
            </w:hyperlink>
            <w:r>
              <w:rPr>
                <w:rFonts w:ascii="Calibri" w:hAnsi="Calibri"/>
                <w:sz w:val="18"/>
                <w:color w:val="000000"/>
              </w:rPr>
              <w:t xml:space="preserve">; </w:t>
            </w:r>
            <w:hyperlink r:id="rIdDCF15">
              <w:r>
                <w:rPr>
                  <w:rFonts w:ascii="Calibri" w:hAnsi="Calibri"/>
                  <w:sz w:val="18"/>
                  <w:color w:val="0563C1"/>
                  <w:u w:val="single"/>
                </w:rPr>
                <w:t xml:space="preserve">research register</w:t>
              </w:r>
            </w:hyperlink>
            <w:r>
              <w:rPr>
                <w:rFonts w:ascii="Calibri" w:hAnsi="Calibri"/>
                <w:sz w:val="18"/>
                <w:color w:val="000000"/>
              </w:rPr>
              <w:t xml:space="preserve">; </w:t>
            </w:r>
            <w:hyperlink r:id="rIdDCF16">
              <w:r>
                <w:rPr>
                  <w:rFonts w:ascii="Calibri" w:hAnsi="Calibri"/>
                  <w:sz w:val="18"/>
                  <w:color w:val="0563C1"/>
                  <w:u w:val="single"/>
                </w:rPr>
                <w:t xml:space="preserve">source reconciliation</w:t>
              </w:r>
            </w:hyperlink>
            <w:r>
              <w:rPr>
                <w:rFonts w:ascii="Calibri" w:hAnsi="Calibri"/>
                <w:sz w:val="18"/>
                <w:color w:val="000000"/>
              </w:rPr>
              <w:t xml:space="preserve">; </w:t>
            </w:r>
            <w:hyperlink r:id="rIdDCF17">
              <w:r>
                <w:rPr>
                  <w:rFonts w:ascii="Calibri" w:hAnsi="Calibri"/>
                  <w:sz w:val="18"/>
                  <w:color w:val="0563C1"/>
                  <w:u w:val="single"/>
                </w:rPr>
                <w:t xml:space="preserve">template link directory</w:t>
              </w:r>
            </w:hyperlink>
            <w:r>
              <w:rPr>
                <w:rFonts w:ascii="Calibri" w:hAnsi="Calibri"/>
                <w:sz w:val="18"/>
                <w:color w:val="000000"/>
              </w:rPr>
              <w:t xml:space="preserve">.</w:t>
            </w:r>
          </w:p>
        </w:tc>
      </w:tr>
    </w:tbl>
    <w:p>
      <w:pPr>
        <w:spacing w:after="80"/>
      </w:pPr>
    </w:p>
    <w:tbl>
      <w:tblPr>
        <w:tblW w:type="auto" w:w="0"/>
        <w:jc w:val="center"/>
        <w:tblLook w:firstColumn="1" w:firstRow="1" w:lastColumn="0" w:lastRow="0" w:noHBand="0" w:noVBand="1" w:val="04A0"/>
      </w:tblPr>
      <w:tblGrid>
        <w:gridCol w:w="10368"/>
      </w:tblGrid>
      <w:tr>
        <w:tc>
          <w:tcPr>
            <w:tcW w:type="dxa" w:w="10368"/>
            <w:shd w:fill="FAFAFA"/>
            <w:tcMar>
              <w:top w:w="120" w:type="dxa"/>
              <w:bottom w:w="120" w:type="dxa"/>
              <w:left w:w="150" w:type="dxa"/>
              <w:right w:w="150" w:type="dxa"/>
            </w:tcMar>
          </w:tcPr>
          <w:p>
            <w:pPr>
              <w:spacing w:after="80"/>
            </w:pPr>
            <w:r>
              <w:rPr>
                <w:rFonts w:ascii="Arial" w:hAnsi="Arial"/>
                <w:b/>
                <w:color w:val="003366"/>
                <w:sz w:val="20"/>
              </w:rPr>
              <w:t>APPLICANT DECLARATION &amp; CONFIRMATION</w:t>
            </w:r>
          </w:p>
          <w:p>
            <w:pPr>
              <w:spacing w:after="240"/>
            </w:pPr>
            <w:r>
              <w:rPr>
                <w:rFonts w:ascii="Calibri" w:hAnsi="Calibri"/>
                <w:color w:val="2C3E50"/>
                <w:sz w:val="19"/>
              </w:rPr>
              <w:t>I/We hereby declare that all information provided in this Concept Note for the Cyber Innovation &amp; Startup Challenge (PCC-26) is complete, true, and original. I/We understand that any intentional misrepresentation or plagiarism will result in immediate disqualification.</w:t>
            </w:r>
          </w:p>
          <w:p>
            <w:pPr>
              <w:spacing w:after="0"/>
            </w:pPr>
            <w:r>
              <w:rPr>
                <w:rFonts w:ascii="Calibri" w:hAnsi="Calibri"/>
                <w:b/>
                <w:color w:val="003366"/>
                <w:sz w:val="19"/>
              </w:rPr>
              <w:t>Lead Applicant Signature: _______________________      Date: _______________      Stamp (if applicable): _______________</w:t>
            </w: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DCF9" Type="http://schemas.openxmlformats.org/officeDocument/2006/relationships/hyperlink" Target="https://github.com/javed110/digital-cognitive-firewall-pcc-2026-reviewer/blob/main/Demo/cognitive-firewall-walkthrough.mp4" TargetMode="External"/><Relationship Id="rIdDCF10" Type="http://schemas.openxmlformats.org/officeDocument/2006/relationships/hyperlink" Target="https://github.com/javed110/digital-cognitive-firewall-pcc-2026-reviewer/blob/main/README.md" TargetMode="External"/><Relationship Id="rIdDCF11" Type="http://schemas.openxmlformats.org/officeDocument/2006/relationships/hyperlink" Target="https://github.com/javed110/digital-cognitive-firewall-pcc-2026-reviewer" TargetMode="External"/><Relationship Id="rIdDCF12" Type="http://schemas.openxmlformats.org/officeDocument/2006/relationships/hyperlink" Target="https://github.com/javed110/digital-cognitive-firewall-pcc-2026-reviewer/blob/main/Presentation/Digital_Cognitive_Firewall_Refined.pptx" TargetMode="External"/><Relationship Id="rIdDCF13" Type="http://schemas.openxmlformats.org/officeDocument/2006/relationships/hyperlink" Target="https://github.com/javed110/digital-cognitive-firewall-pcc-2026-reviewer/tree/main/docs" TargetMode="External"/><Relationship Id="rIdDCF14" Type="http://schemas.openxmlformats.org/officeDocument/2006/relationships/hyperlink" Target="https://github.com/javed110/digital-cognitive-firewall-pcc-2026-reviewer/blob/main/docs/VALIDATION_REPORT.md" TargetMode="External"/><Relationship Id="rIdDCF15" Type="http://schemas.openxmlformats.org/officeDocument/2006/relationships/hyperlink" Target="https://github.com/javed110/digital-cognitive-firewall-pcc-2026-reviewer/blob/main/docs/RESEARCH_REGISTER.md" TargetMode="External"/><Relationship Id="rIdDCF16" Type="http://schemas.openxmlformats.org/officeDocument/2006/relationships/hyperlink" Target="https://github.com/javed110/digital-cognitive-firewall-pcc-2026-reviewer/blob/main/docs/SOURCE_REVIEW.md" TargetMode="External"/><Relationship Id="rIdDCF17" Type="http://schemas.openxmlformats.org/officeDocument/2006/relationships/hyperlink" Target="https://github.com/javed110/digital-cognitive-firewall-pcc-2026-reviewer/blob/main/docs/TEMPLATE_LINK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