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4682B4"/>
          <w:sz w:val="22"/>
        </w:rPr>
        <w:t>PCC-26 – CYBER INNOVATION &amp; STARTUP CHALLENGE</w:t>
      </w:r>
    </w:p>
    <w:p>
      <w:pPr>
        <w:spacing w:before="0" w:after="80"/>
        <w:jc w:val="center"/>
      </w:pPr>
      <w:r>
        <w:rPr>
          <w:rFonts w:ascii="Arial" w:hAnsi="Arial"/>
          <w:b/>
          <w:color w:val="003366"/>
          <w:sz w:val="40"/>
        </w:rPr>
        <w:t>CONCEPT NOTE APPLICATION TEMPLATE</w:t>
      </w:r>
    </w:p>
    <w:p>
      <w:pPr>
        <w:spacing w:before="0" w:after="280"/>
        <w:jc w:val="center"/>
      </w:pPr>
      <w:r>
        <w:rPr>
          <w:rFonts w:ascii="Calibri" w:hAnsi="Calibri"/>
          <w:i/>
          <w:color w:val="646E78"/>
          <w:sz w:val="20"/>
        </w:rPr>
        <w:t>National Center for Cyber Security (NCCS) Secretariat, Air University, Islamabad</w:t>
      </w:r>
    </w:p>
    <w:tbl>
      <w:tblPr>
        <w:tblW w:type="auto" w:w="0"/>
        <w:jc w:val="center"/>
        <w:tblLook w:firstColumn="1" w:firstRow="1" w:lastColumn="0" w:lastRow="0" w:noHBand="0" w:noVBand="1" w:val="04A0"/>
      </w:tblPr>
      <w:tblGrid>
        <w:gridCol w:w="10368"/>
      </w:tblGrid>
      <w:tr>
        <w:tc>
          <w:tcPr>
            <w:tcW w:type="dxa" w:w="10368"/>
            <w:shd w:fill="F0F4F8"/>
            <w:tcMar>
              <w:top w:w="120" w:type="dxa"/>
              <w:bottom w:w="120" w:type="dxa"/>
              <w:left w:w="180" w:type="dxa"/>
              <w:right w:w="180" w:type="dxa"/>
            </w:tcMar>
          </w:tcPr>
          <w:p>
            <w:pPr>
              <w:spacing w:after="80"/>
            </w:pPr>
            <w:r>
              <w:rPr>
                <w:rFonts w:ascii="Arial" w:hAnsi="Arial"/>
                <w:b/>
                <w:color w:val="003366"/>
                <w:sz w:val="20"/>
              </w:rPr>
              <w:t>INSTRUCTIONS FOR APPLICANTS</w:t>
            </w:r>
          </w:p>
          <w:p>
            <w:pPr>
              <w:spacing w:after="0"/>
            </w:pPr>
            <w:r>
              <w:rPr>
                <w:rFonts w:ascii="Calibri" w:hAnsi="Calibri"/>
                <w:color w:val="2C3E50"/>
                <w:sz w:val="19"/>
              </w:rPr>
              <w:t>1. Do not alter the structure or formatting of this application template.</w:t>
              <w:br/>
              <w:t>2. Provide clear, concise, and structured responses within the designated spaces.</w:t>
              <w:br/>
              <w:t>3. Fields not applicable to your project stage (e.g., commercialization for early research) should be marked N/A.</w:t>
              <w:br/>
              <w:t>4. Central Theme: Cybersecurity Innovation for Emerging and Future Threats.</w:t>
            </w:r>
          </w:p>
        </w:tc>
        <w:trPr>
          <w:cantSplit/>
        </w:trPr>
      </w:tr>
    </w:tbl>
    <w:p>
      <w:pPr>
        <w:spacing w:after="120"/>
      </w:pPr>
    </w:p>
    <w:p>
      <w:pPr>
        <w:keepNext/>
        <w:spacing w:before="240" w:after="120"/>
      </w:pPr>
      <w:r>
        <w:rPr>
          <w:rFonts w:ascii="Arial" w:hAnsi="Arial"/>
          <w:b/>
          <w:color w:val="003366"/>
          <w:sz w:val="24"/>
        </w:rPr>
        <w:t>1. Executive Summary (One-Page Overview)</w:t>
      </w:r>
    </w:p>
    <w:tbl>
      <w:tblPr>
        <w:tblW w:type="auto" w:w="0"/>
        <w:jc w:val="center"/>
        <w:tblLayout w:type="fixed"/>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pPr>
              <w:spacing w:after="0"/>
            </w:pPr>
            <w:r>
              <w:rPr>
                <w:rFonts w:ascii="Calibri" w:hAnsi="Calibri"/>
                <w:b/>
                <w:color w:val="003366"/>
                <w:sz w:val="20"/>
              </w:rPr>
              <w:t>Project / Startup Title</w:t>
            </w:r>
          </w:p>
        </w:tc>
        <w:tc>
          <w:tcPr>
            <w:tcW w:type="dxa" w:w="6912"/>
            <w:tcMar>
              <w:top w:w="100" w:type="dxa"/>
              <w:bottom w:w="100" w:type="dxa"/>
              <w:left w:w="120" w:type="dxa"/>
              <w:right w:w="120" w:type="dxa"/>
            </w:tcMar>
          </w:tcPr>
          <w:p>
            <w:pPr>
              <w:spacing w:after="0"/>
            </w:pPr>
            <w:r>
              <w:rPr>
                <w:rFonts w:ascii="Calibri" w:hAnsi="Calibri"/>
                <w:sz w:val="19"/>
                <w:color w:val="000000"/>
              </w:rPr>
              <w:t xml:space="preserve">SehatAman Patient Controlled Molecular Report Sharing</w:t>
            </w:r>
          </w:p>
        </w:tc>
        <w:trPr>
          <w:cantSplit/>
        </w:trPr>
      </w:tr>
      <w:tr>
        <w:tc>
          <w:tcPr>
            <w:tcW w:type="dxa" w:w="3168"/>
            <w:shd w:fill="F4F6F9"/>
            <w:tcMar>
              <w:top w:w="100" w:type="dxa"/>
              <w:bottom w:w="100" w:type="dxa"/>
              <w:left w:w="120" w:type="dxa"/>
              <w:right w:w="120" w:type="dxa"/>
            </w:tcMar>
          </w:tcPr>
          <w:p>
            <w:pPr>
              <w:spacing w:after="0"/>
            </w:pPr>
            <w:r>
              <w:rPr>
                <w:rFonts w:ascii="Calibri" w:hAnsi="Calibri"/>
                <w:b/>
                <w:color w:val="003366"/>
                <w:sz w:val="20"/>
              </w:rPr>
              <w:t>Applicant Type</w:t>
            </w:r>
          </w:p>
        </w:tc>
        <w:tc>
          <w:tcPr>
            <w:tcW w:type="dxa" w:w="6912"/>
            <w:tcMar>
              <w:top w:w="100" w:type="dxa"/>
              <w:bottom w:w="100" w:type="dxa"/>
              <w:left w:w="120" w:type="dxa"/>
              <w:right w:w="120" w:type="dxa"/>
            </w:tcMar>
          </w:tcPr>
          <w:p>
            <w:pPr>
              <w:spacing w:after="0"/>
            </w:pPr>
            <w:r>
              <w:rPr>
                <w:rFonts w:ascii="Calibri" w:hAnsi="Calibri"/>
                <w:sz w:val="19"/>
                <w:color w:val="000000"/>
              </w:rPr>
              <w:t xml:space="preserve">[X] Student Team    [  ] Researcher / Academic    [  ] Startup    [  ] Industry Professional</w:t>
            </w:r>
          </w:p>
        </w:tc>
        <w:trPr>
          <w:cantSplit/>
        </w:trPr>
      </w:tr>
      <w:tr>
        <w:tc>
          <w:tcPr>
            <w:tcW w:type="dxa" w:w="3168"/>
            <w:shd w:fill="F4F6F9"/>
            <w:tcMar>
              <w:top w:w="100" w:type="dxa"/>
              <w:bottom w:w="100" w:type="dxa"/>
              <w:left w:w="120" w:type="dxa"/>
              <w:right w:w="120" w:type="dxa"/>
            </w:tcMar>
          </w:tcPr>
          <w:p>
            <w:pPr>
              <w:spacing w:after="0"/>
            </w:pPr>
            <w:r>
              <w:rPr>
                <w:rFonts w:ascii="Calibri" w:hAnsi="Calibri"/>
                <w:b/>
                <w:color w:val="003366"/>
                <w:sz w:val="20"/>
              </w:rPr>
              <w:t>Primary Focus Area</w:t>
            </w:r>
          </w:p>
        </w:tc>
        <w:tc>
          <w:tcPr>
            <w:tcW w:type="dxa" w:w="6912"/>
            <w:tcMar>
              <w:top w:w="100" w:type="dxa"/>
              <w:bottom w:w="100" w:type="dxa"/>
              <w:left w:w="120" w:type="dxa"/>
              <w:right w:w="120" w:type="dxa"/>
            </w:tcMar>
          </w:tcPr>
          <w:p>
            <w:pPr>
              <w:spacing w:after="0"/>
            </w:pPr>
            <w:r>
              <w:rPr>
                <w:rFonts w:ascii="Calibri" w:hAnsi="Calibri"/>
                <w:sz w:val="19"/>
                <w:color w:val="000000"/>
              </w:rPr>
              <w:t xml:space="preserve">[  ] AI + Cybersecurity          [  ] OT / ICS / Critical Infrastructure</w:t>
            </w:r>
            <w:r>
              <w:br/>
            </w:r>
            <w:r>
              <w:rPr>
                <w:rFonts w:ascii="Calibri" w:hAnsi="Calibri"/>
                <w:sz w:val="19"/>
                <w:color w:val="000000"/>
              </w:rPr>
              <w:t xml:space="preserve">[  ] Emerging AI Threats       [X] Emerging Tech (Cloud/IoT/Web3/Zero Trust)</w:t>
            </w:r>
            <w:r>
              <w:br/>
            </w:r>
            <w:r>
              <w:rPr>
                <w:rFonts w:ascii="Calibri" w:hAnsi="Calibri"/>
                <w:sz w:val="19"/>
                <w:color w:val="000000"/>
              </w:rPr>
              <w:t xml:space="preserve">[X] Cyber Defense &amp; Resilience</w:t>
            </w:r>
          </w:p>
        </w:tc>
        <w:trPr>
          <w:cantSplit/>
        </w:trPr>
      </w:tr>
      <w:tr>
        <w:tc>
          <w:tcPr>
            <w:tcW w:type="dxa" w:w="3168"/>
            <w:shd w:fill="F4F6F9"/>
            <w:tcMar>
              <w:top w:w="100" w:type="dxa"/>
              <w:bottom w:w="100" w:type="dxa"/>
              <w:left w:w="120" w:type="dxa"/>
              <w:right w:w="120" w:type="dxa"/>
            </w:tcMar>
          </w:tcPr>
          <w:p>
            <w:pPr>
              <w:spacing w:after="0"/>
            </w:pPr>
            <w:r>
              <w:rPr>
                <w:rFonts w:ascii="Calibri" w:hAnsi="Calibri"/>
                <w:b/>
                <w:color w:val="003366"/>
                <w:sz w:val="20"/>
              </w:rPr>
              <w:t>Project Stage</w:t>
            </w:r>
          </w:p>
        </w:tc>
        <w:tc>
          <w:tcPr>
            <w:tcW w:type="dxa" w:w="6912"/>
            <w:tcMar>
              <w:top w:w="100" w:type="dxa"/>
              <w:bottom w:w="100" w:type="dxa"/>
              <w:left w:w="120" w:type="dxa"/>
              <w:right w:w="120" w:type="dxa"/>
            </w:tcMar>
          </w:tcPr>
          <w:p>
            <w:pPr>
              <w:spacing w:after="0"/>
            </w:pPr>
            <w:r>
              <w:rPr>
                <w:rFonts w:ascii="Calibri" w:hAnsi="Calibri"/>
                <w:sz w:val="19"/>
                <w:color w:val="000000"/>
              </w:rPr>
              <w:t xml:space="preserve">[  ] Idea / Concept              [  ] Proof of Concept / Prototype</w:t>
            </w:r>
            <w:r>
              <w:br/>
            </w:r>
            <w:r>
              <w:rPr>
                <w:rFonts w:ascii="Calibri" w:hAnsi="Calibri"/>
                <w:sz w:val="19"/>
                <w:color w:val="000000"/>
              </w:rPr>
              <w:t xml:space="preserve">[X] Minimum Viable Product (MVP)  [  ] Commercialized Solution</w:t>
            </w:r>
          </w:p>
        </w:tc>
        <w:trPr>
          <w:cantSplit/>
        </w:trPr>
      </w:tr>
      <w:tr>
        <w:tc>
          <w:tcPr>
            <w:tcW w:type="dxa" w:w="3168"/>
            <w:shd w:fill="F4F6F9"/>
            <w:tcMar>
              <w:top w:w="100" w:type="dxa"/>
              <w:bottom w:w="100" w:type="dxa"/>
              <w:left w:w="120" w:type="dxa"/>
              <w:right w:w="120" w:type="dxa"/>
            </w:tcMar>
          </w:tcPr>
          <w:p>
            <w:pPr>
              <w:spacing w:after="0"/>
            </w:pPr>
            <w:r>
              <w:rPr>
                <w:rFonts w:ascii="Calibri" w:hAnsi="Calibri"/>
                <w:b/>
                <w:color w:val="003366"/>
                <w:sz w:val="20"/>
              </w:rPr>
              <w:t>Core Problem Statement</w:t>
              <w:br/>
              <w:t>(Max 3 sentences)</w:t>
            </w:r>
          </w:p>
        </w:tc>
        <w:tc>
          <w:tcPr>
            <w:tcW w:type="dxa" w:w="6912"/>
            <w:tcMar>
              <w:top w:w="100" w:type="dxa"/>
              <w:bottom w:w="100" w:type="dxa"/>
              <w:left w:w="120" w:type="dxa"/>
              <w:right w:w="120" w:type="dxa"/>
            </w:tcMar>
          </w:tcPr>
          <w:p>
            <w:pPr>
              <w:spacing w:after="0"/>
            </w:pPr>
            <w:r>
              <w:rPr>
                <w:rFonts w:ascii="Calibri" w:hAnsi="Calibri"/>
                <w:sz w:val="19"/>
                <w:color w:val="000000"/>
              </w:rPr>
              <w:t xml:space="preserve">A diagnostic report must reach the correct patient and remain accessible only under current permission and credentials. An old physician session, a mistaken CNIC/specimen link or an overwritten correction can defeat that protection. SehatAman tests these connected failure points in a Pakistan-informed workflow joining patients, molecular laboratories, physicians and hospitals.</w:t>
            </w:r>
          </w:p>
        </w:tc>
        <w:trPr>
          <w:cantSplit/>
        </w:trPr>
      </w:tr>
      <w:tr>
        <w:tc>
          <w:tcPr>
            <w:tcW w:type="dxa" w:w="3168"/>
            <w:shd w:fill="F4F6F9"/>
            <w:tcMar>
              <w:top w:w="100" w:type="dxa"/>
              <w:bottom w:w="100" w:type="dxa"/>
              <w:left w:w="120" w:type="dxa"/>
              <w:right w:w="120" w:type="dxa"/>
            </w:tcMar>
          </w:tcPr>
          <w:p>
            <w:pPr>
              <w:spacing w:after="0"/>
            </w:pPr>
            <w:r>
              <w:rPr>
                <w:rFonts w:ascii="Calibri" w:hAnsi="Calibri"/>
                <w:b/>
                <w:color w:val="003366"/>
                <w:sz w:val="20"/>
              </w:rPr>
              <w:t>Proposed Solution &amp; Impact</w:t>
              <w:br/>
              <w:t>(Max 3 sentences)</w:t>
            </w:r>
          </w:p>
        </w:tc>
        <w:tc>
          <w:tcPr>
            <w:tcW w:type="dxa" w:w="6912"/>
            <w:tcMar>
              <w:top w:w="100" w:type="dxa"/>
              <w:bottom w:w="100" w:type="dxa"/>
              <w:left w:w="120" w:type="dxa"/>
              <w:right w:w="120" w:type="dxa"/>
            </w:tcMar>
          </w:tcPr>
          <w:p>
            <w:pPr>
              <w:spacing w:after="0"/>
            </w:pPr>
            <w:r>
              <w:rPr>
                <w:rFonts w:ascii="Calibri" w:hAnsi="Calibri"/>
                <w:sz w:val="19"/>
                <w:color w:val="000000"/>
              </w:rPr>
              <w:t xml:space="preserve">SehatAman is a working persisted local MVP enforcing exact-version patient permission and separate simulated professional-registration and hospital-affiliation checks. Signed laboratory packages, distinct approval and linked corrections preserve source provenance and original versions. In synthetic engineering evaluation it passed 120 frozen scenarios and 500 coordinated traces per arm with no unauthorized release in the tested deny cases; its local metadata-response p95 was 668 ms at concurrency 10.</w:t>
            </w:r>
          </w:p>
        </w:tc>
        <w:trPr>
          <w:cantSplit/>
        </w:trPr>
      </w:tr>
    </w:tbl>
    <w:p>
      <w:pPr>
        <w:keepNext/>
        <w:spacing w:before="240" w:after="120"/>
      </w:pPr>
      <w:r>
        <w:rPr>
          <w:rFonts w:ascii="Arial" w:hAnsi="Arial"/>
          <w:b/>
          <w:color w:val="003366"/>
          <w:sz w:val="24"/>
        </w:rPr>
        <w:t>2. Applicant &amp; Team Information</w:t>
      </w:r>
    </w:p>
    <w:tbl>
      <w:tblPr>
        <w:tblW w:type="auto" w:w="0"/>
        <w:jc w:val="center"/>
        <w:tblLook w:firstColumn="1" w:firstRow="1" w:lastColumn="0" w:lastRow="0" w:noHBand="0" w:noVBand="1" w:val="04A0"/>
      </w:tblPr>
      <w:tblGrid>
        <w:gridCol w:w="5184"/>
        <w:gridCol w:w="5184"/>
      </w:tblGrid>
      <w:tr>
        <w:tc>
          <w:tcPr>
            <w:tcW w:type="dxa" w:w="3168"/>
            <w:shd w:fill="F4F6F9"/>
            <w:tcMar>
              <w:top w:w="80" w:type="dxa"/>
              <w:bottom w:w="80" w:type="dxa"/>
              <w:left w:w="120" w:type="dxa"/>
              <w:right w:w="120" w:type="dxa"/>
            </w:tcMar>
          </w:tcPr>
          <w:p>
            <w:r>
              <w:rPr>
                <w:rFonts w:ascii="Calibri" w:hAnsi="Calibri"/>
                <w:b/>
                <w:color w:val="003366"/>
                <w:sz w:val="20"/>
              </w:rPr>
              <w:t>Team / Startup Name:</w:t>
            </w:r>
          </w:p>
        </w:tc>
        <w:tc>
          <w:tcPr>
            <w:tcW w:type="dxa" w:w="6912"/>
            <w:tcMar>
              <w:top w:w="80" w:type="dxa"/>
              <w:bottom w:w="80" w:type="dxa"/>
              <w:left w:w="120" w:type="dxa"/>
              <w:right w:w="120" w:type="dxa"/>
            </w:tcMar>
          </w:tcPr>
          <w:p>
            <w:r>
              <w:rPr>
                <w:rFonts w:ascii="Calibri" w:hAnsi="Calibri"/>
                <w:sz w:val="19"/>
                <w:color w:val="000000"/>
              </w:rPr>
              <w:t xml:space="preserve">SehatAman Team</w:t>
            </w:r>
          </w:p>
        </w:tc>
        <w:trPr>
          <w:cantSplit/>
        </w:trPr>
      </w:tr>
      <w:tr>
        <w:tc>
          <w:tcPr>
            <w:tcW w:type="dxa" w:w="3168"/>
            <w:shd w:fill="F4F6F9"/>
            <w:tcMar>
              <w:top w:w="80" w:type="dxa"/>
              <w:bottom w:w="80" w:type="dxa"/>
              <w:left w:w="120" w:type="dxa"/>
              <w:right w:w="120" w:type="dxa"/>
            </w:tcMar>
          </w:tcPr>
          <w:p>
            <w:r>
              <w:rPr>
                <w:rFonts w:ascii="Calibri" w:hAnsi="Calibri"/>
                <w:b/>
                <w:color w:val="003366"/>
                <w:sz w:val="20"/>
              </w:rPr>
              <w:t>Affiliated University / Organization:</w:t>
            </w:r>
          </w:p>
        </w:tc>
        <w:tc>
          <w:tcPr>
            <w:tcW w:type="dxa" w:w="6912"/>
            <w:tcMar>
              <w:top w:w="80" w:type="dxa"/>
              <w:bottom w:w="80" w:type="dxa"/>
              <w:left w:w="120" w:type="dxa"/>
              <w:right w:w="120" w:type="dxa"/>
            </w:tcMar>
          </w:tcPr>
          <w:p>
            <w:r>
              <w:rPr>
                <w:rFonts w:ascii="Calibri" w:hAnsi="Calibri"/>
                <w:sz w:val="19"/>
                <w:color w:val="000000"/>
              </w:rPr>
              <w:t xml:space="preserve">Student affiliations: National University of Sciences and Technology (NUST), Atta-ur-Rahman School of Applied Biosciences (ASAB) and School of Electrical Engineering and Computer Science (SEECS); National University of Medical Sciences (NUMS), Faculty of Multidisciplinary Sciences.</w:t>
            </w:r>
            <w:r>
              <w:br/>
            </w:r>
            <w:r>
              <w:rPr>
                <w:rFonts w:ascii="Calibri" w:hAnsi="Calibri"/>
                <w:sz w:val="19"/>
                <w:color w:val="000000"/>
              </w:rPr>
              <w:t xml:space="preserve">Supervisors / mentors: Dr. Javed Ashraf, Professor of Public Health, NUMS; Dr. Hira Anwar, Assistant Professor, Department of Computer Sciences, SEECS, NUST.</w:t>
            </w:r>
          </w:p>
        </w:tc>
        <w:trPr>
          <w:cantSplit/>
        </w:trPr>
      </w:tr>
    </w:tbl>
    <w:p>
      <w:pPr>
        <w:spacing w:before="120" w:after="80"/>
        <w:keepNext/>
      </w:pPr>
      <w:r>
        <w:rPr>
          <w:rFonts w:ascii="Calibri" w:hAnsi="Calibri"/>
          <w:b/>
          <w:color w:val="003366"/>
          <w:sz w:val="21"/>
        </w:rPr>
        <w:t>Key Team Members:</w:t>
      </w:r>
    </w:p>
    <w:tbl>
      <w:tblPr>
        <w:tblW w:type="auto" w:w="0"/>
        <w:jc w:val="center"/>
        <w:tblLook w:firstColumn="1" w:firstRow="1" w:lastColumn="0" w:lastRow="0" w:noHBand="0" w:noVBand="1" w:val="04A0"/>
      </w:tblPr>
      <w:tblGrid>
        <w:gridCol w:w="2592"/>
        <w:gridCol w:w="2592"/>
        <w:gridCol w:w="2592"/>
        <w:gridCol w:w="2592"/>
      </w:tblGrid>
      <w:tr>
        <w:tc>
          <w:tcPr>
            <w:tcW w:type="dxa" w:w="2160"/>
            <w:shd w:fill="003366"/>
            <w:tcMar>
              <w:top w:w="100" w:type="dxa"/>
              <w:bottom w:w="100" w:type="dxa"/>
              <w:left w:w="100" w:type="dxa"/>
              <w:right w:w="100" w:type="dxa"/>
            </w:tcMar>
          </w:tcPr>
          <w:p>
            <w:r>
              <w:rPr>
                <w:rFonts w:ascii="Arial" w:hAnsi="Arial"/>
                <w:b/>
                <w:color w:val="FFFFFF"/>
                <w:sz w:val="19"/>
              </w:rPr>
              <w:t>Role</w:t>
            </w:r>
          </w:p>
        </w:tc>
        <w:tc>
          <w:tcPr>
            <w:tcW w:type="dxa" w:w="2592"/>
            <w:shd w:fill="003366"/>
            <w:tcMar>
              <w:top w:w="100" w:type="dxa"/>
              <w:bottom w:w="100" w:type="dxa"/>
              <w:left w:w="100" w:type="dxa"/>
              <w:right w:w="100" w:type="dxa"/>
            </w:tcMar>
          </w:tcPr>
          <w:p>
            <w:r>
              <w:rPr>
                <w:rFonts w:ascii="Arial" w:hAnsi="Arial"/>
                <w:b/>
                <w:color w:val="FFFFFF"/>
                <w:sz w:val="19"/>
              </w:rPr>
              <w:t>Full Name</w:t>
            </w:r>
          </w:p>
        </w:tc>
        <w:tc>
          <w:tcPr>
            <w:tcW w:type="dxa" w:w="2736"/>
            <w:shd w:fill="003366"/>
            <w:tcMar>
              <w:top w:w="100" w:type="dxa"/>
              <w:bottom w:w="100" w:type="dxa"/>
              <w:left w:w="100" w:type="dxa"/>
              <w:right w:w="100" w:type="dxa"/>
            </w:tcMar>
          </w:tcPr>
          <w:p>
            <w:r>
              <w:rPr>
                <w:rFonts w:ascii="Arial" w:hAnsi="Arial"/>
                <w:b/>
                <w:color w:val="FFFFFF"/>
                <w:sz w:val="19"/>
              </w:rPr>
              <w:t>Designation &amp; Qualification</w:t>
            </w:r>
          </w:p>
        </w:tc>
        <w:tc>
          <w:tcPr>
            <w:tcW w:type="dxa" w:w="2592"/>
            <w:shd w:fill="003366"/>
            <w:tcMar>
              <w:top w:w="100" w:type="dxa"/>
              <w:bottom w:w="100" w:type="dxa"/>
              <w:left w:w="100" w:type="dxa"/>
              <w:right w:w="100" w:type="dxa"/>
            </w:tcMar>
          </w:tcPr>
          <w:p>
            <w:r>
              <w:rPr>
                <w:rFonts w:ascii="Arial" w:hAnsi="Arial"/>
                <w:b/>
                <w:color w:val="FFFFFF"/>
                <w:sz w:val="19"/>
              </w:rPr>
              <w:t>Email &amp; Contact Number</w:t>
            </w:r>
          </w:p>
        </w:tc>
        <w:trPr>
          <w:cantSplit/>
          <w:tblHeader/>
        </w:trPr>
      </w:tr>
      <w:tr>
        <w:tc>
          <w:tcPr>
            <w:tcW w:type="dxa" w:w="2160"/>
            <w:tcMar>
              <w:top w:w="80" w:type="dxa"/>
              <w:bottom w:w="80" w:type="dxa"/>
              <w:left w:w="100" w:type="dxa"/>
              <w:right w:w="100" w:type="dxa"/>
            </w:tcMar>
            <w:shd w:fill="F4F6F9"/>
          </w:tcPr>
          <w:p>
            <w:r>
              <w:rPr>
                <w:rFonts w:ascii="Calibri" w:hAnsi="Calibri"/>
                <w:b/>
                <w:color w:val="003366"/>
                <w:sz w:val="19"/>
              </w:rPr>
              <w:t>Team Lead / Primary Contact</w:t>
            </w:r>
          </w:p>
        </w:tc>
        <w:tc>
          <w:tcPr>
            <w:tcW w:type="dxa" w:w="2592"/>
            <w:tcMar>
              <w:top w:w="80" w:type="dxa"/>
              <w:bottom w:w="80" w:type="dxa"/>
              <w:left w:w="100" w:type="dxa"/>
              <w:right w:w="100" w:type="dxa"/>
            </w:tcMar>
          </w:tcPr>
          <w:p>
            <w:r>
              <w:rPr>
                <w:rFonts w:ascii="Calibri" w:hAnsi="Calibri"/>
                <w:sz w:val="19"/>
                <w:color w:val="000000"/>
              </w:rPr>
              <w:t xml:space="preserve">Tehreem Hamid</w:t>
            </w:r>
          </w:p>
        </w:tc>
        <w:tc>
          <w:tcPr>
            <w:tcW w:type="dxa" w:w="2736"/>
            <w:tcMar>
              <w:top w:w="80" w:type="dxa"/>
              <w:bottom w:w="80" w:type="dxa"/>
              <w:left w:w="100" w:type="dxa"/>
              <w:right w:w="100" w:type="dxa"/>
            </w:tcMar>
          </w:tcPr>
          <w:p>
            <w:r>
              <w:rPr>
                <w:rFonts w:ascii="Calibri" w:hAnsi="Calibri"/>
                <w:sz w:val="19"/>
                <w:color w:val="000000"/>
              </w:rPr>
              <w:t xml:space="preserve">Team Lead / Primary Contact; MS student, 3rd semester.</w:t>
            </w:r>
            <w:r>
              <w:br/>
            </w:r>
            <w:r>
              <w:rPr>
                <w:rFonts w:ascii="Calibri" w:hAnsi="Calibri"/>
                <w:sz w:val="19"/>
                <w:color w:val="000000"/>
              </w:rPr>
              <w:t xml:space="preserve">Department of BioMedicine.</w:t>
            </w:r>
            <w:r>
              <w:br/>
            </w:r>
            <w:r>
              <w:rPr>
                <w:rFonts w:ascii="Calibri" w:hAnsi="Calibri"/>
                <w:sz w:val="19"/>
                <w:color w:val="000000"/>
              </w:rPr>
              <w:t xml:space="preserve">ASAB, NUST</w:t>
            </w:r>
          </w:p>
        </w:tc>
        <w:tc>
          <w:tcPr>
            <w:tcW w:type="dxa" w:w="2592"/>
            <w:tcMar>
              <w:top w:w="80" w:type="dxa"/>
              <w:bottom w:w="80" w:type="dxa"/>
              <w:left w:w="100" w:type="dxa"/>
              <w:right w:w="100" w:type="dxa"/>
            </w:tcMar>
          </w:tcPr>
          <w:p>
            <w:r>
              <w:rPr>
                <w:rFonts w:ascii="Calibri" w:hAnsi="Calibri"/>
                <w:sz w:val="19"/>
                <w:color w:val="000000"/>
              </w:rPr>
              <w:t xml:space="preserve">Email: To be provided</w:t>
            </w:r>
            <w:r>
              <w:br/>
            </w:r>
            <w:r>
              <w:rPr>
                <w:rFonts w:ascii="Calibri" w:hAnsi="Calibri"/>
                <w:sz w:val="19"/>
                <w:color w:val="000000"/>
              </w:rPr>
              <w:t xml:space="preserve">Phone: To be provided</w:t>
            </w:r>
          </w:p>
        </w:tc>
        <w:trPr>
          <w:cantSplit/>
        </w:trPr>
      </w:tr>
      <w:tr>
        <w:tc>
          <w:tcPr>
            <w:tcW w:type="dxa" w:w="2160"/>
            <w:tcMar>
              <w:top w:w="80" w:type="dxa"/>
              <w:bottom w:w="80" w:type="dxa"/>
              <w:left w:w="100" w:type="dxa"/>
              <w:right w:w="100" w:type="dxa"/>
            </w:tcMar>
            <w:shd w:fill="F4F6F9"/>
          </w:tcPr>
          <w:p>
            <w:r>
              <w:rPr>
                <w:rFonts w:ascii="Calibri" w:hAnsi="Calibri"/>
                <w:b/>
                <w:sz w:val="19"/>
                <w:color w:val="000000"/>
              </w:rPr>
              <w:t xml:space="preserve">Tech Lead</w:t>
            </w:r>
          </w:p>
        </w:tc>
        <w:tc>
          <w:tcPr>
            <w:tcW w:type="dxa" w:w="2592"/>
            <w:tcMar>
              <w:top w:w="80" w:type="dxa"/>
              <w:bottom w:w="80" w:type="dxa"/>
              <w:left w:w="100" w:type="dxa"/>
              <w:right w:w="100" w:type="dxa"/>
            </w:tcMar>
          </w:tcPr>
          <w:p>
            <w:r>
              <w:rPr>
                <w:rFonts w:ascii="Calibri" w:hAnsi="Calibri"/>
                <w:sz w:val="19"/>
                <w:color w:val="000000"/>
              </w:rPr>
              <w:t xml:space="preserve">Muhammad Haris</w:t>
            </w:r>
          </w:p>
        </w:tc>
        <w:tc>
          <w:tcPr>
            <w:tcW w:type="dxa" w:w="2736"/>
            <w:tcMar>
              <w:top w:w="80" w:type="dxa"/>
              <w:bottom w:w="80" w:type="dxa"/>
              <w:left w:w="100" w:type="dxa"/>
              <w:right w:w="100" w:type="dxa"/>
            </w:tcMar>
          </w:tcPr>
          <w:p>
            <w:r>
              <w:rPr>
                <w:rFonts w:ascii="Calibri" w:hAnsi="Calibri"/>
                <w:sz w:val="19"/>
                <w:color w:val="000000"/>
              </w:rPr>
              <w:t xml:space="preserve">Tech Lead; BS Computer Science student, 5th semester.</w:t>
            </w:r>
            <w:r>
              <w:br/>
            </w:r>
            <w:r>
              <w:rPr>
                <w:rFonts w:ascii="Calibri" w:hAnsi="Calibri"/>
                <w:sz w:val="19"/>
                <w:color w:val="000000"/>
              </w:rPr>
              <w:t xml:space="preserve">Department of Computer Science.</w:t>
            </w:r>
            <w:r>
              <w:br/>
            </w:r>
            <w:r>
              <w:rPr>
                <w:rFonts w:ascii="Calibri" w:hAnsi="Calibri"/>
                <w:sz w:val="19"/>
                <w:color w:val="000000"/>
              </w:rPr>
              <w:t xml:space="preserve">Faculty of Computing; SEECS, NUST</w:t>
            </w:r>
          </w:p>
        </w:tc>
        <w:tc>
          <w:tcPr>
            <w:tcW w:type="dxa" w:w="2592"/>
            <w:tcMar>
              <w:top w:w="80" w:type="dxa"/>
              <w:bottom w:w="80" w:type="dxa"/>
              <w:left w:w="100" w:type="dxa"/>
              <w:right w:w="100" w:type="dxa"/>
            </w:tcMar>
          </w:tcPr>
          <w:p>
            <w:r>
              <w:rPr>
                <w:rFonts w:ascii="Calibri" w:hAnsi="Calibri"/>
                <w:sz w:val="19"/>
                <w:color w:val="000000"/>
              </w:rPr>
              <w:t xml:space="preserve">Email: To be provided</w:t>
            </w:r>
            <w:r>
              <w:br/>
            </w:r>
            <w:r>
              <w:rPr>
                <w:rFonts w:ascii="Calibri" w:hAnsi="Calibri"/>
                <w:sz w:val="19"/>
                <w:color w:val="000000"/>
              </w:rPr>
              <w:t xml:space="preserve">Phone: To be provided</w:t>
            </w:r>
          </w:p>
        </w:tc>
        <w:trPr>
          <w:cantSplit/>
        </w:trPr>
      </w:tr>
      <w:tr>
        <w:tc>
          <w:tcPr>
            <w:tcW w:type="dxa" w:w="2160"/>
            <w:tcMar>
              <w:top w:w="80" w:type="dxa"/>
              <w:bottom w:w="80" w:type="dxa"/>
              <w:left w:w="100" w:type="dxa"/>
              <w:right w:w="100" w:type="dxa"/>
            </w:tcMar>
            <w:shd w:fill="F4F6F9"/>
          </w:tcPr>
          <w:p>
            <w:r>
              <w:rPr>
                <w:rFonts w:ascii="Calibri" w:hAnsi="Calibri"/>
                <w:b/>
                <w:color w:val="003366"/>
                <w:sz w:val="19"/>
              </w:rPr>
              <w:t>Core Team Member</w:t>
            </w:r>
          </w:p>
        </w:tc>
        <w:tc>
          <w:tcPr>
            <w:tcW w:type="dxa" w:w="2592"/>
            <w:tcMar>
              <w:top w:w="80" w:type="dxa"/>
              <w:bottom w:w="80" w:type="dxa"/>
              <w:left w:w="100" w:type="dxa"/>
              <w:right w:w="100" w:type="dxa"/>
            </w:tcMar>
          </w:tcPr>
          <w:p>
            <w:r>
              <w:rPr>
                <w:rFonts w:ascii="Calibri" w:hAnsi="Calibri"/>
                <w:sz w:val="19"/>
                <w:color w:val="000000"/>
              </w:rPr>
              <w:t xml:space="preserve">Muhammad Majid</w:t>
            </w:r>
          </w:p>
        </w:tc>
        <w:tc>
          <w:tcPr>
            <w:tcW w:type="dxa" w:w="2736"/>
            <w:tcMar>
              <w:top w:w="80" w:type="dxa"/>
              <w:bottom w:w="80" w:type="dxa"/>
              <w:left w:w="100" w:type="dxa"/>
              <w:right w:w="100" w:type="dxa"/>
            </w:tcMar>
          </w:tcPr>
          <w:p>
            <w:r>
              <w:rPr>
                <w:rFonts w:ascii="Calibri" w:hAnsi="Calibri"/>
                <w:sz w:val="19"/>
                <w:color w:val="000000"/>
              </w:rPr>
              <w:t xml:space="preserve">Technical Member; BS Computer Science student, 5th semester.</w:t>
            </w:r>
            <w:r>
              <w:br/>
            </w:r>
            <w:r>
              <w:rPr>
                <w:rFonts w:ascii="Calibri" w:hAnsi="Calibri"/>
                <w:sz w:val="19"/>
                <w:color w:val="000000"/>
              </w:rPr>
              <w:t xml:space="preserve">Department of Computer Science.</w:t>
            </w:r>
            <w:r>
              <w:br/>
            </w:r>
            <w:r>
              <w:rPr>
                <w:rFonts w:ascii="Calibri" w:hAnsi="Calibri"/>
                <w:sz w:val="19"/>
                <w:color w:val="000000"/>
              </w:rPr>
              <w:t xml:space="preserve">Faculty of Computing; SEECS, NUST</w:t>
            </w:r>
          </w:p>
        </w:tc>
        <w:tc>
          <w:tcPr>
            <w:tcW w:type="dxa" w:w="2592"/>
            <w:tcMar>
              <w:top w:w="80" w:type="dxa"/>
              <w:bottom w:w="80" w:type="dxa"/>
              <w:left w:w="100" w:type="dxa"/>
              <w:right w:w="100" w:type="dxa"/>
            </w:tcMar>
          </w:tcPr>
          <w:p>
            <w:r>
              <w:rPr>
                <w:rFonts w:ascii="Calibri" w:hAnsi="Calibri"/>
                <w:sz w:val="19"/>
                <w:color w:val="000000"/>
              </w:rPr>
              <w:t xml:space="preserve">Email: To be provided</w:t>
            </w:r>
            <w:r>
              <w:br/>
            </w:r>
            <w:r>
              <w:rPr>
                <w:rFonts w:ascii="Calibri" w:hAnsi="Calibri"/>
                <w:sz w:val="19"/>
                <w:color w:val="000000"/>
              </w:rPr>
              <w:t xml:space="preserve">Phone: To be provided</w:t>
            </w:r>
          </w:p>
        </w:tc>
        <w:trPr>
          <w:cantSplit/>
        </w:trPr>
      </w:tr>
      <w:tr>
        <w:tc>
          <w:tcPr>
            <w:tcW w:type="dxa" w:w="2160"/>
            <w:tcMar>
              <w:top w:w="80" w:type="dxa"/>
              <w:bottom w:w="80" w:type="dxa"/>
              <w:left w:w="100" w:type="dxa"/>
              <w:right w:w="100" w:type="dxa"/>
            </w:tcMar>
            <w:shd w:fill="F4F6F9"/>
          </w:tcPr>
          <w:p>
            <w:r>
              <w:rPr>
                <w:rFonts w:ascii="Calibri" w:hAnsi="Calibri"/>
                <w:b/>
                <w:color w:val="003366"/>
                <w:sz w:val="19"/>
              </w:rPr>
              <w:t>Core Team Member</w:t>
            </w:r>
          </w:p>
        </w:tc>
        <w:tc>
          <w:tcPr>
            <w:tcW w:type="dxa" w:w="2592"/>
            <w:tcMar>
              <w:top w:w="80" w:type="dxa"/>
              <w:bottom w:w="80" w:type="dxa"/>
              <w:left w:w="100" w:type="dxa"/>
              <w:right w:w="100" w:type="dxa"/>
            </w:tcMar>
          </w:tcPr>
          <w:p>
            <w:r>
              <w:rPr>
                <w:rFonts w:ascii="Calibri" w:hAnsi="Calibri"/>
                <w:sz w:val="19"/>
                <w:color w:val="000000"/>
              </w:rPr>
              <w:t xml:space="preserve">Humaira Zubair</w:t>
            </w:r>
          </w:p>
        </w:tc>
        <w:tc>
          <w:tcPr>
            <w:tcW w:type="dxa" w:w="2736"/>
            <w:tcMar>
              <w:top w:w="80" w:type="dxa"/>
              <w:bottom w:w="80" w:type="dxa"/>
              <w:left w:w="100" w:type="dxa"/>
              <w:right w:w="100" w:type="dxa"/>
            </w:tcMar>
          </w:tcPr>
          <w:p>
            <w:r>
              <w:rPr>
                <w:rFonts w:ascii="Calibri" w:hAnsi="Calibri"/>
                <w:sz w:val="19"/>
                <w:color w:val="000000"/>
              </w:rPr>
              <w:t xml:space="preserve">Health Domain Expert; BS Molecular Biology and Genetics student, 2nd semester.</w:t>
            </w:r>
            <w:r>
              <w:br/>
            </w:r>
            <w:r>
              <w:rPr>
                <w:rFonts w:ascii="Calibri" w:hAnsi="Calibri"/>
                <w:sz w:val="19"/>
                <w:color w:val="000000"/>
              </w:rPr>
              <w:t xml:space="preserve">Department of Molecular Biology and Genetics.</w:t>
            </w:r>
            <w:r>
              <w:br/>
            </w:r>
            <w:r>
              <w:rPr>
                <w:rFonts w:ascii="Calibri" w:hAnsi="Calibri"/>
                <w:sz w:val="19"/>
                <w:color w:val="000000"/>
              </w:rPr>
              <w:t xml:space="preserve">Faculty of Multidisciplinary Sciences; NUMS</w:t>
            </w:r>
          </w:p>
        </w:tc>
        <w:tc>
          <w:tcPr>
            <w:tcW w:type="dxa" w:w="2592"/>
            <w:tcMar>
              <w:top w:w="80" w:type="dxa"/>
              <w:bottom w:w="80" w:type="dxa"/>
              <w:left w:w="100" w:type="dxa"/>
              <w:right w:w="100" w:type="dxa"/>
            </w:tcMar>
          </w:tcPr>
          <w:p>
            <w:r>
              <w:rPr>
                <w:rFonts w:ascii="Calibri" w:hAnsi="Calibri"/>
                <w:sz w:val="19"/>
                <w:color w:val="000000"/>
              </w:rPr>
              <w:t>Email: Withheld in public copy</w:t>
              <w:br/>
              <w:t>Phone: Withheld in public copy</w:t>
            </w:r>
          </w:p>
        </w:tc>
        <w:trPr>
          <w:cantSplit/>
        </w:trPr>
      </w:tr>
    </w:tbl>
    <w:p>
      <w:pPr>
        <w:keepNext/>
        <w:spacing w:before="240" w:after="120"/>
      </w:pPr>
      <w:r>
        <w:rPr>
          <w:rFonts w:ascii="Arial" w:hAnsi="Arial"/>
          <w:b/>
          <w:color w:val="003366"/>
          <w:sz w:val="24"/>
        </w:rPr>
        <w:t>3. Cybersecurity Focus Area</w:t>
      </w:r>
    </w:p>
    <w:p>
      <w:pPr>
        <w:spacing w:after="80"/>
      </w:pPr>
      <w:r>
        <w:rPr>
          <w:rFonts w:ascii="Calibri" w:hAnsi="Calibri"/>
          <w:i/>
          <w:color w:val="646E78"/>
          <w:sz w:val="19"/>
        </w:rPr>
        <w:t>Select all primary and secondary focus areas applicable to your project:</w:t>
      </w:r>
    </w:p>
    <w:tbl>
      <w:tblPr>
        <w:tblW w:type="auto" w:w="0"/>
        <w:jc w:val="center"/>
        <w:tblLook w:firstColumn="1" w:firstRow="1" w:lastColumn="0" w:lastRow="0" w:noHBand="0" w:noVBand="1" w:val="04A0"/>
      </w:tblPr>
      <w:tblGrid>
        <w:gridCol w:w="5184"/>
        <w:gridCol w:w="5184"/>
      </w:tblGrid>
      <w:tr>
        <w:tc>
          <w:tcPr>
            <w:tcW w:type="dxa" w:w="3600"/>
            <w:tcMar>
              <w:top w:w="80" w:type="dxa"/>
              <w:bottom w:w="80" w:type="dxa"/>
              <w:left w:w="100" w:type="dxa"/>
              <w:right w:w="100" w:type="dxa"/>
            </w:tcMar>
          </w:tcPr>
          <w:p>
            <w:r>
              <w:rPr>
                <w:rFonts w:ascii="Calibri" w:hAnsi="Calibri"/>
                <w:b/>
                <w:color w:val="003366"/>
                <w:sz w:val="19"/>
              </w:rPr>
              <w:t>[  ] Cybersecurity + Artificial Intelligence</w:t>
            </w:r>
          </w:p>
        </w:tc>
        <w:tc>
          <w:tcPr>
            <w:tcW w:type="dxa" w:w="6480"/>
            <w:tcMar>
              <w:top w:w="80" w:type="dxa"/>
              <w:bottom w:w="80" w:type="dxa"/>
              <w:left w:w="100" w:type="dxa"/>
              <w:right w:w="100" w:type="dxa"/>
            </w:tcMar>
          </w:tcPr>
          <w:p>
            <w:r>
              <w:rPr>
                <w:rFonts w:ascii="Calibri" w:hAnsi="Calibri"/>
                <w:color w:val="2C3E50"/>
                <w:sz w:val="18"/>
              </w:rPr>
              <w:t>AI/ML threat detection, AI-driven SOC/SIEM/SOAR, automated malware/phishing/fraud detection, securing Generative AI &amp; LLMs, AI-powered incident response.</w:t>
            </w:r>
          </w:p>
        </w:tc>
        <w:trPr>
          <w:cantSplit/>
        </w:trPr>
      </w:tr>
      <w:tr>
        <w:tc>
          <w:tcPr>
            <w:tcW w:type="dxa" w:w="3600"/>
            <w:tcMar>
              <w:top w:w="80" w:type="dxa"/>
              <w:bottom w:w="80" w:type="dxa"/>
              <w:left w:w="100" w:type="dxa"/>
              <w:right w:w="100" w:type="dxa"/>
            </w:tcMar>
          </w:tcPr>
          <w:p>
            <w:r>
              <w:rPr>
                <w:rFonts w:ascii="Calibri" w:hAnsi="Calibri"/>
                <w:b/>
                <w:color w:val="003366"/>
                <w:sz w:val="19"/>
              </w:rPr>
              <w:t>[  ] OT / ICS / Critical Infrastructure Security</w:t>
            </w:r>
          </w:p>
        </w:tc>
        <w:tc>
          <w:tcPr>
            <w:tcW w:type="dxa" w:w="6480"/>
            <w:tcMar>
              <w:top w:w="80" w:type="dxa"/>
              <w:bottom w:w="80" w:type="dxa"/>
              <w:left w:w="100" w:type="dxa"/>
              <w:right w:w="100" w:type="dxa"/>
            </w:tcMar>
          </w:tcPr>
          <w:p>
            <w:r>
              <w:rPr>
                <w:rFonts w:ascii="Calibri" w:hAnsi="Calibri"/>
                <w:color w:val="2C3E50"/>
                <w:sz w:val="18"/>
              </w:rPr>
              <w:t>SCADA security, Industrial Control Systems protection, OT threat monitoring, IT/OT convergence security, critical infrastructure resilience.</w:t>
            </w:r>
          </w:p>
        </w:tc>
        <w:trPr>
          <w:cantSplit/>
        </w:trPr>
      </w:tr>
      <w:tr>
        <w:tc>
          <w:tcPr>
            <w:tcW w:type="dxa" w:w="3600"/>
            <w:tcMar>
              <w:top w:w="80" w:type="dxa"/>
              <w:bottom w:w="80" w:type="dxa"/>
              <w:left w:w="100" w:type="dxa"/>
              <w:right w:w="100" w:type="dxa"/>
            </w:tcMar>
          </w:tcPr>
          <w:p>
            <w:r>
              <w:rPr>
                <w:rFonts w:ascii="Calibri" w:hAnsi="Calibri"/>
                <w:b/>
                <w:color w:val="003366"/>
                <w:sz w:val="19"/>
              </w:rPr>
              <w:t>[  ] Emerging AI-Driven Threats</w:t>
            </w:r>
          </w:p>
        </w:tc>
        <w:tc>
          <w:tcPr>
            <w:tcW w:type="dxa" w:w="6480"/>
            <w:tcMar>
              <w:top w:w="80" w:type="dxa"/>
              <w:bottom w:w="80" w:type="dxa"/>
              <w:left w:w="100" w:type="dxa"/>
              <w:right w:w="100" w:type="dxa"/>
            </w:tcMar>
          </w:tcPr>
          <w:p>
            <w:r>
              <w:rPr>
                <w:rFonts w:ascii="Calibri" w:hAnsi="Calibri"/>
                <w:color w:val="2C3E50"/>
                <w:sz w:val="18"/>
              </w:rPr>
              <w:t>Deepfake detection &amp; identity defense, AI-generated phishing mitigation, automated attack defense, adversarial ML robustness, autonomous agent risks.</w:t>
            </w:r>
          </w:p>
        </w:tc>
        <w:trPr>
          <w:cantSplit/>
        </w:trPr>
      </w:tr>
      <w:tr>
        <w:tc>
          <w:tcPr>
            <w:tcW w:type="dxa" w:w="3600"/>
            <w:tcMar>
              <w:top w:w="80" w:type="dxa"/>
              <w:bottom w:w="80" w:type="dxa"/>
              <w:left w:w="100" w:type="dxa"/>
              <w:right w:w="100" w:type="dxa"/>
            </w:tcMar>
          </w:tcPr>
          <w:p>
            <w:r>
              <w:rPr>
                <w:rFonts w:ascii="Calibri" w:hAnsi="Calibri"/>
                <w:b/>
                <w:color w:val="003366"/>
                <w:sz w:val="19"/>
              </w:rPr>
              <w:t>[X] Cybersecurity for Emerging Technologies</w:t>
            </w:r>
          </w:p>
        </w:tc>
        <w:tc>
          <w:tcPr>
            <w:tcW w:type="dxa" w:w="6480"/>
            <w:tcMar>
              <w:top w:w="80" w:type="dxa"/>
              <w:bottom w:w="80" w:type="dxa"/>
              <w:left w:w="100" w:type="dxa"/>
              <w:right w:w="100" w:type="dxa"/>
            </w:tcMar>
          </w:tcPr>
          <w:p>
            <w:r>
              <w:rPr>
                <w:rFonts w:ascii="Calibri" w:hAnsi="Calibri"/>
                <w:color w:val="2C3E50"/>
                <w:sz w:val="18"/>
              </w:rPr>
              <w:t>Cloud security, IoT/Edge security, mobile device security, Blockchain/Web3 security, privacy-enhancing tech, Zero Trust architecture.</w:t>
            </w:r>
          </w:p>
        </w:tc>
        <w:trPr>
          <w:cantSplit/>
        </w:trPr>
      </w:tr>
      <w:tr>
        <w:tc>
          <w:tcPr>
            <w:tcW w:type="dxa" w:w="3600"/>
            <w:tcMar>
              <w:top w:w="80" w:type="dxa"/>
              <w:bottom w:w="80" w:type="dxa"/>
              <w:left w:w="100" w:type="dxa"/>
              <w:right w:w="100" w:type="dxa"/>
            </w:tcMar>
          </w:tcPr>
          <w:p>
            <w:r>
              <w:rPr>
                <w:rFonts w:ascii="Calibri" w:hAnsi="Calibri"/>
                <w:b/>
                <w:color w:val="003366"/>
                <w:sz w:val="19"/>
              </w:rPr>
              <w:t>[X] Cyber Defense &amp; Resilience</w:t>
            </w:r>
          </w:p>
        </w:tc>
        <w:tc>
          <w:tcPr>
            <w:tcW w:type="dxa" w:w="6480"/>
            <w:tcMar>
              <w:top w:w="80" w:type="dxa"/>
              <w:bottom w:w="80" w:type="dxa"/>
              <w:left w:w="100" w:type="dxa"/>
              <w:right w:w="100" w:type="dxa"/>
            </w:tcMar>
          </w:tcPr>
          <w:p>
            <w:r>
              <w:rPr>
                <w:rFonts w:ascii="Calibri" w:hAnsi="Calibri"/>
                <w:color w:val="2C3E50"/>
                <w:sz w:val="18"/>
              </w:rPr>
              <w:t>Threat intelligence, digital forensics, vulnerability management, threat hunting, ransomware defense, incident response automation.</w:t>
            </w:r>
          </w:p>
        </w:tc>
        <w:trPr>
          <w:cantSplit/>
        </w:trPr>
      </w:tr>
    </w:tbl>
    <w:p>
      <w:pPr>
        <w:keepNext/>
        <w:spacing w:before="240" w:after="120"/>
      </w:pPr>
      <w:r>
        <w:rPr>
          <w:rFonts w:ascii="Arial" w:hAnsi="Arial"/>
          <w:b/>
          <w:color w:val="003366"/>
          <w:sz w:val="24"/>
        </w:rPr>
        <w:t>4. Problem Statement &amp; Existing Gaps</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Core Cybersecurity Problem</w:t>
            </w:r>
          </w:p>
        </w:tc>
        <w:tc>
          <w:tcPr>
            <w:tcW w:type="dxa" w:w="6912"/>
            <w:tcMar>
              <w:top w:w="100" w:type="dxa"/>
              <w:bottom w:w="100" w:type="dxa"/>
              <w:left w:w="120" w:type="dxa"/>
              <w:right w:w="120" w:type="dxa"/>
            </w:tcMar>
          </w:tcPr>
          <w:p>
            <w:r>
              <w:rPr>
                <w:rFonts w:ascii="Calibri" w:hAnsi="Calibri"/>
                <w:sz w:val="18"/>
                <w:color w:val="000000"/>
              </w:rPr>
              <w:t xml:space="preserve">Unauthorized release after consent withdrawal, credential invalidation or appointment cancellation; mismatched CNIC/order/specimen linkage; tampered or conflicting report revisions.</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Affected Stakeholders</w:t>
            </w:r>
          </w:p>
        </w:tc>
        <w:tc>
          <w:tcPr>
            <w:tcW w:type="dxa" w:w="6912"/>
            <w:tcMar>
              <w:top w:w="100" w:type="dxa"/>
              <w:bottom w:w="100" w:type="dxa"/>
              <w:left w:w="120" w:type="dxa"/>
              <w:right w:w="120" w:type="dxa"/>
            </w:tcMar>
          </w:tcPr>
          <w:p>
            <w:r>
              <w:rPr>
                <w:rFonts w:ascii="Calibri" w:hAnsi="Calibri"/>
                <w:sz w:val="18"/>
                <w:color w:val="000000"/>
              </w:rPr>
              <w:t xml:space="preserve">Adult patients, molecular diagnostics laboratories, physicians and hospital profile/affiliation offices. Every demonstration identity and organization is invented.</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Severity &amp; Significance</w:t>
            </w:r>
          </w:p>
        </w:tc>
        <w:tc>
          <w:tcPr>
            <w:tcW w:type="dxa" w:w="6912"/>
            <w:tcMar>
              <w:top w:w="100" w:type="dxa"/>
              <w:bottom w:w="100" w:type="dxa"/>
              <w:left w:w="120" w:type="dxa"/>
              <w:right w:w="120" w:type="dxa"/>
            </w:tcMar>
          </w:tcPr>
          <w:p>
            <w:r>
              <w:rPr>
                <w:rFonts w:ascii="Calibri" w:hAnsi="Calibri"/>
                <w:sz w:val="18"/>
                <w:color w:val="000000"/>
              </w:rPr>
              <w:t xml:space="preserve">A disclosure or incorrectly linked version could compromise confidentiality and clinical traceability. The prototype measures engineering enforcement only; it does not estimate Pakistani attack incidence, financial loss or clinical benefit.</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Existing Solution Gaps</w:t>
            </w:r>
          </w:p>
        </w:tc>
        <w:tc>
          <w:tcPr>
            <w:tcW w:type="dxa" w:w="6912"/>
            <w:tcMar>
              <w:top w:w="100" w:type="dxa"/>
              <w:bottom w:w="100" w:type="dxa"/>
              <w:left w:w="120" w:type="dxa"/>
              <w:right w:w="120" w:type="dxa"/>
            </w:tcMar>
          </w:tcPr>
          <w:p>
            <w:r>
              <w:rPr>
                <w:rFonts w:ascii="Calibri" w:hAnsi="Calibri"/>
                <w:sz w:val="18"/>
                <w:color w:val="000000"/>
              </w:rPr>
              <w:t xml:space="preserve">Pakistani provider portals and medical-record workflows already exist, and PMDC provides professional verification. Hospital affiliation must be evidenced separately. The narrower research question is reproducible enforcement across consent, credential and correction transitions; commercial absence and local adoption remain unconfirmed. See the Pakistan evidence register in the repository.</w:t>
            </w:r>
          </w:p>
        </w:tc>
        <w:trPr>
          <w:cantSplit/>
        </w:trPr>
      </w:tr>
    </w:tbl>
    <w:p>
      <w:pPr>
        <w:keepNext/>
        <w:spacing w:before="240" w:after="120"/>
      </w:pPr>
      <w:r>
        <w:rPr>
          <w:rFonts w:ascii="Arial" w:hAnsi="Arial"/>
          <w:b/>
          <w:color w:val="003366"/>
          <w:sz w:val="24"/>
        </w:rPr>
        <w:t>5. Proposed Cybersecurity Solution &amp; AI Component</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Proposed Solution Overview</w:t>
            </w:r>
          </w:p>
        </w:tc>
        <w:tc>
          <w:tcPr>
            <w:tcW w:type="dxa" w:w="6912"/>
            <w:tcMar>
              <w:top w:w="100" w:type="dxa"/>
              <w:bottom w:w="100" w:type="dxa"/>
              <w:left w:w="120" w:type="dxa"/>
              <w:right w:w="120" w:type="dxa"/>
            </w:tcMar>
          </w:tcPr>
          <w:p>
            <w:r>
              <w:rPr>
                <w:rFonts w:ascii="Calibri" w:hAnsi="Calibri"/>
                <w:sz w:val="18"/>
                <w:color w:val="000000"/>
              </w:rPr>
              <w:t xml:space="preserve">One app serves four entity types, with separate lab submitter and approver roles. Labs validate synthetic CNIC plus demographic/order/specimen context and signed packages; patients share exact accepted versions for an appointment; physicians pass current-state checks on every release; hospitals maintain profiles and affiliation without clinical access.</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AI / Emerging Tech Role</w:t>
            </w:r>
          </w:p>
        </w:tc>
        <w:tc>
          <w:tcPr>
            <w:tcW w:type="dxa" w:w="6912"/>
            <w:tcMar>
              <w:top w:w="100" w:type="dxa"/>
              <w:bottom w:w="100" w:type="dxa"/>
              <w:left w:w="120" w:type="dxa"/>
              <w:right w:w="120" w:type="dxa"/>
            </w:tcMar>
          </w:tcPr>
          <w:p>
            <w:r>
              <w:rPr>
                <w:rFonts w:ascii="Calibri" w:hAnsi="Calibri"/>
                <w:sz w:val="18"/>
                <w:color w:val="000000"/>
              </w:rPr>
              <w:t xml:space="preserve">[  ] Defensive AI (AI used to detect/mitigate threats)</w:t>
            </w:r>
            <w:r>
              <w:br/>
            </w:r>
            <w:r>
              <w:rPr>
                <w:rFonts w:ascii="Calibri" w:hAnsi="Calibri"/>
                <w:sz w:val="18"/>
                <w:color w:val="000000"/>
              </w:rPr>
              <w:t xml:space="preserve">[  ] Adversarial Security (Securing AI/LLM models from attack)</w:t>
            </w:r>
            <w:r>
              <w:br/>
            </w:r>
            <w:r>
              <w:rPr>
                <w:rFonts w:ascii="Calibri" w:hAnsi="Calibri"/>
                <w:sz w:val="18"/>
                <w:color w:val="000000"/>
              </w:rPr>
              <w:t xml:space="preserve">[X] Non-AI Emerging Tech (Blockchain, Zero Trust, Cryptography, etc.)</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Technical Innovation</w:t>
            </w:r>
          </w:p>
        </w:tc>
        <w:tc>
          <w:tcPr>
            <w:tcW w:type="dxa" w:w="6912"/>
            <w:tcMar>
              <w:top w:w="100" w:type="dxa"/>
              <w:bottom w:w="100" w:type="dxa"/>
              <w:left w:w="120" w:type="dxa"/>
              <w:right w:w="120" w:type="dxa"/>
            </w:tcMar>
          </w:tcPr>
          <w:p>
            <w:r>
              <w:rPr>
                <w:rFonts w:ascii="Calibri" w:hAnsi="Calibri"/>
                <w:sz w:val="18"/>
                <w:color w:val="000000"/>
              </w:rPr>
              <w:t xml:space="preserve">The candidate contribution is a Pakistan-informed conformance profile and predeclared state-transition benchmark joining separate credentials, version-bound permission and signed correction provenance. Established cryptography and access-control methods are used; neither a new cryptographic primitive nor first-in-Pakistan status is claimed.</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AI Risk &amp; Vulnerability Analysis</w:t>
            </w:r>
          </w:p>
        </w:tc>
        <w:tc>
          <w:tcPr>
            <w:tcW w:type="dxa" w:w="6912"/>
            <w:tcMar>
              <w:top w:w="100" w:type="dxa"/>
              <w:bottom w:w="100" w:type="dxa"/>
              <w:left w:w="120" w:type="dxa"/>
              <w:right w:w="120" w:type="dxa"/>
            </w:tcMar>
          </w:tcPr>
          <w:p>
            <w:r>
              <w:rPr>
                <w:rFonts w:ascii="Calibri" w:hAnsi="Calibri"/>
                <w:sz w:val="18"/>
                <w:color w:val="000000"/>
              </w:rPr>
              <w:t xml:space="preserve">N/A. No AI model, clinical prediction, automated diagnosis or training dataset is used. Threat tests instead address broken object access, stale authorization, source tampering, replay, concurrent corrections and audit/storage failure.</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Competitive Advantage</w:t>
            </w:r>
          </w:p>
        </w:tc>
        <w:tc>
          <w:tcPr>
            <w:tcW w:type="dxa" w:w="6912"/>
            <w:tcMar>
              <w:top w:w="100" w:type="dxa"/>
              <w:bottom w:w="100" w:type="dxa"/>
              <w:left w:w="120" w:type="dxa"/>
              <w:right w:w="120" w:type="dxa"/>
            </w:tcMar>
          </w:tcPr>
          <w:p>
            <w:r>
              <w:rPr>
                <w:rFonts w:ascii="Calibri" w:hAnsi="Calibri"/>
                <w:sz w:val="18"/>
                <w:color w:val="000000"/>
              </w:rPr>
              <w:t xml:space="preserve">Demonstrated strength: a working four-entity workflow with reproducible transition, provenance and failure evidence rather than a concept-only proposal. 120/120 frozen scenarios pass in both MVP and constructed reference. 500/500 coordinated traces pass per arm. Retained laptop HTTP p95 668.1 ms at concurrency 10 over 1,000 mixed requests; 0 errors.  The equivalently configured constructed reference also passes; commercial cost, usability and superiority remain unvalidated.</w:t>
            </w:r>
          </w:p>
        </w:tc>
        <w:trPr>
          <w:cantSplit/>
        </w:trPr>
      </w:tr>
    </w:tbl>
    <w:p>
      <w:pPr>
        <w:keepNext/>
        <w:spacing w:before="240" w:after="120"/>
      </w:pPr>
      <w:r>
        <w:rPr>
          <w:rFonts w:ascii="Arial" w:hAnsi="Arial"/>
          <w:b/>
          <w:color w:val="003366"/>
          <w:sz w:val="24"/>
        </w:rPr>
        <w:t>6. Technical Approach, Architecture &amp; Readiness</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System Architecture &amp; Workflow</w:t>
            </w:r>
          </w:p>
        </w:tc>
        <w:tc>
          <w:tcPr>
            <w:tcW w:type="dxa" w:w="6912"/>
            <w:tcMar>
              <w:top w:w="100" w:type="dxa"/>
              <w:bottom w:w="100" w:type="dxa"/>
              <w:left w:w="120" w:type="dxa"/>
              <w:right w:w="120" w:type="dxa"/>
            </w:tcMar>
          </w:tcPr>
          <w:p>
            <w:r>
              <w:rPr>
                <w:rFonts w:ascii="Calibri" w:hAnsi="Calibri"/>
                <w:sz w:val="18"/>
                <w:color w:val="000000"/>
              </w:rPr>
              <w:t xml:space="preserve">Browser role workspace -&gt; authenticated loopback HTTP API -&gt; current-state policy and source validation -&gt; encrypted SQLite state and audit -&gt; protected checkpoint. Report corrections append linked versions. Each physician metadata/file request rechecks explicit grant, appointment, time, identity and separate registration/affiliation evidence; audit/integrity failures hold release.</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Data Sources &amp; Datasets</w:t>
            </w:r>
          </w:p>
        </w:tc>
        <w:tc>
          <w:tcPr>
            <w:tcW w:type="dxa" w:w="6912"/>
            <w:tcMar>
              <w:top w:w="100" w:type="dxa"/>
              <w:bottom w:w="100" w:type="dxa"/>
              <w:left w:w="120" w:type="dxa"/>
              <w:right w:w="120" w:type="dxa"/>
            </w:tcMar>
          </w:tcPr>
          <w:p>
            <w:r>
              <w:rPr>
                <w:rFonts w:ascii="Calibri" w:hAnsi="Calibri"/>
                <w:sz w:val="18"/>
                <w:color w:val="000000"/>
              </w:rPr>
              <w:t xml:space="preserve">Invented adult patients P01-P05, physicians D01-D03, labs L01-L02 and hospital H01; synthetic staff, CNICs, orders, specimens, reports, sessions and verification outcomes. Frozen 120-case manifest, 500 coordinated traces per arm and 1,000 mixed HTTP requests per arm. No live NADRA/PMDC, patient, lab or hospital data; no external runtime integration.</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Security Mechanisms &amp; Tech Stack</w:t>
            </w:r>
          </w:p>
        </w:tc>
        <w:tc>
          <w:tcPr>
            <w:tcW w:type="dxa" w:w="6912"/>
            <w:tcMar>
              <w:top w:w="100" w:type="dxa"/>
              <w:bottom w:w="100" w:type="dxa"/>
              <w:left w:w="120" w:type="dxa"/>
              <w:right w:w="120" w:type="dxa"/>
            </w:tcMar>
          </w:tcPr>
          <w:p>
            <w:r>
              <w:rPr>
                <w:rFonts w:ascii="Calibri" w:hAnsi="Calibri"/>
                <w:sz w:val="18"/>
                <w:color w:val="000000"/>
              </w:rPr>
              <w:t xml:space="preserve">Python 3.12; loopback HTTP server; SQLite; cryptography and argon2-cffi. Argon2id passwords, replay-resistant local TOTP, server sessions, CSRF/origin checks, Ed25519 signatures, authenticated encryption and protected audit/checkpoints. The demo-code helper is not an independent-device factor. Local HTTP is not production TLS.</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Prototype / Demo Status</w:t>
            </w:r>
          </w:p>
        </w:tc>
        <w:tc>
          <w:tcPr>
            <w:tcW w:type="dxa" w:w="6912"/>
            <w:tcMar>
              <w:top w:w="100" w:type="dxa"/>
              <w:bottom w:w="100" w:type="dxa"/>
              <w:left w:w="120" w:type="dxa"/>
              <w:right w:w="120" w:type="dxa"/>
            </w:tcMar>
          </w:tcPr>
          <w:p>
            <w:r>
              <w:rPr>
                <w:rFonts w:ascii="Calibri" w:hAnsi="Calibri"/>
                <w:sz w:val="18"/>
                <w:color w:val="000000"/>
              </w:rPr>
              <w:t xml:space="preserve">[  ] Concept stage    [  ] Algorithmic PoC    [X] Functional Lab Prototype    [  ] Live MVP</w:t>
            </w:r>
            <w:r>
              <w:br/>
            </w:r>
            <w:r>
              <w:rPr>
                <w:rFonts w:ascii="Calibri" w:hAnsi="Calibri"/>
                <w:sz w:val="18"/>
                <w:color w:val="000000"/>
              </w:rPr>
              <w:t xml:space="preserve">Functional persisted local MVP; no public deployment. 120/120 frozen scenarios pass in both MVP and constructed reference. 500/500 coordinated traces pass per arm. Retained laptop HTTP p95 668.1 ms at concurrency 10 over 1,000 mixed requests; 0 errors.  Independent/domain review and direct stakeholder validation remain pending.</w:t>
            </w:r>
          </w:p>
        </w:tc>
        <w:trPr>
          <w:cantSplit/>
        </w:trPr>
      </w:tr>
    </w:tbl>
    <w:p>
      <w:pPr>
        <w:keepNext/>
        <w:spacing w:before="240" w:after="120"/>
      </w:pPr>
      <w:r>
        <w:rPr>
          <w:rFonts w:ascii="Arial" w:hAnsi="Arial"/>
          <w:b/>
          <w:color w:val="003366"/>
          <w:sz w:val="24"/>
        </w:rPr>
        <w:t>7. Innovation, Target Users &amp; Real-World Use Case</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Innovation Type &amp; Differentiator</w:t>
            </w:r>
          </w:p>
        </w:tc>
        <w:tc>
          <w:tcPr>
            <w:tcW w:type="dxa" w:w="6912"/>
            <w:tcMar>
              <w:top w:w="100" w:type="dxa"/>
              <w:bottom w:w="100" w:type="dxa"/>
              <w:left w:w="120" w:type="dxa"/>
              <w:right w:w="120" w:type="dxa"/>
            </w:tcMar>
          </w:tcPr>
          <w:p>
            <w:r>
              <w:rPr>
                <w:rFonts w:ascii="Calibri" w:hAnsi="Calibri"/>
                <w:sz w:val="18"/>
                <w:color w:val="000000"/>
              </w:rPr>
              <w:t xml:space="preserve">Integration and conformance evaluation. Testable claim: under the specified synthetic threats and trusted-host/key assumptions, current-state checks prevent newly ordered unauthorized release and preserve accepted correction lineage. Broader novelty and market-gap claims remain unconfirmed.</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IP &amp; Patent Potential</w:t>
            </w:r>
          </w:p>
        </w:tc>
        <w:tc>
          <w:tcPr>
            <w:tcW w:type="dxa" w:w="6912"/>
            <w:tcMar>
              <w:top w:w="100" w:type="dxa"/>
              <w:bottom w:w="100" w:type="dxa"/>
              <w:left w:w="120" w:type="dxa"/>
              <w:right w:w="120" w:type="dxa"/>
            </w:tcMar>
          </w:tcPr>
          <w:p>
            <w:r>
              <w:rPr>
                <w:rFonts w:ascii="Calibri" w:hAnsi="Calibri"/>
                <w:sz w:val="18"/>
                <w:color w:val="000000"/>
              </w:rPr>
              <w:t xml:space="preserve">[  ] Granted Patent    [  ] Patent Filed / Pending    [  ] High IP Potential (Unfiled)    [  ] Open Source</w:t>
            </w:r>
            <w:r>
              <w:br/>
            </w:r>
            <w:r>
              <w:rPr>
                <w:rFonts w:ascii="Calibri" w:hAnsi="Calibri"/>
                <w:sz w:val="18"/>
                <w:color w:val="000000"/>
              </w:rPr>
              <w:t xml:space="preserve">Pending confirmation. No patent filing, ownership conclusion or open-source licence is asserted.</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Target Users / Sectors</w:t>
            </w:r>
          </w:p>
        </w:tc>
        <w:tc>
          <w:tcPr>
            <w:tcW w:type="dxa" w:w="6912"/>
            <w:tcMar>
              <w:top w:w="100" w:type="dxa"/>
              <w:bottom w:w="100" w:type="dxa"/>
              <w:left w:w="120" w:type="dxa"/>
              <w:right w:w="120" w:type="dxa"/>
            </w:tcMar>
          </w:tcPr>
          <w:p>
            <w:r>
              <w:rPr>
                <w:rFonts w:ascii="Calibri" w:hAnsi="Calibri"/>
                <w:sz w:val="18"/>
                <w:color w:val="000000"/>
              </w:rPr>
              <w:t xml:space="preserve">[  ] Government / Defense        [  ] Critical Infrastructure / Energy</w:t>
            </w:r>
            <w:r>
              <w:br/>
            </w:r>
            <w:r>
              <w:rPr>
                <w:rFonts w:ascii="Calibri" w:hAnsi="Calibri"/>
                <w:sz w:val="18"/>
                <w:color w:val="000000"/>
              </w:rPr>
              <w:t xml:space="preserve">[  ] Banking &amp; Financial Services [X] Enterprise / Healthcare</w:t>
            </w:r>
            <w:r>
              <w:br/>
            </w:r>
            <w:r>
              <w:rPr>
                <w:rFonts w:ascii="Calibri" w:hAnsi="Calibri"/>
                <w:sz w:val="18"/>
                <w:color w:val="000000"/>
              </w:rPr>
              <w:t xml:space="preserve">[  ] Small &amp; Medium Enterprises   [X] General Public / End Users</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Practical Cybersecurity Use Case</w:t>
            </w:r>
          </w:p>
        </w:tc>
        <w:tc>
          <w:tcPr>
            <w:tcW w:type="dxa" w:w="6912"/>
            <w:tcMar>
              <w:top w:w="100" w:type="dxa"/>
              <w:bottom w:w="100" w:type="dxa"/>
              <w:left w:w="120" w:type="dxa"/>
              <w:right w:w="120" w:type="dxa"/>
            </w:tcMar>
          </w:tcPr>
          <w:p>
            <w:r>
              <w:rPr>
                <w:rFonts w:ascii="Calibri" w:hAnsi="Calibri"/>
                <w:sz w:val="18"/>
                <w:color w:val="000000"/>
              </w:rPr>
              <w:t xml:space="preserve">A physician obtains permission for R01 version 1. After a lab correction, the original remains historical and that permission cannot open version 2; the patient must share it separately. After withdrawal or recorded credential invalidation, the next metadata/file request in the same session is denied. A hospital profile alone grants no record access.</w:t>
            </w:r>
          </w:p>
        </w:tc>
        <w:trPr>
          <w:cantSplit/>
        </w:trPr>
      </w:tr>
    </w:tbl>
    <w:p>
      <w:pPr>
        <w:keepNext/>
        <w:spacing w:before="240" w:after="120"/>
      </w:pPr>
      <w:r>
        <w:rPr>
          <w:rFonts w:ascii="Arial" w:hAnsi="Arial"/>
          <w:b/>
          <w:color w:val="003366"/>
          <w:sz w:val="24"/>
        </w:rPr>
        <w:t>8. Business Potential, Feasibility &amp; Security Readiness</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Commercial Strategy / Business Model</w:t>
            </w:r>
          </w:p>
        </w:tc>
        <w:tc>
          <w:tcPr>
            <w:tcW w:type="dxa" w:w="6912"/>
            <w:tcMar>
              <w:top w:w="100" w:type="dxa"/>
              <w:bottom w:w="100" w:type="dxa"/>
              <w:left w:w="120" w:type="dxa"/>
              <w:right w:w="120" w:type="dxa"/>
            </w:tcMar>
          </w:tcPr>
          <w:p>
            <w:r>
              <w:rPr>
                <w:rFonts w:ascii="Calibri" w:hAnsi="Calibri"/>
                <w:sz w:val="18"/>
                <w:color w:val="000000"/>
              </w:rPr>
              <w:t xml:space="preserve">Pending confirmation. A possible future institutional licensing or subscription model requires buyer interviews and pricing validation. No market-size estimate, customer contract, revenue or willingness-to-pay evidence is claimed.</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Implementation Roadmap &amp; Timeline</w:t>
            </w:r>
          </w:p>
        </w:tc>
        <w:tc>
          <w:tcPr>
            <w:tcW w:type="dxa" w:w="6912"/>
            <w:tcMar>
              <w:top w:w="100" w:type="dxa"/>
              <w:bottom w:w="100" w:type="dxa"/>
              <w:left w:w="120" w:type="dxa"/>
              <w:right w:w="120" w:type="dxa"/>
            </w:tcMar>
          </w:tcPr>
          <w:p>
            <w:r>
              <w:rPr>
                <w:rFonts w:ascii="Calibri" w:hAnsi="Calibri"/>
                <w:sz w:val="18"/>
                <w:color w:val="000000"/>
              </w:rPr>
              <w:t xml:space="preserve">Proposed, subject to approval: 3 months - independent/domain review and synthetic usability sessions; 6 months - refine workflow, integration specifications and operational security; 12 months - assess an institution-approved pilot only if validation and governance gates are satisfied. No deployment or real-data pilot is currently authorized.</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Resource Requirements &amp; Budget</w:t>
            </w:r>
          </w:p>
        </w:tc>
        <w:tc>
          <w:tcPr>
            <w:tcW w:type="dxa" w:w="6912"/>
            <w:tcMar>
              <w:top w:w="100" w:type="dxa"/>
              <w:bottom w:w="100" w:type="dxa"/>
              <w:left w:w="120" w:type="dxa"/>
              <w:right w:w="120" w:type="dxa"/>
            </w:tcMar>
          </w:tcPr>
          <w:p>
            <w:r>
              <w:rPr>
                <w:rFonts w:ascii="Calibri" w:hAnsi="Calibri"/>
                <w:sz w:val="18"/>
                <w:color w:val="000000"/>
              </w:rPr>
              <w:t xml:space="preserve">Current demonstration uses one existing laptop and local software; no cloud or specialised lab hardware is required. Future personnel, hosting, assessment and integration costs need a costed plan. Funding amount and PKR/USD budget: pending confirmation.</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Security-by-Design &amp; Privacy</w:t>
            </w:r>
          </w:p>
        </w:tc>
        <w:tc>
          <w:tcPr>
            <w:tcW w:type="dxa" w:w="6912"/>
            <w:tcMar>
              <w:top w:w="100" w:type="dxa"/>
              <w:bottom w:w="100" w:type="dxa"/>
              <w:left w:w="120" w:type="dxa"/>
              <w:right w:w="120" w:type="dxa"/>
            </w:tcMar>
          </w:tcPr>
          <w:p>
            <w:r>
              <w:rPr>
                <w:rFonts w:ascii="Calibri" w:hAnsi="Calibri"/>
                <w:sz w:val="18"/>
                <w:color w:val="000000"/>
              </w:rPr>
              <w:t xml:space="preserve">Data minimisation, masked CNIC display, encryption, explicit purpose/time/version scope, least privilege and separate institutional attestations. Every clinical route is checked server-side and requires durable audit evidence. A trusted local OS and protected keys are assumed; delivered copies cannot be recalled. Direct human validation remains pending.</w:t>
            </w:r>
          </w:p>
        </w:tc>
        <w:trPr>
          <w:cantSplit/>
        </w:trPr>
      </w:tr>
      <w:tr>
        <w:tc>
          <w:tcPr>
            <w:tcW w:type="dxa" w:w="3168"/>
            <w:shd w:fill="F4F6F9"/>
            <w:tcMar>
              <w:top w:w="100" w:type="dxa"/>
              <w:bottom w:w="100" w:type="dxa"/>
              <w:left w:w="120" w:type="dxa"/>
              <w:right w:w="120" w:type="dxa"/>
            </w:tcMar>
          </w:tcPr>
          <w:p>
            <w:r>
              <w:rPr>
                <w:rFonts w:ascii="Calibri" w:hAnsi="Calibri"/>
                <w:b/>
                <w:color w:val="003366"/>
                <w:sz w:val="19"/>
              </w:rPr>
              <w:t>Regulatory &amp; Standard Alignment</w:t>
            </w:r>
          </w:p>
        </w:tc>
        <w:tc>
          <w:tcPr>
            <w:tcW w:type="dxa" w:w="6912"/>
            <w:tcMar>
              <w:top w:w="100" w:type="dxa"/>
              <w:bottom w:w="100" w:type="dxa"/>
              <w:left w:w="120" w:type="dxa"/>
              <w:right w:w="120" w:type="dxa"/>
            </w:tcMar>
          </w:tcPr>
          <w:p>
            <w:r>
              <w:rPr>
                <w:rFonts w:ascii="Calibri" w:hAnsi="Calibri"/>
                <w:sz w:val="18"/>
                <w:color w:val="000000"/>
              </w:rPr>
              <w:t xml:space="preserve">[  ] ISO 27001    [  ] NIST CSF    [  ] GDPR / Local Data Protection    [X] N/A</w:t>
            </w:r>
            <w:r>
              <w:br/>
            </w:r>
            <w:r>
              <w:rPr>
                <w:rFonts w:ascii="Calibri" w:hAnsi="Calibri"/>
                <w:sz w:val="18"/>
                <w:color w:val="000000"/>
              </w:rPr>
              <w:t xml:space="preserve">No certification, regulatory compliance or completed framework assessment is claimed. Engineering checks use documented authentication/access-control principles; formal legal/standards assessment is outside this local prototype.</w:t>
            </w:r>
          </w:p>
        </w:tc>
        <w:trPr>
          <w:cantSplit/>
        </w:trPr>
      </w:tr>
    </w:tbl>
    <w:p>
      <w:pPr>
        <w:keepNext/>
        <w:spacing w:before="240" w:after="120"/>
      </w:pPr>
      <w:r>
        <w:rPr>
          <w:rFonts w:ascii="Arial" w:hAnsi="Arial"/>
          <w:b/>
          <w:color w:val="003366"/>
          <w:sz w:val="24"/>
        </w:rPr>
        <w:t>9. Supporting Material &amp; Applicant Declaration</w:t>
      </w:r>
    </w:p>
    <w:tbl>
      <w:tblPr>
        <w:tblW w:type="auto" w:w="0"/>
        <w:jc w:val="center"/>
        <w:tblLook w:firstColumn="1" w:firstRow="1" w:lastColumn="0" w:lastRow="0" w:noHBand="0" w:noVBand="1" w:val="04A0"/>
      </w:tblPr>
      <w:tblGrid>
        <w:gridCol w:w="5184"/>
        <w:gridCol w:w="5184"/>
      </w:tblGrid>
      <w:tr>
        <w:tc>
          <w:tcPr>
            <w:tcW w:type="dxa" w:w="3168"/>
            <w:shd w:fill="F4F6F9"/>
            <w:tcMar>
              <w:top w:w="80" w:type="dxa"/>
              <w:bottom w:w="80" w:type="dxa"/>
              <w:left w:w="120" w:type="dxa"/>
              <w:right w:w="120" w:type="dxa"/>
            </w:tcMar>
          </w:tcPr>
          <w:p>
            <w:r>
              <w:rPr>
                <w:rFonts w:ascii="Calibri" w:hAnsi="Calibri"/>
                <w:b/>
                <w:color w:val="003366"/>
                <w:sz w:val="19"/>
              </w:rPr>
              <w:t>Working Demo / Video Link</w:t>
            </w:r>
          </w:p>
        </w:tc>
        <w:tc>
          <w:tcPr>
            <w:tcW w:type="dxa" w:w="6912"/>
            <w:tcMar>
              <w:top w:w="80" w:type="dxa"/>
              <w:bottom w:w="80" w:type="dxa"/>
              <w:left w:w="120" w:type="dxa"/>
              <w:right w:w="120" w:type="dxa"/>
            </w:tcMar>
          </w:tcPr>
          <w:p>
            <w:hyperlink r:id="rIdReviewerLink9">
              <w:r>
                <w:rPr>
                  <w:rFonts w:ascii="Calibri" w:hAnsi="Calibri"/>
                  <w:sz w:val="18"/>
                  <w:color w:val="0563C1"/>
                  <w:u w:val="single"/>
                </w:rPr>
                <w:t xml:space="preserve">Full recorded walkthrough</w:t>
              </w:r>
            </w:hyperlink>
            <w:r>
              <w:rPr>
                <w:rFonts w:ascii="Calibri" w:hAnsi="Calibri"/>
                <w:sz w:val="18"/>
                <w:color w:val="000000"/>
              </w:rPr>
              <w:t xml:space="preserve"> and </w:t>
            </w:r>
            <w:hyperlink r:id="rIdReviewerLink10">
              <w:r>
                <w:rPr>
                  <w:rFonts w:ascii="Calibri" w:hAnsi="Calibri"/>
                  <w:sz w:val="18"/>
                  <w:color w:val="0563C1"/>
                  <w:u w:val="single"/>
                </w:rPr>
                <w:t xml:space="preserve">all role demonstrations</w:t>
              </w:r>
            </w:hyperlink>
            <w:r>
              <w:rPr>
                <w:rFonts w:ascii="Calibri" w:hAnsi="Calibri"/>
                <w:sz w:val="18"/>
                <w:color w:val="000000"/>
              </w:rPr>
              <w:t xml:space="preserve">. Public viewing/download; no GitHub sign-in required. Interactive MVP: download the </w:t>
            </w:r>
            <w:hyperlink r:id="rIdReviewerLink11">
              <w:r>
                <w:rPr>
                  <w:rFonts w:ascii="Calibri" w:hAnsi="Calibri"/>
                  <w:sz w:val="18"/>
                  <w:color w:val="0563C1"/>
                  <w:u w:val="single"/>
                </w:rPr>
                <w:t xml:space="preserve">source</w:t>
              </w:r>
            </w:hyperlink>
            <w:r>
              <w:rPr>
                <w:rFonts w:ascii="Calibri" w:hAnsi="Calibri"/>
                <w:sz w:val="18"/>
                <w:color w:val="000000"/>
              </w:rPr>
              <w:t xml:space="preserve"> and follow README.txt to run locally. No public app deployment.</w:t>
            </w:r>
          </w:p>
        </w:tc>
        <w:trPr>
          <w:cantSplit/>
        </w:trPr>
      </w:tr>
      <w:tr>
        <w:tc>
          <w:tcPr>
            <w:tcW w:type="dxa" w:w="3168"/>
            <w:shd w:fill="F4F6F9"/>
            <w:tcMar>
              <w:top w:w="80" w:type="dxa"/>
              <w:bottom w:w="80" w:type="dxa"/>
              <w:left w:w="120" w:type="dxa"/>
              <w:right w:w="120" w:type="dxa"/>
            </w:tcMar>
          </w:tcPr>
          <w:p>
            <w:r>
              <w:rPr>
                <w:rFonts w:ascii="Calibri" w:hAnsi="Calibri"/>
                <w:b/>
                <w:color w:val="003366"/>
                <w:sz w:val="19"/>
              </w:rPr>
              <w:t>GitHub / Code Repository</w:t>
            </w:r>
          </w:p>
        </w:tc>
        <w:tc>
          <w:tcPr>
            <w:tcW w:type="dxa" w:w="6912"/>
            <w:tcMar>
              <w:top w:w="80" w:type="dxa"/>
              <w:bottom w:w="80" w:type="dxa"/>
              <w:left w:w="120" w:type="dxa"/>
              <w:right w:w="120" w:type="dxa"/>
            </w:tcMar>
          </w:tcPr>
          <w:p>
            <w:hyperlink r:id="rIdReviewerLink12">
              <w:r>
                <w:rPr>
                  <w:rFonts w:ascii="Calibri" w:hAnsi="Calibri"/>
                  <w:sz w:val="18"/>
                  <w:color w:val="0563C1"/>
                  <w:u w:val="single"/>
                </w:rPr>
                <w:t xml:space="preserve">Public reviewer repository</w:t>
              </w:r>
            </w:hyperlink>
            <w:r>
              <w:rPr>
                <w:rFonts w:ascii="Calibri" w:hAnsi="Calibri"/>
                <w:sz w:val="18"/>
                <w:color w:val="000000"/>
              </w:rPr>
              <w:t xml:space="preserve">. Contact-redacted source, concept note, recordings and evidence. No credentials, signing keys, sessions or demo database. The owner application repository remains private.</w:t>
            </w:r>
          </w:p>
        </w:tc>
        <w:trPr>
          <w:cantSplit/>
        </w:trPr>
      </w:tr>
      <w:tr>
        <w:tc>
          <w:tcPr>
            <w:tcW w:type="dxa" w:w="3168"/>
            <w:shd w:fill="F4F6F9"/>
            <w:tcMar>
              <w:top w:w="80" w:type="dxa"/>
              <w:bottom w:w="80" w:type="dxa"/>
              <w:left w:w="120" w:type="dxa"/>
              <w:right w:w="120" w:type="dxa"/>
            </w:tcMar>
          </w:tcPr>
          <w:p>
            <w:r>
              <w:rPr>
                <w:rFonts w:ascii="Calibri" w:hAnsi="Calibri"/>
                <w:b/>
                <w:color w:val="003366"/>
                <w:sz w:val="19"/>
              </w:rPr>
              <w:t>Research Paper / Pitch Deck</w:t>
            </w:r>
          </w:p>
        </w:tc>
        <w:tc>
          <w:tcPr>
            <w:tcW w:type="dxa" w:w="6912"/>
            <w:tcMar>
              <w:top w:w="80" w:type="dxa"/>
              <w:bottom w:w="80" w:type="dxa"/>
              <w:left w:w="120" w:type="dxa"/>
              <w:right w:w="120" w:type="dxa"/>
            </w:tcMar>
          </w:tcPr>
          <w:p>
            <w:r>
              <w:rPr>
                <w:rFonts w:ascii="Calibri" w:hAnsi="Calibri"/>
                <w:sz w:val="18"/>
                <w:color w:val="000000"/>
              </w:rPr>
              <w:t xml:space="preserve">N/A - no research publication or pitch deck supplied. Technical guide and validation evidence are included in the repository.</w:t>
            </w:r>
          </w:p>
        </w:tc>
        <w:trPr>
          <w:cantSplit/>
        </w:trPr>
      </w:tr>
      <w:tr>
        <w:tc>
          <w:tcPr>
            <w:tcW w:type="dxa" w:w="3168"/>
            <w:shd w:fill="F4F6F9"/>
            <w:tcMar>
              <w:top w:w="80" w:type="dxa"/>
              <w:bottom w:w="80" w:type="dxa"/>
              <w:left w:w="120" w:type="dxa"/>
              <w:right w:w="120" w:type="dxa"/>
            </w:tcMar>
          </w:tcPr>
          <w:p>
            <w:r>
              <w:rPr>
                <w:rFonts w:ascii="Calibri" w:hAnsi="Calibri"/>
                <w:b/>
                <w:color w:val="003366"/>
                <w:sz w:val="19"/>
              </w:rPr>
              <w:t>Additional Documents</w:t>
            </w:r>
          </w:p>
        </w:tc>
        <w:tc>
          <w:tcPr>
            <w:tcW w:type="dxa" w:w="6912"/>
            <w:tcMar>
              <w:top w:w="80" w:type="dxa"/>
              <w:bottom w:w="80" w:type="dxa"/>
              <w:left w:w="120" w:type="dxa"/>
              <w:right w:w="120" w:type="dxa"/>
            </w:tcMar>
          </w:tcPr>
          <w:p>
            <w:hyperlink r:id="rIdReviewerLink13">
              <w:r>
                <w:rPr>
                  <w:rFonts w:ascii="Calibri" w:hAnsi="Calibri"/>
                  <w:sz w:val="18"/>
                  <w:color w:val="0563C1"/>
                  <w:u w:val="single"/>
                </w:rPr>
                <w:t xml:space="preserve">Setup guide</w:t>
              </w:r>
            </w:hyperlink>
            <w:r>
              <w:rPr>
                <w:rFonts w:ascii="Calibri" w:hAnsi="Calibri"/>
                <w:sz w:val="18"/>
                <w:color w:val="000000"/>
              </w:rPr>
              <w:t xml:space="preserve">; </w:t>
            </w:r>
            <w:hyperlink r:id="rIdReviewerLink14">
              <w:r>
                <w:rPr>
                  <w:rFonts w:ascii="Calibri" w:hAnsi="Calibri"/>
                  <w:sz w:val="18"/>
                  <w:color w:val="0563C1"/>
                  <w:u w:val="single"/>
                </w:rPr>
                <w:t xml:space="preserve">validation results</w:t>
              </w:r>
            </w:hyperlink>
            <w:r>
              <w:rPr>
                <w:rFonts w:ascii="Calibri" w:hAnsi="Calibri"/>
                <w:sz w:val="18"/>
                <w:color w:val="000000"/>
              </w:rPr>
              <w:t xml:space="preserve">; </w:t>
            </w:r>
            <w:hyperlink r:id="rIdReviewerLink15">
              <w:r>
                <w:rPr>
                  <w:rFonts w:ascii="Calibri" w:hAnsi="Calibri"/>
                  <w:sz w:val="18"/>
                  <w:color w:val="0563C1"/>
                  <w:u w:val="single"/>
                </w:rPr>
                <w:t xml:space="preserve">frozen cases</w:t>
              </w:r>
            </w:hyperlink>
            <w:r>
              <w:rPr>
                <w:rFonts w:ascii="Calibri" w:hAnsi="Calibri"/>
                <w:sz w:val="18"/>
                <w:color w:val="000000"/>
              </w:rPr>
              <w:t xml:space="preserve">; </w:t>
            </w:r>
            <w:hyperlink r:id="rIdReviewerLink16">
              <w:r>
                <w:rPr>
                  <w:rFonts w:ascii="Calibri" w:hAnsi="Calibri"/>
                  <w:sz w:val="18"/>
                  <w:color w:val="0563C1"/>
                  <w:u w:val="single"/>
                </w:rPr>
                <w:t xml:space="preserve">Pakistan evidence register</w:t>
              </w:r>
            </w:hyperlink>
            <w:r>
              <w:rPr>
                <w:rFonts w:ascii="Calibri" w:hAnsi="Calibri"/>
                <w:sz w:val="18"/>
                <w:color w:val="000000"/>
              </w:rPr>
              <w:t xml:space="preserve">. Verification context: </w:t>
            </w:r>
            <w:hyperlink r:id="rIdReviewerLink17">
              <w:r>
                <w:rPr>
                  <w:rFonts w:ascii="Calibri" w:hAnsi="Calibri"/>
                  <w:sz w:val="18"/>
                  <w:color w:val="0563C1"/>
                  <w:u w:val="single"/>
                </w:rPr>
                <w:t xml:space="preserve">PMDC</w:t>
              </w:r>
            </w:hyperlink>
            <w:r>
              <w:rPr>
                <w:rFonts w:ascii="Calibri" w:hAnsi="Calibri"/>
                <w:sz w:val="18"/>
                <w:color w:val="000000"/>
              </w:rPr>
              <w:t xml:space="preserve">. Stakeholder validation and independent/domain review remain pending.</w:t>
            </w:r>
          </w:p>
        </w:tc>
        <w:trPr>
          <w:cantSplit/>
        </w:trPr>
      </w:tr>
    </w:tbl>
    <w:p>
      <w:pPr>
        <w:spacing w:after="80"/>
      </w:pPr>
    </w:p>
    <w:tbl>
      <w:tblPr>
        <w:tblW w:type="auto" w:w="0"/>
        <w:jc w:val="center"/>
        <w:tblLook w:firstColumn="1" w:firstRow="1" w:lastColumn="0" w:lastRow="0" w:noHBand="0" w:noVBand="1" w:val="04A0"/>
      </w:tblPr>
      <w:tblGrid>
        <w:gridCol w:w="10368"/>
      </w:tblGrid>
      <w:tr>
        <w:tc>
          <w:tcPr>
            <w:tcW w:type="dxa" w:w="10368"/>
            <w:shd w:fill="FAFAFA"/>
            <w:tcMar>
              <w:top w:w="120" w:type="dxa"/>
              <w:bottom w:w="120" w:type="dxa"/>
              <w:left w:w="150" w:type="dxa"/>
              <w:right w:w="150" w:type="dxa"/>
            </w:tcMar>
          </w:tcPr>
          <w:p>
            <w:pPr>
              <w:spacing w:after="80"/>
            </w:pPr>
            <w:r>
              <w:rPr>
                <w:rFonts w:ascii="Arial" w:hAnsi="Arial"/>
                <w:b/>
                <w:color w:val="003366"/>
                <w:sz w:val="20"/>
              </w:rPr>
              <w:t>APPLICANT DECLARATION &amp; CONFIRMATION</w:t>
            </w:r>
          </w:p>
          <w:p>
            <w:pPr>
              <w:spacing w:after="240"/>
            </w:pPr>
            <w:r>
              <w:rPr>
                <w:rFonts w:ascii="Calibri" w:hAnsi="Calibri"/>
                <w:color w:val="2C3E50"/>
                <w:sz w:val="19"/>
              </w:rPr>
              <w:t>I/We hereby declare that all information provided in this Concept Note for the Cyber Innovation &amp; Startup Challenge (PCC-26) is complete, true, and original. I/We understand that any intentional misrepresentation or plagiarism will result in immediate disqualification.</w:t>
            </w:r>
          </w:p>
          <w:p>
            <w:pPr>
              <w:spacing w:after="0"/>
            </w:pPr>
            <w:r>
              <w:rPr>
                <w:rFonts w:ascii="Calibri" w:hAnsi="Calibri"/>
                <w:b/>
                <w:color w:val="003366"/>
                <w:sz w:val="19"/>
              </w:rPr>
              <w:t>Lead Applicant Signature: _______________________      Date: _______________      Stamp (if applicable): _______________</w:t>
            </w:r>
          </w:p>
        </w:tc>
        <w:trPr>
          <w:cantSplit/>
        </w:trPr>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ReviewerLink9" Type="http://schemas.openxmlformats.org/officeDocument/2006/relationships/hyperlink" Target="https://github.com/javed110/sehataman-pcc-2026-reviewer/blob/main/demos/sehataman-complete-walkthrough.mp4" TargetMode="External"/><Relationship Id="rIdReviewerLink10" Type="http://schemas.openxmlformats.org/officeDocument/2006/relationships/hyperlink" Target="https://github.com/javed110/sehataman-pcc-2026-reviewer/tree/main/demos" TargetMode="External"/><Relationship Id="rIdReviewerLink11" Type="http://schemas.openxmlformats.org/officeDocument/2006/relationships/hyperlink" Target="https://github.com/javed110/sehataman-pcc-2026-reviewer" TargetMode="External"/><Relationship Id="rIdReviewerLink12" Type="http://schemas.openxmlformats.org/officeDocument/2006/relationships/hyperlink" Target="https://github.com/javed110/sehataman-pcc-2026-reviewer" TargetMode="External"/><Relationship Id="rIdReviewerLink13" Type="http://schemas.openxmlformats.org/officeDocument/2006/relationships/hyperlink" Target="https://github.com/javed110/sehataman-pcc-2026-reviewer/blob/main/README.txt" TargetMode="External"/><Relationship Id="rIdReviewerLink14" Type="http://schemas.openxmlformats.org/officeDocument/2006/relationships/hyperlink" Target="https://github.com/javed110/sehataman-pcc-2026-reviewer/tree/main/planning/step5_results" TargetMode="External"/><Relationship Id="rIdReviewerLink15" Type="http://schemas.openxmlformats.org/officeDocument/2006/relationships/hyperlink" Target="https://github.com/javed110/sehataman-pcc-2026-reviewer/blob/main/planning/step4_frozen_scenario_manifest.json" TargetMode="External"/><Relationship Id="rIdReviewerLink16" Type="http://schemas.openxmlformats.org/officeDocument/2006/relationships/hyperlink" Target="https://github.com/javed110/sehataman-pcc-2026-reviewer/blob/main/planning/pakistan_web_validation_evidence.json" TargetMode="External"/><Relationship Id="rIdReviewerLink17" Type="http://schemas.openxmlformats.org/officeDocument/2006/relationships/hyperlink" Target="https://pmdc.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