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0" w:after="80"/>
        <w:jc w:val="center"/>
      </w:pPr>
      <w:r>
        <w:rPr>
          <w:b/>
          <w:color w:val="1E3A5F"/>
          <w:sz w:val="44"/>
        </w:rPr>
        <w:t>GRAY'S WAREHOUSE MANAGEMENT SYSTEM</w:t>
      </w:r>
    </w:p>
    <w:p>
      <w:pPr>
        <w:spacing w:after="80"/>
        <w:jc w:val="center"/>
      </w:pPr>
      <w:r>
        <w:rPr>
          <w:b/>
          <w:color w:val="2B6CB0"/>
          <w:sz w:val="32"/>
        </w:rPr>
        <w:t>Oracle Fusion ERP Integration &amp; WMS Expansion</w:t>
      </w:r>
    </w:p>
    <w:p>
      <w:pPr>
        <w:spacing w:after="1200"/>
        <w:jc w:val="center"/>
      </w:pPr>
      <w:r>
        <w:rPr>
          <w:color w:val="64748B"/>
          <w:sz w:val="28"/>
        </w:rPr>
        <w:t>Implementation Proposal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1e3a5f"/>
          </w:tcPr>
          <w:p>
            <w:r>
              <w:rPr>
                <w:b/>
                <w:color w:val="FFFFFF"/>
                <w:sz w:val="20"/>
              </w:rPr>
              <w:t>Prepared For</w:t>
            </w:r>
          </w:p>
        </w:tc>
        <w:tc>
          <w:tcPr>
            <w:tcW w:type="dxa" w:w="4703"/>
            <w:shd w:val="clear" w:color="auto" w:fill="f0f4fa"/>
          </w:tcPr>
          <w:p>
            <w:r>
              <w:rPr>
                <w:sz w:val="20"/>
              </w:rPr>
              <w:t>Gray's Distribution</w:t>
            </w:r>
          </w:p>
        </w:tc>
      </w:tr>
      <w:tr>
        <w:tc>
          <w:tcPr>
            <w:tcW w:type="dxa" w:w="4703"/>
            <w:shd w:val="clear" w:color="auto" w:fill="1e3a5f"/>
          </w:tcPr>
          <w:p>
            <w:r>
              <w:rPr>
                <w:b/>
                <w:color w:val="FFFFFF"/>
                <w:sz w:val="20"/>
              </w:rPr>
              <w:t>Date</w:t>
            </w:r>
          </w:p>
        </w:tc>
        <w:tc>
          <w:tcPr>
            <w:tcW w:type="dxa" w:w="4703"/>
            <w:shd w:val="clear" w:color="auto" w:fill="f0f4fa"/>
          </w:tcPr>
          <w:p>
            <w:r>
              <w:rPr>
                <w:sz w:val="20"/>
              </w:rPr>
              <w:t>June 2026</w:t>
            </w:r>
          </w:p>
        </w:tc>
      </w:tr>
      <w:tr>
        <w:tc>
          <w:tcPr>
            <w:tcW w:type="dxa" w:w="4703"/>
            <w:shd w:val="clear" w:color="auto" w:fill="1e3a5f"/>
          </w:tcPr>
          <w:p>
            <w:r>
              <w:rPr>
                <w:b/>
                <w:color w:val="FFFFFF"/>
                <w:sz w:val="20"/>
              </w:rPr>
              <w:t>Engagement Type</w:t>
            </w:r>
          </w:p>
        </w:tc>
        <w:tc>
          <w:tcPr>
            <w:tcW w:type="dxa" w:w="4703"/>
            <w:shd w:val="clear" w:color="auto" w:fill="f0f4fa"/>
          </w:tcPr>
          <w:p>
            <w:r>
              <w:rPr>
                <w:sz w:val="20"/>
              </w:rPr>
              <w:t>Professional Services — Fixed Monthly Rate</w:t>
            </w:r>
          </w:p>
        </w:tc>
      </w:tr>
      <w:tr>
        <w:tc>
          <w:tcPr>
            <w:tcW w:type="dxa" w:w="4703"/>
            <w:shd w:val="clear" w:color="auto" w:fill="1e3a5f"/>
          </w:tcPr>
          <w:p>
            <w:r>
              <w:rPr>
                <w:b/>
                <w:color w:val="FFFFFF"/>
                <w:sz w:val="20"/>
              </w:rPr>
              <w:t>Version</w:t>
            </w:r>
          </w:p>
        </w:tc>
        <w:tc>
          <w:tcPr>
            <w:tcW w:type="dxa" w:w="4703"/>
            <w:shd w:val="clear" w:color="auto" w:fill="f0f4fa"/>
          </w:tcPr>
          <w:p>
            <w:r>
              <w:rPr>
                <w:sz w:val="20"/>
              </w:rPr>
              <w:t>1.0</w:t>
            </w:r>
          </w:p>
        </w:tc>
      </w:tr>
    </w:tbl>
    <w:p>
      <w:r>
        <w:br w:type="page"/>
      </w:r>
    </w:p>
    <w:p>
      <w:pPr>
        <w:spacing w:before="360" w:after="120"/>
      </w:pPr>
      <w:r>
        <w:rPr>
          <w:b/>
          <w:color w:val="1E3A5F"/>
          <w:sz w:val="36"/>
        </w:rPr>
        <w:t>1. Executive Summary</w:t>
      </w:r>
    </w:p>
    <w:p>
      <w:pPr>
        <w:spacing w:after="80"/>
      </w:pPr>
      <w:r>
        <w:rPr>
          <w:b w:val="0"/>
          <w:i w:val="0"/>
          <w:sz w:val="21"/>
        </w:rPr>
        <w:t>This proposal outlines a structured six-month engagement to expand and integrate Gray's Warehouse Management System (WMS) with Oracle Fusion ERP. The project delivers end-to-end visibility across Finance (GL, AP, AR, FA), Order Management (OM), and Operations (WMS, POS, Inventory Sync), replacing manual processes with a unified, real-time desktop-web application.</w:t>
      </w:r>
    </w:p>
    <w:p>
      <w:pPr>
        <w:spacing w:after="80"/>
      </w:pPr>
      <w:r>
        <w:rPr>
          <w:b w:val="0"/>
          <w:i w:val="0"/>
          <w:sz w:val="21"/>
        </w:rPr>
        <w:t>Modules will be released individually as they are completed — providing immediate business value without waiting for the full six-month timeline. An on-site implementation phase of two months covers user training, go-live support, and data migration for each module.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val="clear" w:color="auto" w:fill="2b6cb0"/>
          </w:tcPr>
          <w:p>
            <w:pPr>
              <w:jc w:val="center"/>
            </w:pPr>
            <w:r>
              <w:rPr>
                <w:b/>
                <w:color w:val="FFFFFF"/>
                <w:sz w:val="26"/>
              </w:rPr>
              <w:t>6 Months</w:t>
              <w:br/>
            </w:r>
            <w:r>
              <w:rPr>
                <w:color w:val="BED8F8"/>
                <w:sz w:val="18"/>
              </w:rPr>
              <w:t>Total Project</w:t>
            </w:r>
          </w:p>
        </w:tc>
        <w:tc>
          <w:tcPr>
            <w:tcW w:type="dxa" w:w="2351"/>
            <w:shd w:val="clear" w:color="auto" w:fill="2b6cb0"/>
          </w:tcPr>
          <w:p>
            <w:pPr>
              <w:jc w:val="center"/>
            </w:pPr>
            <w:r>
              <w:rPr>
                <w:b/>
                <w:color w:val="FFFFFF"/>
                <w:sz w:val="26"/>
              </w:rPr>
              <w:t>2 Months</w:t>
              <w:br/>
            </w:r>
            <w:r>
              <w:rPr>
                <w:color w:val="BED8F8"/>
                <w:sz w:val="18"/>
              </w:rPr>
              <w:t>On-Site Support</w:t>
            </w:r>
          </w:p>
        </w:tc>
        <w:tc>
          <w:tcPr>
            <w:tcW w:type="dxa" w:w="2351"/>
            <w:shd w:val="clear" w:color="auto" w:fill="2b6cb0"/>
          </w:tcPr>
          <w:p>
            <w:pPr>
              <w:jc w:val="center"/>
            </w:pPr>
            <w:r>
              <w:rPr>
                <w:b/>
                <w:color w:val="FFFFFF"/>
                <w:sz w:val="26"/>
              </w:rPr>
              <w:t>$250 / Day</w:t>
              <w:br/>
            </w:r>
            <w:r>
              <w:rPr>
                <w:color w:val="BED8F8"/>
                <w:sz w:val="18"/>
              </w:rPr>
              <w:t>Daily Rate</w:t>
            </w:r>
          </w:p>
        </w:tc>
        <w:tc>
          <w:tcPr>
            <w:tcW w:type="dxa" w:w="2351"/>
            <w:shd w:val="clear" w:color="auto" w:fill="2b6cb0"/>
          </w:tcPr>
          <w:p>
            <w:pPr>
              <w:jc w:val="center"/>
            </w:pPr>
            <w:r>
              <w:rPr>
                <w:b/>
                <w:color w:val="FFFFFF"/>
                <w:sz w:val="26"/>
              </w:rPr>
              <w:t>$7,500 / Mo</w:t>
              <w:br/>
            </w:r>
            <w:r>
              <w:rPr>
                <w:color w:val="BED8F8"/>
                <w:sz w:val="18"/>
              </w:rPr>
              <w:t>Monthly Rate</w:t>
            </w:r>
          </w:p>
        </w:tc>
      </w:tr>
    </w:tbl>
    <w:p>
      <w:pPr>
        <w:spacing w:before="360" w:after="120"/>
      </w:pPr>
      <w:r>
        <w:rPr>
          <w:b/>
          <w:color w:val="1E3A5F"/>
          <w:sz w:val="36"/>
        </w:rPr>
        <w:t>2. Current System Overview</w:t>
      </w:r>
    </w:p>
    <w:p>
      <w:pPr>
        <w:spacing w:after="80"/>
      </w:pPr>
      <w:r>
        <w:rPr>
          <w:b w:val="0"/>
          <w:i w:val="0"/>
          <w:sz w:val="21"/>
        </w:rPr>
        <w:t>The existing WMS is a C#/.NET 8.0 Windows Forms application hosting a WebView2 (Chromium) browser control. The frontend is built with HTML5, JavaScript, jQuery, and DevExtreme components, communicating with Oracle APEX REST APIs.</w:t>
      </w:r>
    </w:p>
    <w:p>
      <w:pPr>
        <w:spacing w:before="360" w:after="120"/>
      </w:pPr>
      <w:r>
        <w:rPr>
          <w:b/>
          <w:color w:val="1E3A5F"/>
          <w:sz w:val="28"/>
        </w:rPr>
        <w:t>Operational Modules (Live)</w:t>
      </w:r>
    </w:p>
    <w:p>
      <w:pPr>
        <w:pStyle w:val="ListBullet"/>
        <w:spacing w:after="60"/>
        <w:ind w:left="432"/>
      </w:pPr>
      <w:r>
        <w:rPr>
          <w:sz w:val="21"/>
        </w:rPr>
        <w:t>Trip Management — Create, manage, and dispatch delivery trips with order assignment.</w:t>
      </w:r>
    </w:p>
    <w:p>
      <w:pPr>
        <w:pStyle w:val="ListBullet"/>
        <w:spacing w:after="60"/>
        <w:ind w:left="432"/>
      </w:pPr>
      <w:r>
        <w:rPr>
          <w:sz w:val="21"/>
        </w:rPr>
        <w:t>Shipment Agent — Automated print scheduling, Oracle Fusion PDF download via BIP SOAP, line-count validation.</w:t>
      </w:r>
    </w:p>
    <w:p>
      <w:pPr>
        <w:pStyle w:val="ListBullet"/>
        <w:spacing w:after="60"/>
        <w:ind w:left="432"/>
      </w:pPr>
      <w:r>
        <w:rPr>
          <w:sz w:val="21"/>
        </w:rPr>
        <w:t>Printer Management — Multi-printer configuration, job queue, and real-time print monitoring.</w:t>
      </w:r>
    </w:p>
    <w:p>
      <w:pPr>
        <w:pStyle w:val="ListBullet"/>
        <w:spacing w:after="60"/>
        <w:ind w:left="432"/>
      </w:pPr>
      <w:r>
        <w:rPr>
          <w:sz w:val="21"/>
        </w:rPr>
        <w:t>Inventory Management — Stock enquiry and movement tracking via Oracle Fusion REST.</w:t>
      </w:r>
    </w:p>
    <w:p>
      <w:pPr>
        <w:pStyle w:val="ListBullet"/>
        <w:spacing w:after="60"/>
        <w:ind w:left="432"/>
      </w:pPr>
      <w:r>
        <w:rPr>
          <w:sz w:val="21"/>
        </w:rPr>
        <w:t>Receiving — Inbound goods processing linked to purchase orders.</w:t>
      </w:r>
    </w:p>
    <w:p>
      <w:pPr>
        <w:pStyle w:val="ListBullet"/>
        <w:spacing w:after="60"/>
        <w:ind w:left="432"/>
      </w:pPr>
      <w:r>
        <w:rPr>
          <w:sz w:val="21"/>
        </w:rPr>
        <w:t>Claude AI Integration — Embedded AI assistant for WMS queries and task guidance.</w:t>
      </w:r>
    </w:p>
    <w:p>
      <w:pPr>
        <w:spacing w:before="360" w:after="120"/>
      </w:pPr>
      <w:r>
        <w:rPr>
          <w:b/>
          <w:color w:val="1E3A5F"/>
          <w:sz w:val="36"/>
        </w:rPr>
        <w:t>3. Proposed Roadmap Modules</w:t>
      </w:r>
    </w:p>
    <w:p>
      <w:pPr>
        <w:spacing w:after="80"/>
      </w:pPr>
      <w:r>
        <w:rPr>
          <w:b w:val="0"/>
          <w:i w:val="0"/>
          <w:sz w:val="21"/>
        </w:rPr>
        <w:t>The following modules are proposed for development. Each module is self-contained and will be released upon completion, enabling the business to adopt functionality incrementally.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1e3a5f"/>
          </w:tcPr>
          <w:p>
            <w:r>
              <w:rPr>
                <w:b/>
                <w:color w:val="FFFFFF"/>
                <w:sz w:val="20"/>
              </w:rPr>
              <w:t>Module</w:t>
            </w:r>
          </w:p>
        </w:tc>
        <w:tc>
          <w:tcPr>
            <w:tcW w:type="dxa" w:w="3135"/>
            <w:shd w:val="clear" w:color="auto" w:fill="1e3a5f"/>
          </w:tcPr>
          <w:p>
            <w:r>
              <w:rPr>
                <w:b/>
                <w:color w:val="FFFFFF"/>
                <w:sz w:val="20"/>
              </w:rPr>
              <w:t>Name</w:t>
            </w:r>
          </w:p>
        </w:tc>
        <w:tc>
          <w:tcPr>
            <w:tcW w:type="dxa" w:w="3135"/>
            <w:shd w:val="clear" w:color="auto" w:fill="1e3a5f"/>
          </w:tcPr>
          <w:p>
            <w:r>
              <w:rPr>
                <w:b/>
                <w:color w:val="FFFFFF"/>
                <w:sz w:val="20"/>
              </w:rPr>
              <w:t>Scope</w:t>
            </w:r>
          </w:p>
        </w:tc>
      </w:tr>
      <w:tr>
        <w:tc>
          <w:tcPr>
            <w:tcW w:type="dxa" w:w="3135"/>
            <w:shd w:val="clear" w:color="auto" w:fill="f0f4fa"/>
          </w:tcPr>
          <w:p>
            <w:r>
              <w:rPr>
                <w:sz w:val="20"/>
              </w:rPr>
              <w:t>M1</w:t>
            </w:r>
          </w:p>
        </w:tc>
        <w:tc>
          <w:tcPr>
            <w:tcW w:type="dxa" w:w="3135"/>
            <w:shd w:val="clear" w:color="auto" w:fill="f0f4fa"/>
          </w:tcPr>
          <w:p>
            <w:r>
              <w:rPr>
                <w:b/>
                <w:sz w:val="20"/>
              </w:rPr>
              <w:t>General Ledger (GL)</w:t>
            </w:r>
          </w:p>
        </w:tc>
        <w:tc>
          <w:tcPr>
            <w:tcW w:type="dxa" w:w="3135"/>
            <w:shd w:val="clear" w:color="auto" w:fill="f0f4fa"/>
          </w:tcPr>
          <w:p>
            <w:r>
              <w:rPr>
                <w:sz w:val="19"/>
              </w:rPr>
              <w:t>Journal entry review, trial balance, period close management integrated with Oracle Fusion GL.</w:t>
            </w:r>
          </w:p>
        </w:tc>
      </w:tr>
      <w:tr>
        <w:tc>
          <w:tcPr>
            <w:tcW w:type="dxa" w:w="3135"/>
            <w:shd w:val="clear" w:color="auto" w:fill="ffffff"/>
          </w:tcPr>
          <w:p>
            <w:r>
              <w:rPr>
                <w:sz w:val="20"/>
              </w:rPr>
              <w:t>M2</w:t>
            </w:r>
          </w:p>
        </w:tc>
        <w:tc>
          <w:tcPr>
            <w:tcW w:type="dxa" w:w="3135"/>
            <w:shd w:val="clear" w:color="auto" w:fill="ffffff"/>
          </w:tcPr>
          <w:p>
            <w:r>
              <w:rPr>
                <w:b/>
                <w:sz w:val="20"/>
              </w:rPr>
              <w:t>Accounts Payable (AP)</w:t>
            </w:r>
          </w:p>
        </w:tc>
        <w:tc>
          <w:tcPr>
            <w:tcW w:type="dxa" w:w="3135"/>
            <w:shd w:val="clear" w:color="auto" w:fill="ffffff"/>
          </w:tcPr>
          <w:p>
            <w:r>
              <w:rPr>
                <w:sz w:val="19"/>
              </w:rPr>
              <w:t>Invoice capture, approval workflow, payment scheduling, and supplier reconciliation.</w:t>
            </w:r>
          </w:p>
        </w:tc>
      </w:tr>
      <w:tr>
        <w:tc>
          <w:tcPr>
            <w:tcW w:type="dxa" w:w="3135"/>
            <w:shd w:val="clear" w:color="auto" w:fill="f0f4fa"/>
          </w:tcPr>
          <w:p>
            <w:r>
              <w:rPr>
                <w:sz w:val="20"/>
              </w:rPr>
              <w:t>M3</w:t>
            </w:r>
          </w:p>
        </w:tc>
        <w:tc>
          <w:tcPr>
            <w:tcW w:type="dxa" w:w="3135"/>
            <w:shd w:val="clear" w:color="auto" w:fill="f0f4fa"/>
          </w:tcPr>
          <w:p>
            <w:r>
              <w:rPr>
                <w:b/>
                <w:sz w:val="20"/>
              </w:rPr>
              <w:t>Accounts Receivable (AR)</w:t>
            </w:r>
          </w:p>
        </w:tc>
        <w:tc>
          <w:tcPr>
            <w:tcW w:type="dxa" w:w="3135"/>
            <w:shd w:val="clear" w:color="auto" w:fill="f0f4fa"/>
          </w:tcPr>
          <w:p>
            <w:r>
              <w:rPr>
                <w:sz w:val="19"/>
              </w:rPr>
              <w:t>Customer invoicing, receipt matching, aging reports, and dunning management.</w:t>
            </w:r>
          </w:p>
        </w:tc>
      </w:tr>
      <w:tr>
        <w:tc>
          <w:tcPr>
            <w:tcW w:type="dxa" w:w="3135"/>
            <w:shd w:val="clear" w:color="auto" w:fill="ffffff"/>
          </w:tcPr>
          <w:p>
            <w:r>
              <w:rPr>
                <w:sz w:val="20"/>
              </w:rPr>
              <w:t>M4</w:t>
            </w:r>
          </w:p>
        </w:tc>
        <w:tc>
          <w:tcPr>
            <w:tcW w:type="dxa" w:w="3135"/>
            <w:shd w:val="clear" w:color="auto" w:fill="ffffff"/>
          </w:tcPr>
          <w:p>
            <w:r>
              <w:rPr>
                <w:b/>
                <w:sz w:val="20"/>
              </w:rPr>
              <w:t>Fixed Assets (FA)</w:t>
            </w:r>
          </w:p>
        </w:tc>
        <w:tc>
          <w:tcPr>
            <w:tcW w:type="dxa" w:w="3135"/>
            <w:shd w:val="clear" w:color="auto" w:fill="ffffff"/>
          </w:tcPr>
          <w:p>
            <w:r>
              <w:rPr>
                <w:sz w:val="19"/>
              </w:rPr>
              <w:t>Asset register, depreciation schedules, additions/disposals linked to Oracle Fusion FA.</w:t>
            </w:r>
          </w:p>
        </w:tc>
      </w:tr>
      <w:tr>
        <w:tc>
          <w:tcPr>
            <w:tcW w:type="dxa" w:w="3135"/>
            <w:shd w:val="clear" w:color="auto" w:fill="f0f4fa"/>
          </w:tcPr>
          <w:p>
            <w:r>
              <w:rPr>
                <w:sz w:val="20"/>
              </w:rPr>
              <w:t>M5</w:t>
            </w:r>
          </w:p>
        </w:tc>
        <w:tc>
          <w:tcPr>
            <w:tcW w:type="dxa" w:w="3135"/>
            <w:shd w:val="clear" w:color="auto" w:fill="f0f4fa"/>
          </w:tcPr>
          <w:p>
            <w:r>
              <w:rPr>
                <w:b/>
                <w:sz w:val="20"/>
              </w:rPr>
              <w:t>Order Management (OM)</w:t>
            </w:r>
          </w:p>
        </w:tc>
        <w:tc>
          <w:tcPr>
            <w:tcW w:type="dxa" w:w="3135"/>
            <w:shd w:val="clear" w:color="auto" w:fill="f0f4fa"/>
          </w:tcPr>
          <w:p>
            <w:r>
              <w:rPr>
                <w:sz w:val="19"/>
              </w:rPr>
              <w:t>End-to-end sales order lifecycle — entry, fulfilment, shipping confirmation, and invoicing.</w:t>
            </w:r>
          </w:p>
        </w:tc>
      </w:tr>
      <w:tr>
        <w:tc>
          <w:tcPr>
            <w:tcW w:type="dxa" w:w="3135"/>
            <w:shd w:val="clear" w:color="auto" w:fill="ffffff"/>
          </w:tcPr>
          <w:p>
            <w:r>
              <w:rPr>
                <w:sz w:val="20"/>
              </w:rPr>
              <w:t>M6</w:t>
            </w:r>
          </w:p>
        </w:tc>
        <w:tc>
          <w:tcPr>
            <w:tcW w:type="dxa" w:w="3135"/>
            <w:shd w:val="clear" w:color="auto" w:fill="ffffff"/>
          </w:tcPr>
          <w:p>
            <w:r>
              <w:rPr>
                <w:b/>
                <w:sz w:val="20"/>
              </w:rPr>
              <w:t>Cash &amp; Bank (CA)</w:t>
            </w:r>
          </w:p>
        </w:tc>
        <w:tc>
          <w:tcPr>
            <w:tcW w:type="dxa" w:w="3135"/>
            <w:shd w:val="clear" w:color="auto" w:fill="ffffff"/>
          </w:tcPr>
          <w:p>
            <w:r>
              <w:rPr>
                <w:sz w:val="19"/>
              </w:rPr>
              <w:t>Bank statement import, reconciliation, petty cash, and treasury position dashboard.</w:t>
            </w:r>
          </w:p>
        </w:tc>
      </w:tr>
      <w:tr>
        <w:tc>
          <w:tcPr>
            <w:tcW w:type="dxa" w:w="3135"/>
            <w:shd w:val="clear" w:color="auto" w:fill="f0f4fa"/>
          </w:tcPr>
          <w:p>
            <w:r>
              <w:rPr>
                <w:sz w:val="20"/>
              </w:rPr>
              <w:t>M7</w:t>
            </w:r>
          </w:p>
        </w:tc>
        <w:tc>
          <w:tcPr>
            <w:tcW w:type="dxa" w:w="3135"/>
            <w:shd w:val="clear" w:color="auto" w:fill="f0f4fa"/>
          </w:tcPr>
          <w:p>
            <w:r>
              <w:rPr>
                <w:b/>
                <w:sz w:val="20"/>
              </w:rPr>
              <w:t>Point of Sale (POS)</w:t>
            </w:r>
          </w:p>
        </w:tc>
        <w:tc>
          <w:tcPr>
            <w:tcW w:type="dxa" w:w="3135"/>
            <w:shd w:val="clear" w:color="auto" w:fill="f0f4fa"/>
          </w:tcPr>
          <w:p>
            <w:r>
              <w:rPr>
                <w:sz w:val="19"/>
              </w:rPr>
              <w:t>Retail/counter sales with barcode scanning, cash drawer, and real-time Oracle Fusion sync.</w:t>
            </w:r>
          </w:p>
        </w:tc>
      </w:tr>
      <w:tr>
        <w:tc>
          <w:tcPr>
            <w:tcW w:type="dxa" w:w="3135"/>
            <w:shd w:val="clear" w:color="auto" w:fill="ffffff"/>
          </w:tcPr>
          <w:p>
            <w:r>
              <w:rPr>
                <w:sz w:val="20"/>
              </w:rPr>
              <w:t>M8</w:t>
            </w:r>
          </w:p>
        </w:tc>
        <w:tc>
          <w:tcPr>
            <w:tcW w:type="dxa" w:w="3135"/>
            <w:shd w:val="clear" w:color="auto" w:fill="ffffff"/>
          </w:tcPr>
          <w:p>
            <w:r>
              <w:rPr>
                <w:b/>
                <w:sz w:val="20"/>
              </w:rPr>
              <w:t>Data Synchronisation</w:t>
            </w:r>
          </w:p>
        </w:tc>
        <w:tc>
          <w:tcPr>
            <w:tcW w:type="dxa" w:w="3135"/>
            <w:shd w:val="clear" w:color="auto" w:fill="ffffff"/>
          </w:tcPr>
          <w:p>
            <w:r>
              <w:rPr>
                <w:sz w:val="19"/>
              </w:rPr>
              <w:t>Scheduled and on-demand bi-directional sync between WMS local storage and Oracle Fusion.</w:t>
            </w:r>
          </w:p>
        </w:tc>
      </w:tr>
      <w:tr>
        <w:tc>
          <w:tcPr>
            <w:tcW w:type="dxa" w:w="3135"/>
            <w:shd w:val="clear" w:color="auto" w:fill="f0f4fa"/>
          </w:tcPr>
          <w:p>
            <w:r>
              <w:rPr>
                <w:sz w:val="20"/>
              </w:rPr>
              <w:t>M9</w:t>
            </w:r>
          </w:p>
        </w:tc>
        <w:tc>
          <w:tcPr>
            <w:tcW w:type="dxa" w:w="3135"/>
            <w:shd w:val="clear" w:color="auto" w:fill="f0f4fa"/>
          </w:tcPr>
          <w:p>
            <w:r>
              <w:rPr>
                <w:b/>
                <w:sz w:val="20"/>
              </w:rPr>
              <w:t>Reporting &amp; Analytics</w:t>
            </w:r>
          </w:p>
        </w:tc>
        <w:tc>
          <w:tcPr>
            <w:tcW w:type="dxa" w:w="3135"/>
            <w:shd w:val="clear" w:color="auto" w:fill="f0f4fa"/>
          </w:tcPr>
          <w:p>
            <w:r>
              <w:rPr>
                <w:sz w:val="19"/>
              </w:rPr>
              <w:t>Cross-module dashboards, KPI widgets, and exportable Excel/PDF reports.</w:t>
            </w:r>
          </w:p>
        </w:tc>
      </w:tr>
      <w:tr>
        <w:tc>
          <w:tcPr>
            <w:tcW w:type="dxa" w:w="3135"/>
            <w:shd w:val="clear" w:color="auto" w:fill="ffffff"/>
          </w:tcPr>
          <w:p>
            <w:r>
              <w:rPr>
                <w:sz w:val="20"/>
              </w:rPr>
              <w:t>M10</w:t>
            </w:r>
          </w:p>
        </w:tc>
        <w:tc>
          <w:tcPr>
            <w:tcW w:type="dxa" w:w="3135"/>
            <w:shd w:val="clear" w:color="auto" w:fill="ffffff"/>
          </w:tcPr>
          <w:p>
            <w:r>
              <w:rPr>
                <w:b/>
                <w:sz w:val="20"/>
              </w:rPr>
              <w:t>Mobile Companion</w:t>
            </w:r>
          </w:p>
        </w:tc>
        <w:tc>
          <w:tcPr>
            <w:tcW w:type="dxa" w:w="3135"/>
            <w:shd w:val="clear" w:color="auto" w:fill="ffffff"/>
          </w:tcPr>
          <w:p>
            <w:r>
              <w:rPr>
                <w:sz w:val="19"/>
              </w:rPr>
              <w:t>Progressive Web App (PWA) for warehouse staff — picking, putaway, and cycle counts.</w:t>
            </w:r>
          </w:p>
        </w:tc>
      </w:tr>
    </w:tbl>
    <w:p>
      <w:pPr>
        <w:spacing w:before="360" w:after="120"/>
      </w:pPr>
      <w:r>
        <w:rPr>
          <w:b/>
          <w:color w:val="1E3A5F"/>
          <w:sz w:val="36"/>
        </w:rPr>
        <w:t>4. Delivery Approach</w:t>
      </w:r>
    </w:p>
    <w:p>
      <w:pPr>
        <w:spacing w:after="80"/>
      </w:pPr>
      <w:r>
        <w:rPr>
          <w:b w:val="0"/>
          <w:i w:val="0"/>
          <w:sz w:val="21"/>
        </w:rPr>
        <w:t>The engagement follows an agile, module-by-module delivery model. Each module goes through four stages: Design → Build → Test → Release. Modules are deployed to production as soon as they pass user acceptance testing — there is no need to wait for the full six-month timeline.</w:t>
      </w:r>
    </w:p>
    <w:p>
      <w:pPr>
        <w:pStyle w:val="ListBullet"/>
        <w:spacing w:after="60"/>
        <w:ind w:left="432"/>
      </w:pPr>
      <w:r>
        <w:rPr>
          <w:sz w:val="21"/>
        </w:rPr>
        <w:t>Each module delivered as a versioned desktop application update.</w:t>
      </w:r>
    </w:p>
    <w:p>
      <w:pPr>
        <w:pStyle w:val="ListBullet"/>
        <w:spacing w:after="60"/>
        <w:ind w:left="432"/>
      </w:pPr>
      <w:r>
        <w:rPr>
          <w:sz w:val="21"/>
        </w:rPr>
        <w:t>Hotfixes and minor enhancements included within the monthly rate.</w:t>
      </w:r>
    </w:p>
    <w:p>
      <w:pPr>
        <w:pStyle w:val="ListBullet"/>
        <w:spacing w:after="60"/>
        <w:ind w:left="432"/>
      </w:pPr>
      <w:r>
        <w:rPr>
          <w:sz w:val="21"/>
        </w:rPr>
        <w:t>Weekly status call and written progress report.</w:t>
      </w:r>
    </w:p>
    <w:p>
      <w:pPr>
        <w:pStyle w:val="ListBullet"/>
        <w:spacing w:after="60"/>
        <w:ind w:left="432"/>
      </w:pPr>
      <w:r>
        <w:rPr>
          <w:sz w:val="21"/>
        </w:rPr>
        <w:t>All source code committed to the private GitHub repository with release tags.</w:t>
      </w:r>
    </w:p>
    <w:p>
      <w:pPr>
        <w:pStyle w:val="ListBullet"/>
        <w:spacing w:after="60"/>
        <w:ind w:left="432"/>
      </w:pPr>
      <w:r>
        <w:rPr>
          <w:sz w:val="21"/>
        </w:rPr>
        <w:t>On-site presence for two months during the peak go-live period (Months 3 &amp; 4).</w:t>
      </w:r>
    </w:p>
    <w:p>
      <w:pPr>
        <w:spacing w:before="360" w:after="120"/>
      </w:pPr>
      <w:r>
        <w:rPr>
          <w:b/>
          <w:color w:val="1E3A5F"/>
          <w:sz w:val="36"/>
        </w:rPr>
        <w:t>5. Project Plan &amp; Timeline</w:t>
      </w:r>
    </w:p>
    <w:p>
      <w:pPr>
        <w:spacing w:before="240" w:after="120"/>
      </w:pPr>
      <w:r>
        <w:rPr>
          <w:b/>
          <w:color w:val="2B6CB0"/>
          <w:sz w:val="28"/>
        </w:rPr>
        <w:t>Phase 1 — Foundation &amp; GL/AP  (Month 1–2)</w:t>
      </w:r>
    </w:p>
    <w:p>
      <w:pPr>
        <w:pStyle w:val="ListBullet"/>
        <w:spacing w:after="60"/>
        <w:ind w:left="432"/>
      </w:pPr>
      <w:r>
        <w:rPr>
          <w:sz w:val="21"/>
        </w:rPr>
        <w:t>Requirements workshops and system audit</w:t>
      </w:r>
    </w:p>
    <w:p>
      <w:pPr>
        <w:pStyle w:val="ListBullet"/>
        <w:spacing w:after="60"/>
        <w:ind w:left="432"/>
      </w:pPr>
      <w:r>
        <w:rPr>
          <w:sz w:val="21"/>
        </w:rPr>
        <w:t>GL module: journal review, trial balance, period close</w:t>
      </w:r>
    </w:p>
    <w:p>
      <w:pPr>
        <w:pStyle w:val="ListBullet"/>
        <w:spacing w:after="60"/>
        <w:ind w:left="432"/>
      </w:pPr>
      <w:r>
        <w:rPr>
          <w:sz w:val="21"/>
        </w:rPr>
        <w:t>AP module: invoice capture, approval workflow, payment scheduling</w:t>
      </w:r>
    </w:p>
    <w:p>
      <w:pPr>
        <w:pStyle w:val="ListBullet"/>
        <w:spacing w:after="60"/>
        <w:ind w:left="432"/>
      </w:pPr>
      <w:r>
        <w:rPr>
          <w:sz w:val="21"/>
        </w:rPr>
        <w:t>Auto-updater deployment pipeline</w:t>
      </w:r>
    </w:p>
    <w:p>
      <w:pPr>
        <w:pStyle w:val="ListBullet"/>
        <w:spacing w:after="60"/>
        <w:ind w:left="432"/>
      </w:pPr>
      <w:r>
        <w:rPr>
          <w:sz w:val="21"/>
        </w:rPr>
        <w:t>On-site kick-off week (1 week)</w:t>
      </w:r>
    </w:p>
    <w:p>
      <w:pPr>
        <w:spacing w:before="240" w:after="120"/>
      </w:pPr>
      <w:r>
        <w:rPr>
          <w:b/>
          <w:color w:val="2B6CB0"/>
          <w:sz w:val="28"/>
        </w:rPr>
        <w:t>Phase 2 — AR / FA / OM  (Month 2–3)</w:t>
      </w:r>
    </w:p>
    <w:p>
      <w:pPr>
        <w:pStyle w:val="ListBullet"/>
        <w:spacing w:after="60"/>
        <w:ind w:left="432"/>
      </w:pPr>
      <w:r>
        <w:rPr>
          <w:sz w:val="21"/>
        </w:rPr>
        <w:t>AR module: customer invoicing, receipt matching, aging</w:t>
      </w:r>
    </w:p>
    <w:p>
      <w:pPr>
        <w:pStyle w:val="ListBullet"/>
        <w:spacing w:after="60"/>
        <w:ind w:left="432"/>
      </w:pPr>
      <w:r>
        <w:rPr>
          <w:sz w:val="21"/>
        </w:rPr>
        <w:t>FA module: asset register, depreciation, additions/disposals</w:t>
      </w:r>
    </w:p>
    <w:p>
      <w:pPr>
        <w:pStyle w:val="ListBullet"/>
        <w:spacing w:after="60"/>
        <w:ind w:left="432"/>
      </w:pPr>
      <w:r>
        <w:rPr>
          <w:sz w:val="21"/>
        </w:rPr>
        <w:t>OM module: sales order lifecycle, shipping confirmation</w:t>
      </w:r>
    </w:p>
    <w:p>
      <w:pPr>
        <w:pStyle w:val="ListBullet"/>
        <w:spacing w:after="60"/>
        <w:ind w:left="432"/>
      </w:pPr>
      <w:r>
        <w:rPr>
          <w:sz w:val="21"/>
        </w:rPr>
        <w:t>Reporting dashboard v1</w:t>
      </w:r>
    </w:p>
    <w:p>
      <w:pPr>
        <w:spacing w:before="240" w:after="120"/>
      </w:pPr>
      <w:r>
        <w:rPr>
          <w:b/>
          <w:color w:val="2B6CB0"/>
          <w:sz w:val="28"/>
        </w:rPr>
        <w:t>Phase 3 — Cash / POS / Sync (On-Site)  (Month 3–4)</w:t>
      </w:r>
    </w:p>
    <w:p>
      <w:pPr>
        <w:pStyle w:val="ListBullet"/>
        <w:spacing w:after="60"/>
        <w:ind w:left="432"/>
      </w:pPr>
      <w:r>
        <w:rPr>
          <w:sz w:val="21"/>
        </w:rPr>
        <w:t>Cash &amp; Bank reconciliation module</w:t>
      </w:r>
    </w:p>
    <w:p>
      <w:pPr>
        <w:pStyle w:val="ListBullet"/>
        <w:spacing w:after="60"/>
        <w:ind w:left="432"/>
      </w:pPr>
      <w:r>
        <w:rPr>
          <w:sz w:val="21"/>
        </w:rPr>
        <w:t>POS module: barcode scanning, cash drawer integration</w:t>
      </w:r>
    </w:p>
    <w:p>
      <w:pPr>
        <w:pStyle w:val="ListBullet"/>
        <w:spacing w:after="60"/>
        <w:ind w:left="432"/>
      </w:pPr>
      <w:r>
        <w:rPr>
          <w:sz w:val="21"/>
        </w:rPr>
        <w:t>Data synchronisation engine (Fusion ↔ WMS)</w:t>
      </w:r>
    </w:p>
    <w:p>
      <w:pPr>
        <w:pStyle w:val="ListBullet"/>
        <w:spacing w:after="60"/>
        <w:ind w:left="432"/>
      </w:pPr>
      <w:r>
        <w:rPr>
          <w:sz w:val="21"/>
        </w:rPr>
        <w:t>Full on-site go-live support (Month 3–4, 2 months)</w:t>
      </w:r>
    </w:p>
    <w:p>
      <w:pPr>
        <w:pStyle w:val="ListBullet"/>
        <w:spacing w:after="60"/>
        <w:ind w:left="432"/>
      </w:pPr>
      <w:r>
        <w:rPr>
          <w:sz w:val="21"/>
        </w:rPr>
        <w:t>User training sessions for all modules</w:t>
      </w:r>
    </w:p>
    <w:p>
      <w:pPr>
        <w:spacing w:before="240" w:after="120"/>
      </w:pPr>
      <w:r>
        <w:rPr>
          <w:b/>
          <w:color w:val="2B6CB0"/>
          <w:sz w:val="28"/>
        </w:rPr>
        <w:t>Phase 4 — Reporting, Mobile &amp; Hardening  (Month 4–5)</w:t>
      </w:r>
    </w:p>
    <w:p>
      <w:pPr>
        <w:pStyle w:val="ListBullet"/>
        <w:spacing w:after="60"/>
        <w:ind w:left="432"/>
      </w:pPr>
      <w:r>
        <w:rPr>
          <w:sz w:val="21"/>
        </w:rPr>
        <w:t>Cross-module analytics and KPI dashboards</w:t>
      </w:r>
    </w:p>
    <w:p>
      <w:pPr>
        <w:pStyle w:val="ListBullet"/>
        <w:spacing w:after="60"/>
        <w:ind w:left="432"/>
      </w:pPr>
      <w:r>
        <w:rPr>
          <w:sz w:val="21"/>
        </w:rPr>
        <w:t>Mobile PWA for warehouse staff</w:t>
      </w:r>
    </w:p>
    <w:p>
      <w:pPr>
        <w:pStyle w:val="ListBullet"/>
        <w:spacing w:after="60"/>
        <w:ind w:left="432"/>
      </w:pPr>
      <w:r>
        <w:rPr>
          <w:sz w:val="21"/>
        </w:rPr>
        <w:t>Performance tuning and security review</w:t>
      </w:r>
    </w:p>
    <w:p>
      <w:pPr>
        <w:pStyle w:val="ListBullet"/>
        <w:spacing w:after="60"/>
        <w:ind w:left="432"/>
      </w:pPr>
      <w:r>
        <w:rPr>
          <w:sz w:val="21"/>
        </w:rPr>
        <w:t>User feedback loop and iterative improvements</w:t>
      </w:r>
    </w:p>
    <w:p>
      <w:pPr>
        <w:spacing w:before="240" w:after="120"/>
      </w:pPr>
      <w:r>
        <w:rPr>
          <w:b/>
          <w:color w:val="2B6CB0"/>
          <w:sz w:val="28"/>
        </w:rPr>
        <w:t>Phase 5 — Stabilisation &amp; Handover  (Month 5–6)</w:t>
      </w:r>
    </w:p>
    <w:p>
      <w:pPr>
        <w:pStyle w:val="ListBullet"/>
        <w:spacing w:after="60"/>
        <w:ind w:left="432"/>
      </w:pPr>
      <w:r>
        <w:rPr>
          <w:sz w:val="21"/>
        </w:rPr>
        <w:t>Regression testing across all modules</w:t>
      </w:r>
    </w:p>
    <w:p>
      <w:pPr>
        <w:pStyle w:val="ListBullet"/>
        <w:spacing w:after="60"/>
        <w:ind w:left="432"/>
      </w:pPr>
      <w:r>
        <w:rPr>
          <w:sz w:val="21"/>
        </w:rPr>
        <w:t>Documentation and user manuals</w:t>
      </w:r>
    </w:p>
    <w:p>
      <w:pPr>
        <w:pStyle w:val="ListBullet"/>
        <w:spacing w:after="60"/>
        <w:ind w:left="432"/>
      </w:pPr>
      <w:r>
        <w:rPr>
          <w:sz w:val="21"/>
        </w:rPr>
        <w:t>Knowledge transfer sessions</w:t>
      </w:r>
    </w:p>
    <w:p>
      <w:pPr>
        <w:pStyle w:val="ListBullet"/>
        <w:spacing w:after="60"/>
        <w:ind w:left="432"/>
      </w:pPr>
      <w:r>
        <w:rPr>
          <w:sz w:val="21"/>
        </w:rPr>
        <w:t>Final release with versioned deployment package</w:t>
      </w:r>
    </w:p>
    <w:p>
      <w:pPr>
        <w:pStyle w:val="ListBullet"/>
        <w:spacing w:after="60"/>
        <w:ind w:left="432"/>
      </w:pPr>
      <w:r>
        <w:rPr>
          <w:sz w:val="21"/>
        </w:rPr>
        <w:t>Post-go-live hypercare support</w:t>
      </w:r>
    </w:p>
    <w:p>
      <w:pPr>
        <w:spacing w:before="280" w:after="120"/>
      </w:pPr>
      <w:r>
        <w:rPr>
          <w:b/>
          <w:color w:val="1E3A5F"/>
          <w:sz w:val="28"/>
        </w:rPr>
        <w:t>High-Level Gantt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shd w:val="clear" w:color="auto" w:fill="1e3a5f"/>
          </w:tcPr>
          <w:p>
            <w:r>
              <w:rPr>
                <w:b/>
                <w:color w:val="FFFFFF"/>
                <w:sz w:val="18"/>
              </w:rPr>
              <w:t>Module / Phase</w:t>
            </w:r>
          </w:p>
        </w:tc>
        <w:tc>
          <w:tcPr>
            <w:tcW w:type="dxa" w:w="1344"/>
            <w:shd w:val="clear" w:color="auto" w:fill="1e3a5f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M1</w:t>
            </w:r>
          </w:p>
        </w:tc>
        <w:tc>
          <w:tcPr>
            <w:tcW w:type="dxa" w:w="1344"/>
            <w:shd w:val="clear" w:color="auto" w:fill="1e3a5f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M2</w:t>
            </w:r>
          </w:p>
        </w:tc>
        <w:tc>
          <w:tcPr>
            <w:tcW w:type="dxa" w:w="1344"/>
            <w:shd w:val="clear" w:color="auto" w:fill="1e3a5f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M3</w:t>
            </w:r>
          </w:p>
        </w:tc>
        <w:tc>
          <w:tcPr>
            <w:tcW w:type="dxa" w:w="1344"/>
            <w:shd w:val="clear" w:color="auto" w:fill="1e3a5f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M4</w:t>
            </w:r>
          </w:p>
        </w:tc>
        <w:tc>
          <w:tcPr>
            <w:tcW w:type="dxa" w:w="1344"/>
            <w:shd w:val="clear" w:color="auto" w:fill="1e3a5f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M5</w:t>
            </w:r>
          </w:p>
        </w:tc>
        <w:tc>
          <w:tcPr>
            <w:tcW w:type="dxa" w:w="1344"/>
            <w:shd w:val="clear" w:color="auto" w:fill="1e3a5f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M6</w:t>
            </w:r>
          </w:p>
        </w:tc>
      </w:tr>
      <w:tr>
        <w:tc>
          <w:tcPr>
            <w:tcW w:type="dxa" w:w="1344"/>
            <w:shd w:val="clear" w:color="auto" w:fill="f8fafc"/>
          </w:tcPr>
          <w:p>
            <w:r>
              <w:rPr>
                <w:sz w:val="18"/>
              </w:rPr>
              <w:t>GL / AP</w:t>
            </w:r>
          </w:p>
        </w:tc>
        <w:tc>
          <w:tcPr>
            <w:tcW w:type="dxa" w:w="1344"/>
            <w:shd w:val="clear" w:color="auto" w:fill="2b6cb0"/>
          </w:tcPr>
          <w:p>
            <w:pPr>
              <w:jc w:val="center"/>
            </w:pPr>
            <w:r>
              <w:rPr>
                <w:color w:val="FFFFFF"/>
                <w:sz w:val="18"/>
              </w:rPr>
              <w:t>●</w:t>
            </w:r>
          </w:p>
        </w:tc>
        <w:tc>
          <w:tcPr>
            <w:tcW w:type="dxa" w:w="1344"/>
            <w:shd w:val="clear" w:color="auto" w:fill="2b6cb0"/>
          </w:tcPr>
          <w:p>
            <w:pPr>
              <w:jc w:val="center"/>
            </w:pPr>
            <w:r>
              <w:rPr>
                <w:color w:val="FFFFFF"/>
                <w:sz w:val="18"/>
              </w:rPr>
              <w:t>●</w:t>
            </w:r>
          </w:p>
        </w:tc>
        <w:tc>
          <w:tcPr>
            <w:tcW w:type="dxa" w:w="1344"/>
            <w:shd w:val="clear" w:color="auto" w:fill="ffffff"/>
          </w:tcPr>
          <w:p/>
        </w:tc>
        <w:tc>
          <w:tcPr>
            <w:tcW w:type="dxa" w:w="1344"/>
            <w:shd w:val="clear" w:color="auto" w:fill="ffffff"/>
          </w:tcPr>
          <w:p/>
        </w:tc>
        <w:tc>
          <w:tcPr>
            <w:tcW w:type="dxa" w:w="1344"/>
            <w:shd w:val="clear" w:color="auto" w:fill="ffffff"/>
          </w:tcPr>
          <w:p/>
        </w:tc>
        <w:tc>
          <w:tcPr>
            <w:tcW w:type="dxa" w:w="1344"/>
            <w:shd w:val="clear" w:color="auto" w:fill="ffffff"/>
          </w:tcPr>
          <w:p/>
        </w:tc>
      </w:tr>
      <w:tr>
        <w:tc>
          <w:tcPr>
            <w:tcW w:type="dxa" w:w="1344"/>
            <w:shd w:val="clear" w:color="auto" w:fill="f8fafc"/>
          </w:tcPr>
          <w:p>
            <w:r>
              <w:rPr>
                <w:sz w:val="18"/>
              </w:rPr>
              <w:t>AR / FA / OM</w:t>
            </w:r>
          </w:p>
        </w:tc>
        <w:tc>
          <w:tcPr>
            <w:tcW w:type="dxa" w:w="1344"/>
            <w:shd w:val="clear" w:color="auto" w:fill="ffffff"/>
          </w:tcPr>
          <w:p/>
        </w:tc>
        <w:tc>
          <w:tcPr>
            <w:tcW w:type="dxa" w:w="1344"/>
            <w:shd w:val="clear" w:color="auto" w:fill="2b6cb0"/>
          </w:tcPr>
          <w:p>
            <w:pPr>
              <w:jc w:val="center"/>
            </w:pPr>
            <w:r>
              <w:rPr>
                <w:color w:val="FFFFFF"/>
                <w:sz w:val="18"/>
              </w:rPr>
              <w:t>●</w:t>
            </w:r>
          </w:p>
        </w:tc>
        <w:tc>
          <w:tcPr>
            <w:tcW w:type="dxa" w:w="1344"/>
            <w:shd w:val="clear" w:color="auto" w:fill="2b6cb0"/>
          </w:tcPr>
          <w:p>
            <w:pPr>
              <w:jc w:val="center"/>
            </w:pPr>
            <w:r>
              <w:rPr>
                <w:color w:val="FFFFFF"/>
                <w:sz w:val="18"/>
              </w:rPr>
              <w:t>●</w:t>
            </w:r>
          </w:p>
        </w:tc>
        <w:tc>
          <w:tcPr>
            <w:tcW w:type="dxa" w:w="1344"/>
            <w:shd w:val="clear" w:color="auto" w:fill="ffffff"/>
          </w:tcPr>
          <w:p/>
        </w:tc>
        <w:tc>
          <w:tcPr>
            <w:tcW w:type="dxa" w:w="1344"/>
            <w:shd w:val="clear" w:color="auto" w:fill="ffffff"/>
          </w:tcPr>
          <w:p/>
        </w:tc>
        <w:tc>
          <w:tcPr>
            <w:tcW w:type="dxa" w:w="1344"/>
            <w:shd w:val="clear" w:color="auto" w:fill="ffffff"/>
          </w:tcPr>
          <w:p/>
        </w:tc>
      </w:tr>
      <w:tr>
        <w:tc>
          <w:tcPr>
            <w:tcW w:type="dxa" w:w="1344"/>
            <w:shd w:val="clear" w:color="auto" w:fill="f8fafc"/>
          </w:tcPr>
          <w:p>
            <w:r>
              <w:rPr>
                <w:sz w:val="18"/>
              </w:rPr>
              <w:t>Cash / POS / Sync</w:t>
            </w:r>
          </w:p>
        </w:tc>
        <w:tc>
          <w:tcPr>
            <w:tcW w:type="dxa" w:w="1344"/>
            <w:shd w:val="clear" w:color="auto" w:fill="ffffff"/>
          </w:tcPr>
          <w:p/>
        </w:tc>
        <w:tc>
          <w:tcPr>
            <w:tcW w:type="dxa" w:w="1344"/>
            <w:shd w:val="clear" w:color="auto" w:fill="ffffff"/>
          </w:tcPr>
          <w:p/>
        </w:tc>
        <w:tc>
          <w:tcPr>
            <w:tcW w:type="dxa" w:w="1344"/>
            <w:shd w:val="clear" w:color="auto" w:fill="2b6cb0"/>
          </w:tcPr>
          <w:p>
            <w:pPr>
              <w:jc w:val="center"/>
            </w:pPr>
            <w:r>
              <w:rPr>
                <w:color w:val="FFFFFF"/>
                <w:sz w:val="18"/>
              </w:rPr>
              <w:t>●</w:t>
            </w:r>
          </w:p>
        </w:tc>
        <w:tc>
          <w:tcPr>
            <w:tcW w:type="dxa" w:w="1344"/>
            <w:shd w:val="clear" w:color="auto" w:fill="2b6cb0"/>
          </w:tcPr>
          <w:p>
            <w:pPr>
              <w:jc w:val="center"/>
            </w:pPr>
            <w:r>
              <w:rPr>
                <w:color w:val="FFFFFF"/>
                <w:sz w:val="18"/>
              </w:rPr>
              <w:t>●</w:t>
            </w:r>
          </w:p>
        </w:tc>
        <w:tc>
          <w:tcPr>
            <w:tcW w:type="dxa" w:w="1344"/>
            <w:shd w:val="clear" w:color="auto" w:fill="ffffff"/>
          </w:tcPr>
          <w:p/>
        </w:tc>
        <w:tc>
          <w:tcPr>
            <w:tcW w:type="dxa" w:w="1344"/>
            <w:shd w:val="clear" w:color="auto" w:fill="ffffff"/>
          </w:tcPr>
          <w:p/>
        </w:tc>
      </w:tr>
      <w:tr>
        <w:tc>
          <w:tcPr>
            <w:tcW w:type="dxa" w:w="1344"/>
            <w:shd w:val="clear" w:color="auto" w:fill="f8fafc"/>
          </w:tcPr>
          <w:p>
            <w:r>
              <w:rPr>
                <w:sz w:val="18"/>
              </w:rPr>
              <w:t>Reporting / Mobile</w:t>
            </w:r>
          </w:p>
        </w:tc>
        <w:tc>
          <w:tcPr>
            <w:tcW w:type="dxa" w:w="1344"/>
            <w:shd w:val="clear" w:color="auto" w:fill="ffffff"/>
          </w:tcPr>
          <w:p/>
        </w:tc>
        <w:tc>
          <w:tcPr>
            <w:tcW w:type="dxa" w:w="1344"/>
            <w:shd w:val="clear" w:color="auto" w:fill="ffffff"/>
          </w:tcPr>
          <w:p/>
        </w:tc>
        <w:tc>
          <w:tcPr>
            <w:tcW w:type="dxa" w:w="1344"/>
            <w:shd w:val="clear" w:color="auto" w:fill="ffffff"/>
          </w:tcPr>
          <w:p/>
        </w:tc>
        <w:tc>
          <w:tcPr>
            <w:tcW w:type="dxa" w:w="1344"/>
            <w:shd w:val="clear" w:color="auto" w:fill="2b6cb0"/>
          </w:tcPr>
          <w:p>
            <w:pPr>
              <w:jc w:val="center"/>
            </w:pPr>
            <w:r>
              <w:rPr>
                <w:color w:val="FFFFFF"/>
                <w:sz w:val="18"/>
              </w:rPr>
              <w:t>●</w:t>
            </w:r>
          </w:p>
        </w:tc>
        <w:tc>
          <w:tcPr>
            <w:tcW w:type="dxa" w:w="1344"/>
            <w:shd w:val="clear" w:color="auto" w:fill="2b6cb0"/>
          </w:tcPr>
          <w:p>
            <w:pPr>
              <w:jc w:val="center"/>
            </w:pPr>
            <w:r>
              <w:rPr>
                <w:color w:val="FFFFFF"/>
                <w:sz w:val="18"/>
              </w:rPr>
              <w:t>●</w:t>
            </w:r>
          </w:p>
        </w:tc>
        <w:tc>
          <w:tcPr>
            <w:tcW w:type="dxa" w:w="1344"/>
            <w:shd w:val="clear" w:color="auto" w:fill="ffffff"/>
          </w:tcPr>
          <w:p/>
        </w:tc>
      </w:tr>
      <w:tr>
        <w:tc>
          <w:tcPr>
            <w:tcW w:type="dxa" w:w="1344"/>
            <w:shd w:val="clear" w:color="auto" w:fill="f8fafc"/>
          </w:tcPr>
          <w:p>
            <w:r>
              <w:rPr>
                <w:sz w:val="18"/>
              </w:rPr>
              <w:t>Stabilisation / Handover</w:t>
            </w:r>
          </w:p>
        </w:tc>
        <w:tc>
          <w:tcPr>
            <w:tcW w:type="dxa" w:w="1344"/>
            <w:shd w:val="clear" w:color="auto" w:fill="ffffff"/>
          </w:tcPr>
          <w:p/>
        </w:tc>
        <w:tc>
          <w:tcPr>
            <w:tcW w:type="dxa" w:w="1344"/>
            <w:shd w:val="clear" w:color="auto" w:fill="ffffff"/>
          </w:tcPr>
          <w:p/>
        </w:tc>
        <w:tc>
          <w:tcPr>
            <w:tcW w:type="dxa" w:w="1344"/>
            <w:shd w:val="clear" w:color="auto" w:fill="ffffff"/>
          </w:tcPr>
          <w:p/>
        </w:tc>
        <w:tc>
          <w:tcPr>
            <w:tcW w:type="dxa" w:w="1344"/>
            <w:shd w:val="clear" w:color="auto" w:fill="ffffff"/>
          </w:tcPr>
          <w:p/>
        </w:tc>
        <w:tc>
          <w:tcPr>
            <w:tcW w:type="dxa" w:w="1344"/>
            <w:shd w:val="clear" w:color="auto" w:fill="2b6cb0"/>
          </w:tcPr>
          <w:p>
            <w:pPr>
              <w:jc w:val="center"/>
            </w:pPr>
            <w:r>
              <w:rPr>
                <w:color w:val="FFFFFF"/>
                <w:sz w:val="18"/>
              </w:rPr>
              <w:t>●</w:t>
            </w:r>
          </w:p>
        </w:tc>
        <w:tc>
          <w:tcPr>
            <w:tcW w:type="dxa" w:w="1344"/>
            <w:shd w:val="clear" w:color="auto" w:fill="2b6cb0"/>
          </w:tcPr>
          <w:p>
            <w:pPr>
              <w:jc w:val="center"/>
            </w:pPr>
            <w:r>
              <w:rPr>
                <w:color w:val="FFFFFF"/>
                <w:sz w:val="18"/>
              </w:rPr>
              <w:t>●</w:t>
            </w:r>
          </w:p>
        </w:tc>
      </w:tr>
      <w:tr>
        <w:tc>
          <w:tcPr>
            <w:tcW w:type="dxa" w:w="1344"/>
            <w:shd w:val="clear" w:color="auto" w:fill="f8fafc"/>
          </w:tcPr>
          <w:p>
            <w:r>
              <w:rPr>
                <w:sz w:val="18"/>
              </w:rPr>
              <w:t>ON-SITE</w:t>
            </w:r>
          </w:p>
        </w:tc>
        <w:tc>
          <w:tcPr>
            <w:tcW w:type="dxa" w:w="1344"/>
            <w:shd w:val="clear" w:color="auto" w:fill="ffffff"/>
          </w:tcPr>
          <w:p/>
        </w:tc>
        <w:tc>
          <w:tcPr>
            <w:tcW w:type="dxa" w:w="1344"/>
            <w:shd w:val="clear" w:color="auto" w:fill="ffffff"/>
          </w:tcPr>
          <w:p/>
        </w:tc>
        <w:tc>
          <w:tcPr>
            <w:tcW w:type="dxa" w:w="1344"/>
            <w:shd w:val="clear" w:color="auto" w:fill="276e48"/>
          </w:tcPr>
          <w:p>
            <w:pPr>
              <w:jc w:val="center"/>
            </w:pPr>
            <w:r>
              <w:rPr>
                <w:color w:val="FFFFFF"/>
                <w:sz w:val="18"/>
              </w:rPr>
              <w:t>●</w:t>
            </w:r>
          </w:p>
        </w:tc>
        <w:tc>
          <w:tcPr>
            <w:tcW w:type="dxa" w:w="1344"/>
            <w:shd w:val="clear" w:color="auto" w:fill="276e48"/>
          </w:tcPr>
          <w:p>
            <w:pPr>
              <w:jc w:val="center"/>
            </w:pPr>
            <w:r>
              <w:rPr>
                <w:color w:val="FFFFFF"/>
                <w:sz w:val="18"/>
              </w:rPr>
              <w:t>●</w:t>
            </w:r>
          </w:p>
        </w:tc>
        <w:tc>
          <w:tcPr>
            <w:tcW w:type="dxa" w:w="1344"/>
            <w:shd w:val="clear" w:color="auto" w:fill="ffffff"/>
          </w:tcPr>
          <w:p/>
        </w:tc>
        <w:tc>
          <w:tcPr>
            <w:tcW w:type="dxa" w:w="1344"/>
            <w:shd w:val="clear" w:color="auto" w:fill="ffffff"/>
          </w:tcPr>
          <w:p/>
        </w:tc>
      </w:tr>
    </w:tbl>
    <w:p>
      <w:pPr>
        <w:spacing w:before="360" w:after="120"/>
      </w:pPr>
      <w:r>
        <w:rPr>
          <w:b/>
          <w:color w:val="1E3A5F"/>
          <w:sz w:val="36"/>
        </w:rPr>
        <w:t>6. Commercial Terms</w:t>
      </w:r>
    </w:p>
    <w:p>
      <w:pPr>
        <w:spacing w:before="360" w:after="120"/>
      </w:pPr>
      <w:r>
        <w:rPr>
          <w:b/>
          <w:color w:val="1E3A5F"/>
          <w:sz w:val="28"/>
        </w:rPr>
        <w:t>Rate Card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1e3a5f"/>
          </w:tcPr>
          <w:p>
            <w:r>
              <w:rPr>
                <w:b/>
                <w:color w:val="FFFFFF"/>
                <w:sz w:val="20"/>
              </w:rPr>
              <w:t>Item</w:t>
            </w:r>
          </w:p>
        </w:tc>
        <w:tc>
          <w:tcPr>
            <w:tcW w:type="dxa" w:w="3135"/>
            <w:shd w:val="clear" w:color="auto" w:fill="1e3a5f"/>
          </w:tcPr>
          <w:p>
            <w:r>
              <w:rPr>
                <w:b/>
                <w:color w:val="FFFFFF"/>
                <w:sz w:val="20"/>
              </w:rPr>
              <w:t>Rate</w:t>
            </w:r>
          </w:p>
        </w:tc>
        <w:tc>
          <w:tcPr>
            <w:tcW w:type="dxa" w:w="3135"/>
            <w:shd w:val="clear" w:color="auto" w:fill="1e3a5f"/>
          </w:tcPr>
          <w:p>
            <w:r>
              <w:rPr>
                <w:b/>
                <w:color w:val="FFFFFF"/>
                <w:sz w:val="20"/>
              </w:rPr>
              <w:t>Notes</w:t>
            </w:r>
          </w:p>
        </w:tc>
      </w:tr>
      <w:tr>
        <w:tc>
          <w:tcPr>
            <w:tcW w:type="dxa" w:w="3135"/>
            <w:shd w:val="clear" w:color="auto" w:fill="f0f4fa"/>
          </w:tcPr>
          <w:p>
            <w:r>
              <w:rPr>
                <w:sz w:val="20"/>
              </w:rPr>
              <w:t>Daily Rate (Remote)</w:t>
            </w:r>
          </w:p>
        </w:tc>
        <w:tc>
          <w:tcPr>
            <w:tcW w:type="dxa" w:w="3135"/>
            <w:shd w:val="clear" w:color="auto" w:fill="f0f4fa"/>
          </w:tcPr>
          <w:p>
            <w:r>
              <w:rPr>
                <w:b/>
                <w:sz w:val="20"/>
              </w:rPr>
              <w:t>USD 250 / day</w:t>
            </w:r>
          </w:p>
        </w:tc>
        <w:tc>
          <w:tcPr>
            <w:tcW w:type="dxa" w:w="3135"/>
            <w:shd w:val="clear" w:color="auto" w:fill="f0f4fa"/>
          </w:tcPr>
          <w:p>
            <w:r>
              <w:rPr>
                <w:sz w:val="19"/>
              </w:rPr>
              <w:t>Minimum 1 day</w:t>
            </w:r>
          </w:p>
        </w:tc>
      </w:tr>
      <w:tr>
        <w:tc>
          <w:tcPr>
            <w:tcW w:type="dxa" w:w="3135"/>
            <w:shd w:val="clear" w:color="auto" w:fill="ffffff"/>
          </w:tcPr>
          <w:p>
            <w:r>
              <w:rPr>
                <w:sz w:val="20"/>
              </w:rPr>
              <w:t>Monthly Rate (Full Month)</w:t>
            </w:r>
          </w:p>
        </w:tc>
        <w:tc>
          <w:tcPr>
            <w:tcW w:type="dxa" w:w="3135"/>
            <w:shd w:val="clear" w:color="auto" w:fill="ffffff"/>
          </w:tcPr>
          <w:p>
            <w:r>
              <w:rPr>
                <w:b/>
                <w:sz w:val="20"/>
              </w:rPr>
              <w:t>USD 7,500 / month</w:t>
            </w:r>
          </w:p>
        </w:tc>
        <w:tc>
          <w:tcPr>
            <w:tcW w:type="dxa" w:w="3135"/>
            <w:shd w:val="clear" w:color="auto" w:fill="ffffff"/>
          </w:tcPr>
          <w:p>
            <w:r>
              <w:rPr>
                <w:sz w:val="19"/>
              </w:rPr>
              <w:t>~30 working days</w:t>
            </w:r>
          </w:p>
        </w:tc>
      </w:tr>
      <w:tr>
        <w:tc>
          <w:tcPr>
            <w:tcW w:type="dxa" w:w="3135"/>
            <w:shd w:val="clear" w:color="auto" w:fill="f0f4fa"/>
          </w:tcPr>
          <w:p>
            <w:r>
              <w:rPr>
                <w:sz w:val="20"/>
              </w:rPr>
              <w:t>On-Site Daily Rate</w:t>
            </w:r>
          </w:p>
        </w:tc>
        <w:tc>
          <w:tcPr>
            <w:tcW w:type="dxa" w:w="3135"/>
            <w:shd w:val="clear" w:color="auto" w:fill="f0f4fa"/>
          </w:tcPr>
          <w:p>
            <w:r>
              <w:rPr>
                <w:b/>
                <w:sz w:val="20"/>
              </w:rPr>
              <w:t>USD 250 / day + travel &amp; accommodation</w:t>
            </w:r>
          </w:p>
        </w:tc>
        <w:tc>
          <w:tcPr>
            <w:tcW w:type="dxa" w:w="3135"/>
            <w:shd w:val="clear" w:color="auto" w:fill="f0f4fa"/>
          </w:tcPr>
          <w:p>
            <w:r>
              <w:rPr>
                <w:sz w:val="19"/>
              </w:rPr>
              <w:t>Billed actuals for T&amp;A</w:t>
            </w:r>
          </w:p>
        </w:tc>
      </w:tr>
    </w:tbl>
    <w:p>
      <w:pPr>
        <w:spacing w:before="360" w:after="120"/>
      </w:pPr>
      <w:r>
        <w:rPr>
          <w:b/>
          <w:color w:val="1E3A5F"/>
          <w:sz w:val="28"/>
        </w:rPr>
        <w:t>Project Investment Summary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f0f4fa"/>
          </w:tcPr>
          <w:p>
            <w:r>
              <w:rPr>
                <w:sz w:val="20"/>
              </w:rPr>
              <w:t>Remote Development (4 months × $7,500)</w:t>
            </w:r>
          </w:p>
        </w:tc>
        <w:tc>
          <w:tcPr>
            <w:tcW w:type="dxa" w:w="4703"/>
            <w:shd w:val="clear" w:color="auto" w:fill="f0f4fa"/>
          </w:tcPr>
          <w:p>
            <w:pPr>
              <w:jc w:val="right"/>
            </w:pPr>
            <w:r>
              <w:rPr>
                <w:b/>
                <w:sz w:val="20"/>
              </w:rPr>
              <w:t>$30,000</w:t>
            </w:r>
          </w:p>
        </w:tc>
      </w:tr>
      <w:tr>
        <w:tc>
          <w:tcPr>
            <w:tcW w:type="dxa" w:w="4703"/>
            <w:shd w:val="clear" w:color="auto" w:fill="ffffff"/>
          </w:tcPr>
          <w:p>
            <w:r>
              <w:rPr>
                <w:sz w:val="20"/>
              </w:rPr>
              <w:t>On-Site Implementation (2 months × $7,500)</w:t>
            </w:r>
          </w:p>
        </w:tc>
        <w:tc>
          <w:tcPr>
            <w:tcW w:type="dxa" w:w="4703"/>
            <w:shd w:val="clear" w:color="auto" w:fill="ffffff"/>
          </w:tcPr>
          <w:p>
            <w:pPr>
              <w:jc w:val="right"/>
            </w:pPr>
            <w:r>
              <w:rPr>
                <w:b/>
                <w:sz w:val="20"/>
              </w:rPr>
              <w:t>$15,000</w:t>
            </w:r>
          </w:p>
        </w:tc>
      </w:tr>
      <w:tr>
        <w:tc>
          <w:tcPr>
            <w:tcW w:type="dxa" w:w="4703"/>
            <w:shd w:val="clear" w:color="auto" w:fill="f0f4fa"/>
          </w:tcPr>
          <w:p>
            <w:r>
              <w:rPr>
                <w:sz w:val="20"/>
              </w:rPr>
              <w:t>Travel &amp; Accommodation (actual)</w:t>
            </w:r>
          </w:p>
        </w:tc>
        <w:tc>
          <w:tcPr>
            <w:tcW w:type="dxa" w:w="4703"/>
            <w:shd w:val="clear" w:color="auto" w:fill="f0f4fa"/>
          </w:tcPr>
          <w:p>
            <w:pPr>
              <w:jc w:val="right"/>
            </w:pPr>
            <w:r>
              <w:rPr>
                <w:b/>
                <w:sz w:val="20"/>
              </w:rPr>
              <w:t>TBD</w:t>
            </w:r>
          </w:p>
        </w:tc>
      </w:tr>
      <w:tr>
        <w:tc>
          <w:tcPr>
            <w:tcW w:type="dxa" w:w="4703"/>
            <w:shd w:val="clear" w:color="auto" w:fill="e8f1fb"/>
          </w:tcPr>
          <w:p>
            <w:r>
              <w:rPr>
                <w:b/>
                <w:sz w:val="20"/>
              </w:rPr>
              <w:t>Sub-Total (excl. T&amp;A)</w:t>
            </w:r>
          </w:p>
        </w:tc>
        <w:tc>
          <w:tcPr>
            <w:tcW w:type="dxa" w:w="4703"/>
            <w:shd w:val="clear" w:color="auto" w:fill="e8f1fb"/>
          </w:tcPr>
          <w:p>
            <w:pPr>
              <w:jc w:val="right"/>
            </w:pPr>
            <w:r>
              <w:rPr>
                <w:b/>
                <w:sz w:val="20"/>
              </w:rPr>
              <w:t>$45,000</w:t>
            </w:r>
          </w:p>
        </w:tc>
      </w:tr>
      <w:tr>
        <w:tc>
          <w:tcPr>
            <w:tcW w:type="dxa" w:w="4703"/>
            <w:shd w:val="clear" w:color="auto" w:fill="1e3a5f"/>
          </w:tcPr>
          <w:p>
            <w:r>
              <w:rPr>
                <w:b/>
                <w:color w:val="FFFFFF"/>
                <w:sz w:val="20"/>
              </w:rPr>
              <w:t>Total Project Budget (est.)</w:t>
            </w:r>
          </w:p>
        </w:tc>
        <w:tc>
          <w:tcPr>
            <w:tcW w:type="dxa" w:w="4703"/>
            <w:shd w:val="clear" w:color="auto" w:fill="1e3a5f"/>
          </w:tcPr>
          <w:p>
            <w:pPr>
              <w:jc w:val="right"/>
            </w:pPr>
            <w:r>
              <w:rPr>
                <w:b/>
                <w:color w:val="FFFFFF"/>
                <w:sz w:val="20"/>
              </w:rPr>
              <w:t>$45,000 + T&amp;A</w:t>
            </w:r>
          </w:p>
        </w:tc>
      </w:tr>
    </w:tbl>
    <w:p>
      <w:pPr>
        <w:spacing w:before="360" w:after="120"/>
      </w:pPr>
      <w:r>
        <w:rPr>
          <w:b/>
          <w:color w:val="1E3A5F"/>
          <w:sz w:val="28"/>
        </w:rPr>
        <w:t>Payment Terms</w:t>
      </w:r>
    </w:p>
    <w:p>
      <w:pPr>
        <w:pStyle w:val="ListBullet"/>
        <w:spacing w:after="60"/>
        <w:ind w:left="432"/>
      </w:pPr>
      <w:r>
        <w:rPr>
          <w:sz w:val="21"/>
        </w:rPr>
        <w:t>Monthly invoicing — invoice raised on the 1st of each month.</w:t>
      </w:r>
    </w:p>
    <w:p>
      <w:pPr>
        <w:pStyle w:val="ListBullet"/>
        <w:spacing w:after="60"/>
        <w:ind w:left="432"/>
      </w:pPr>
      <w:r>
        <w:rPr>
          <w:sz w:val="21"/>
        </w:rPr>
        <w:t>Payment due within 14 days of invoice date.</w:t>
      </w:r>
    </w:p>
    <w:p>
      <w:pPr>
        <w:pStyle w:val="ListBullet"/>
        <w:spacing w:after="60"/>
        <w:ind w:left="432"/>
      </w:pPr>
      <w:r>
        <w:rPr>
          <w:sz w:val="21"/>
        </w:rPr>
        <w:t>On-site travel and accommodation expenses invoiced monthly at actuals with receipts.</w:t>
      </w:r>
    </w:p>
    <w:p>
      <w:pPr>
        <w:pStyle w:val="ListBullet"/>
        <w:spacing w:after="60"/>
        <w:ind w:left="432"/>
      </w:pPr>
      <w:r>
        <w:rPr>
          <w:sz w:val="21"/>
        </w:rPr>
        <w:t>Scope changes beyond agreed modules to be quoted separately.</w:t>
      </w:r>
    </w:p>
    <w:p>
      <w:pPr>
        <w:spacing w:before="360" w:after="120"/>
      </w:pPr>
      <w:r>
        <w:rPr>
          <w:b/>
          <w:color w:val="1E3A5F"/>
          <w:sz w:val="36"/>
        </w:rPr>
        <w:t>7. Assumptions &amp; Exclusions</w:t>
      </w:r>
    </w:p>
    <w:p>
      <w:pPr>
        <w:spacing w:before="360" w:after="120"/>
      </w:pPr>
      <w:r>
        <w:rPr>
          <w:b/>
          <w:color w:val="1E3A5F"/>
          <w:sz w:val="28"/>
        </w:rPr>
        <w:t>Assumptions</w:t>
      </w:r>
    </w:p>
    <w:p>
      <w:pPr>
        <w:pStyle w:val="ListBullet"/>
        <w:spacing w:after="60"/>
        <w:ind w:left="432"/>
      </w:pPr>
      <w:r>
        <w:rPr>
          <w:sz w:val="21"/>
        </w:rPr>
        <w:t>Client provides access to Oracle Fusion ERP environment (non-production for development, production for go-live).</w:t>
      </w:r>
    </w:p>
    <w:p>
      <w:pPr>
        <w:pStyle w:val="ListBullet"/>
        <w:spacing w:after="60"/>
        <w:ind w:left="432"/>
      </w:pPr>
      <w:r>
        <w:rPr>
          <w:sz w:val="21"/>
        </w:rPr>
        <w:t>Oracle APEX REST services and BIP reports are available and configured.</w:t>
      </w:r>
    </w:p>
    <w:p>
      <w:pPr>
        <w:pStyle w:val="ListBullet"/>
        <w:spacing w:after="60"/>
        <w:ind w:left="432"/>
      </w:pPr>
      <w:r>
        <w:rPr>
          <w:sz w:val="21"/>
        </w:rPr>
        <w:t>Windows 10/11 workstations available for the desktop WMS application.</w:t>
      </w:r>
    </w:p>
    <w:p>
      <w:pPr>
        <w:pStyle w:val="ListBullet"/>
        <w:spacing w:after="60"/>
        <w:ind w:left="432"/>
      </w:pPr>
      <w:r>
        <w:rPr>
          <w:sz w:val="21"/>
        </w:rPr>
        <w:t>A dedicated contact is available for requirements clarification within 1 business day.</w:t>
      </w:r>
    </w:p>
    <w:p>
      <w:pPr>
        <w:pStyle w:val="ListBullet"/>
        <w:spacing w:after="60"/>
        <w:ind w:left="432"/>
      </w:pPr>
      <w:r>
        <w:rPr>
          <w:sz w:val="21"/>
        </w:rPr>
        <w:t>Existing WMS codebase (GitHub: javeedin/graysWMSwebviewnew) continues as the base.</w:t>
      </w:r>
    </w:p>
    <w:p>
      <w:pPr>
        <w:spacing w:before="360" w:after="120"/>
      </w:pPr>
      <w:r>
        <w:rPr>
          <w:b/>
          <w:color w:val="1E3A5F"/>
          <w:sz w:val="28"/>
        </w:rPr>
        <w:t>Exclusions</w:t>
      </w:r>
    </w:p>
    <w:p>
      <w:pPr>
        <w:pStyle w:val="ListBullet"/>
        <w:spacing w:after="60"/>
        <w:ind w:left="432"/>
      </w:pPr>
      <w:r>
        <w:rPr>
          <w:sz w:val="21"/>
        </w:rPr>
        <w:t>Oracle Fusion ERP licencing, configuration, or administration.</w:t>
      </w:r>
    </w:p>
    <w:p>
      <w:pPr>
        <w:pStyle w:val="ListBullet"/>
        <w:spacing w:after="60"/>
        <w:ind w:left="432"/>
      </w:pPr>
      <w:r>
        <w:rPr>
          <w:sz w:val="21"/>
        </w:rPr>
        <w:t>Infrastructure, hosting, or cloud services.</w:t>
      </w:r>
    </w:p>
    <w:p>
      <w:pPr>
        <w:pStyle w:val="ListBullet"/>
        <w:spacing w:after="60"/>
        <w:ind w:left="432"/>
      </w:pPr>
      <w:r>
        <w:rPr>
          <w:sz w:val="21"/>
        </w:rPr>
        <w:t>Third-party integrations not listed in this proposal.</w:t>
      </w:r>
    </w:p>
    <w:p>
      <w:pPr>
        <w:pStyle w:val="ListBullet"/>
        <w:spacing w:after="60"/>
        <w:ind w:left="432"/>
      </w:pPr>
      <w:r>
        <w:rPr>
          <w:sz w:val="21"/>
        </w:rPr>
        <w:t>Data migration from legacy systems (quoted separately if required).</w:t>
      </w:r>
    </w:p>
    <w:p>
      <w:pPr>
        <w:spacing w:before="360" w:after="120"/>
      </w:pPr>
      <w:r>
        <w:rPr>
          <w:b/>
          <w:color w:val="1E3A5F"/>
          <w:sz w:val="36"/>
        </w:rPr>
        <w:t>8. Next Steps</w:t>
      </w:r>
    </w:p>
    <w:p>
      <w:pPr>
        <w:pStyle w:val="ListBullet"/>
        <w:spacing w:after="60"/>
        <w:ind w:left="432"/>
      </w:pPr>
      <w:r>
        <w:rPr>
          <w:sz w:val="21"/>
        </w:rPr>
        <w:t>Step 1: Review and approve this proposal.</w:t>
      </w:r>
    </w:p>
    <w:p>
      <w:pPr>
        <w:pStyle w:val="ListBullet"/>
        <w:spacing w:after="60"/>
        <w:ind w:left="432"/>
      </w:pPr>
      <w:r>
        <w:rPr>
          <w:sz w:val="21"/>
        </w:rPr>
        <w:t>Step 2: Sign engagement letter and confirm start date.</w:t>
      </w:r>
    </w:p>
    <w:p>
      <w:pPr>
        <w:pStyle w:val="ListBullet"/>
        <w:spacing w:after="60"/>
        <w:ind w:left="432"/>
      </w:pPr>
      <w:r>
        <w:rPr>
          <w:sz w:val="21"/>
        </w:rPr>
        <w:t>Step 3: Kick-off meeting (remote) — agree module priority order.</w:t>
      </w:r>
    </w:p>
    <w:p>
      <w:pPr>
        <w:pStyle w:val="ListBullet"/>
        <w:spacing w:after="60"/>
        <w:ind w:left="432"/>
      </w:pPr>
      <w:r>
        <w:rPr>
          <w:sz w:val="21"/>
        </w:rPr>
        <w:t>Step 4: Schedule on-site dates for Months 3 &amp; 4.</w:t>
      </w:r>
    </w:p>
    <w:p>
      <w:pPr>
        <w:pStyle w:val="ListBullet"/>
        <w:spacing w:after="60"/>
        <w:ind w:left="432"/>
      </w:pPr>
      <w:r>
        <w:rPr>
          <w:sz w:val="21"/>
        </w:rPr>
        <w:t>Step 5: Development begins — first module delivered within 4 weeks of kick-off.</w:t>
      </w:r>
    </w:p>
    <w:p>
      <w:pPr>
        <w:spacing w:before="600"/>
        <w:jc w:val="center"/>
      </w:pPr>
      <w:r>
        <w:rPr>
          <w:i/>
          <w:color w:val="64748B"/>
          <w:sz w:val="17"/>
        </w:rPr>
        <w:t>This proposal is valid for 30 days from the date of issue.  |  Prepared by: WMS Development Team  |  June 2026</w:t>
      </w:r>
    </w:p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