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100" w:after="80"/>
        <w:jc w:val="center"/>
      </w:pPr>
      <w:r>
        <w:rPr>
          <w:b/>
          <w:color w:val="1E3A5F"/>
          <w:sz w:val="44"/>
        </w:rPr>
        <w:t>GRAY'S WAREHOUSE MANAGEMENT SYSTEM</w:t>
      </w:r>
    </w:p>
    <w:p>
      <w:pPr>
        <w:spacing w:after="80"/>
        <w:jc w:val="center"/>
      </w:pPr>
      <w:r>
        <w:rPr>
          <w:b/>
          <w:color w:val="2B6CB0"/>
          <w:sz w:val="32"/>
        </w:rPr>
        <w:t>Full WMS Implementation Proposal</w:t>
      </w:r>
    </w:p>
    <w:p>
      <w:pPr>
        <w:spacing w:after="1000"/>
        <w:jc w:val="center"/>
      </w:pPr>
      <w:r>
        <w:rPr>
          <w:i/>
          <w:color w:val="64748B"/>
          <w:sz w:val="26"/>
        </w:rPr>
        <w:t>Phase 2 Complete — From Current 40% to 100%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1e3a5f"/>
          </w:tcPr>
          <w:p>
            <w:r>
              <w:rPr>
                <w:b/>
                <w:color w:val="FFFFFF"/>
                <w:sz w:val="20"/>
              </w:rPr>
              <w:t>Prepared For</w:t>
            </w:r>
          </w:p>
        </w:tc>
        <w:tc>
          <w:tcPr>
            <w:tcW w:type="dxa" w:w="4703"/>
            <w:shd w:val="clear" w:color="auto" w:fill="f0f4fa"/>
          </w:tcPr>
          <w:p>
            <w:r>
              <w:rPr>
                <w:sz w:val="20"/>
              </w:rPr>
              <w:t>Gray's Distribution</w:t>
            </w:r>
          </w:p>
        </w:tc>
      </w:tr>
      <w:tr>
        <w:tc>
          <w:tcPr>
            <w:tcW w:type="dxa" w:w="4703"/>
            <w:shd w:val="clear" w:color="auto" w:fill="1e3a5f"/>
          </w:tcPr>
          <w:p>
            <w:r>
              <w:rPr>
                <w:b/>
                <w:color w:val="FFFFFF"/>
                <w:sz w:val="20"/>
              </w:rPr>
              <w:t>Date</w:t>
            </w:r>
          </w:p>
        </w:tc>
        <w:tc>
          <w:tcPr>
            <w:tcW w:type="dxa" w:w="4703"/>
            <w:shd w:val="clear" w:color="auto" w:fill="f0f4fa"/>
          </w:tcPr>
          <w:p>
            <w:r>
              <w:rPr>
                <w:sz w:val="20"/>
              </w:rPr>
              <w:t>June 2026</w:t>
            </w:r>
          </w:p>
        </w:tc>
      </w:tr>
      <w:tr>
        <w:tc>
          <w:tcPr>
            <w:tcW w:type="dxa" w:w="4703"/>
            <w:shd w:val="clear" w:color="auto" w:fill="1e3a5f"/>
          </w:tcPr>
          <w:p>
            <w:r>
              <w:rPr>
                <w:b/>
                <w:color w:val="FFFFFF"/>
                <w:sz w:val="20"/>
              </w:rPr>
              <w:t>Engagement Type</w:t>
            </w:r>
          </w:p>
        </w:tc>
        <w:tc>
          <w:tcPr>
            <w:tcW w:type="dxa" w:w="4703"/>
            <w:shd w:val="clear" w:color="auto" w:fill="f0f4fa"/>
          </w:tcPr>
          <w:p>
            <w:r>
              <w:rPr>
                <w:sz w:val="20"/>
              </w:rPr>
              <w:t>Professional Services — Monthly Rate</w:t>
            </w:r>
          </w:p>
        </w:tc>
      </w:tr>
      <w:tr>
        <w:tc>
          <w:tcPr>
            <w:tcW w:type="dxa" w:w="4703"/>
            <w:shd w:val="clear" w:color="auto" w:fill="1e3a5f"/>
          </w:tcPr>
          <w:p>
            <w:r>
              <w:rPr>
                <w:b/>
                <w:color w:val="FFFFFF"/>
                <w:sz w:val="20"/>
              </w:rPr>
              <w:t>Version</w:t>
            </w:r>
          </w:p>
        </w:tc>
        <w:tc>
          <w:tcPr>
            <w:tcW w:type="dxa" w:w="4703"/>
            <w:shd w:val="clear" w:color="auto" w:fill="f0f4fa"/>
          </w:tcPr>
          <w:p>
            <w:r>
              <w:rPr>
                <w:sz w:val="20"/>
              </w:rPr>
              <w:t>1.0</w:t>
            </w:r>
          </w:p>
        </w:tc>
      </w:tr>
    </w:tbl>
    <w:p>
      <w:r>
        <w:br w:type="page"/>
      </w:r>
    </w:p>
    <w:p>
      <w:pPr>
        <w:spacing w:before="320" w:after="120"/>
      </w:pPr>
      <w:r>
        <w:rPr>
          <w:b/>
          <w:color w:val="1E3A5F"/>
          <w:sz w:val="34"/>
        </w:rPr>
        <w:t>1. Executive Summary</w:t>
      </w:r>
    </w:p>
    <w:p>
      <w:pPr>
        <w:spacing w:after="80"/>
      </w:pPr>
      <w:r>
        <w:rPr>
          <w:b w:val="0"/>
          <w:sz w:val="21"/>
        </w:rPr>
        <w:t>Gray's WMS is live with Phase 1 core features, achieving 40% overall completion. This proposal covers all Phase 2 work — 20 modules — to bring the system to full maturity. The most strategically significant module is Warehouse Structure &amp; Locations, which requires an architecture decision before development begins (see Section 4). All other modules proceed in parallel and are released individually as each completes.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2b6cb0"/>
          </w:tcPr>
          <w:p>
            <w:pPr>
              <w:jc w:val="center"/>
            </w:pPr>
            <w:r>
              <w:rPr>
                <w:b/>
                <w:color w:val="FFFFFF"/>
                <w:sz w:val="26"/>
              </w:rPr>
              <w:t>6 Months</w:t>
              <w:br/>
            </w:r>
            <w:r>
              <w:rPr>
                <w:color w:val="BED8F8"/>
                <w:sz w:val="18"/>
              </w:rPr>
              <w:t>Total Project</w:t>
            </w:r>
          </w:p>
        </w:tc>
        <w:tc>
          <w:tcPr>
            <w:tcW w:type="dxa" w:w="2351"/>
            <w:shd w:val="clear" w:color="auto" w:fill="2b6cb0"/>
          </w:tcPr>
          <w:p>
            <w:pPr>
              <w:jc w:val="center"/>
            </w:pPr>
            <w:r>
              <w:rPr>
                <w:b/>
                <w:color w:val="FFFFFF"/>
                <w:sz w:val="26"/>
              </w:rPr>
              <w:t>2 Months</w:t>
              <w:br/>
            </w:r>
            <w:r>
              <w:rPr>
                <w:color w:val="BED8F8"/>
                <w:sz w:val="18"/>
              </w:rPr>
              <w:t>On-Site Support</w:t>
            </w:r>
          </w:p>
        </w:tc>
        <w:tc>
          <w:tcPr>
            <w:tcW w:type="dxa" w:w="2351"/>
            <w:shd w:val="clear" w:color="auto" w:fill="2b6cb0"/>
          </w:tcPr>
          <w:p>
            <w:pPr>
              <w:jc w:val="center"/>
            </w:pPr>
            <w:r>
              <w:rPr>
                <w:b/>
                <w:color w:val="FFFFFF"/>
                <w:sz w:val="26"/>
              </w:rPr>
              <w:t>$250/Day</w:t>
              <w:br/>
            </w:r>
            <w:r>
              <w:rPr>
                <w:color w:val="BED8F8"/>
                <w:sz w:val="18"/>
              </w:rPr>
              <w:t>Daily Rate</w:t>
            </w:r>
          </w:p>
        </w:tc>
        <w:tc>
          <w:tcPr>
            <w:tcW w:type="dxa" w:w="2351"/>
            <w:shd w:val="clear" w:color="auto" w:fill="2b6cb0"/>
          </w:tcPr>
          <w:p>
            <w:pPr>
              <w:jc w:val="center"/>
            </w:pPr>
            <w:r>
              <w:rPr>
                <w:b/>
                <w:color w:val="FFFFFF"/>
                <w:sz w:val="26"/>
              </w:rPr>
              <w:t>$7,500/Mo</w:t>
              <w:br/>
            </w:r>
            <w:r>
              <w:rPr>
                <w:color w:val="BED8F8"/>
                <w:sz w:val="18"/>
              </w:rPr>
              <w:t>Monthly Rate</w:t>
            </w:r>
          </w:p>
        </w:tc>
      </w:tr>
    </w:tbl>
    <w:p>
      <w:pPr>
        <w:spacing w:before="320" w:after="120"/>
      </w:pPr>
      <w:r>
        <w:rPr>
          <w:b/>
          <w:color w:val="1E3A5F"/>
          <w:sz w:val="34"/>
        </w:rPr>
        <w:t>2. Current System Status</w:t>
      </w:r>
    </w:p>
    <w:p>
      <w:pPr>
        <w:spacing w:before="200" w:after="80"/>
      </w:pPr>
      <w:r>
        <w:rPr>
          <w:b/>
          <w:color w:val="2B6CB0"/>
          <w:sz w:val="26"/>
        </w:rPr>
        <w:t>Phase 1 — Completed Features (19/25)</w:t>
      </w:r>
    </w:p>
    <w:p>
      <w:pPr>
        <w:pStyle w:val="ListBullet"/>
        <w:spacing w:after="60"/>
        <w:ind w:left="432"/>
      </w:pPr>
      <w:r>
        <w:rPr>
          <w:b w:val="0"/>
          <w:sz w:val="21"/>
        </w:rPr>
        <w:t>Trip Management with multi-tab interface</w:t>
      </w:r>
    </w:p>
    <w:p>
      <w:pPr>
        <w:pStyle w:val="ListBullet"/>
        <w:spacing w:after="60"/>
        <w:ind w:left="432"/>
      </w:pPr>
      <w:r>
        <w:rPr>
          <w:b w:val="0"/>
          <w:sz w:val="21"/>
        </w:rPr>
        <w:t>Vehicle and Picker Management</w:t>
      </w:r>
    </w:p>
    <w:p>
      <w:pPr>
        <w:pStyle w:val="ListBullet"/>
        <w:spacing w:after="60"/>
        <w:ind w:left="432"/>
      </w:pPr>
      <w:r>
        <w:rPr>
          <w:b w:val="0"/>
          <w:sz w:val="21"/>
        </w:rPr>
        <w:t>Oracle Fusion Integration (REST + BIP SOAP)</w:t>
      </w:r>
    </w:p>
    <w:p>
      <w:pPr>
        <w:pStyle w:val="ListBullet"/>
        <w:spacing w:after="60"/>
        <w:ind w:left="432"/>
      </w:pPr>
      <w:r>
        <w:rPr>
          <w:b w:val="0"/>
          <w:sz w:val="21"/>
        </w:rPr>
        <w:t>Pick Release and Lot Allocation</w:t>
      </w:r>
    </w:p>
    <w:p>
      <w:pPr>
        <w:pStyle w:val="ListBullet"/>
        <w:spacing w:after="60"/>
        <w:ind w:left="432"/>
      </w:pPr>
      <w:r>
        <w:rPr>
          <w:b w:val="0"/>
          <w:sz w:val="21"/>
        </w:rPr>
        <w:t>Print Management System (printer config, job queue, monitoring)</w:t>
      </w:r>
    </w:p>
    <w:p>
      <w:pPr>
        <w:pStyle w:val="ListBullet"/>
        <w:spacing w:after="60"/>
        <w:ind w:left="432"/>
      </w:pPr>
      <w:r>
        <w:rPr>
          <w:b w:val="0"/>
          <w:sz w:val="21"/>
        </w:rPr>
        <w:t>Real-time fetching of pending Sales Orders and Store Requests from Fusion</w:t>
      </w:r>
    </w:p>
    <w:p>
      <w:pPr>
        <w:pStyle w:val="ListBullet"/>
        <w:spacing w:after="60"/>
        <w:ind w:left="432"/>
      </w:pPr>
      <w:r>
        <w:rPr>
          <w:b w:val="0"/>
          <w:sz w:val="21"/>
        </w:rPr>
        <w:t>Assignment of Pickers, Lorries, Priorities, and Loading Bay</w:t>
      </w:r>
    </w:p>
    <w:p>
      <w:pPr>
        <w:pStyle w:val="ListBullet"/>
        <w:spacing w:after="60"/>
        <w:ind w:left="432"/>
      </w:pPr>
      <w:r>
        <w:rPr>
          <w:b w:val="0"/>
          <w:sz w:val="21"/>
        </w:rPr>
        <w:t>Picking and Putaway via Mobile Applications</w:t>
      </w:r>
    </w:p>
    <w:p>
      <w:pPr>
        <w:pStyle w:val="ListBullet"/>
        <w:spacing w:after="60"/>
        <w:ind w:left="432"/>
      </w:pPr>
      <w:r>
        <w:rPr>
          <w:b w:val="0"/>
          <w:sz w:val="21"/>
        </w:rPr>
        <w:t>Ship Confirmation of Orders with real-time Fusion update</w:t>
      </w:r>
    </w:p>
    <w:p>
      <w:pPr>
        <w:pStyle w:val="ListBullet"/>
        <w:spacing w:after="60"/>
        <w:ind w:left="432"/>
      </w:pPr>
      <w:r>
        <w:rPr>
          <w:b w:val="0"/>
          <w:sz w:val="21"/>
        </w:rPr>
        <w:t>Loading Verification via Mobile Applications</w:t>
      </w:r>
    </w:p>
    <w:p>
      <w:pPr>
        <w:pStyle w:val="ListBullet"/>
        <w:spacing w:after="60"/>
        <w:ind w:left="432"/>
      </w:pPr>
      <w:r>
        <w:rPr>
          <w:b w:val="0"/>
          <w:sz w:val="21"/>
        </w:rPr>
        <w:t>Shipment Agent with line-count validation before printing</w:t>
      </w:r>
    </w:p>
    <w:p>
      <w:pPr>
        <w:pStyle w:val="ListBullet"/>
        <w:spacing w:after="60"/>
        <w:ind w:left="432"/>
      </w:pPr>
      <w:r>
        <w:rPr>
          <w:b w:val="0"/>
          <w:sz w:val="21"/>
        </w:rPr>
        <w:t>Vehicle Analytics Dashboard and KPI Cards</w:t>
      </w:r>
    </w:p>
    <w:p>
      <w:pPr>
        <w:pStyle w:val="ListBullet"/>
        <w:spacing w:after="60"/>
        <w:ind w:left="432"/>
      </w:pPr>
      <w:r>
        <w:rPr>
          <w:b w:val="0"/>
          <w:sz w:val="21"/>
        </w:rPr>
        <w:t>Mobile App for Pickers with Barcode/QR scanning</w:t>
      </w:r>
    </w:p>
    <w:p>
      <w:pPr>
        <w:pStyle w:val="ListBullet"/>
        <w:spacing w:after="60"/>
        <w:ind w:left="432"/>
      </w:pPr>
      <w:r>
        <w:rPr>
          <w:b w:val="0"/>
          <w:sz w:val="21"/>
        </w:rPr>
        <w:t>Role-based permissions and security</w:t>
      </w:r>
    </w:p>
    <w:p>
      <w:pPr>
        <w:pStyle w:val="ListBullet"/>
        <w:spacing w:after="60"/>
        <w:ind w:left="432"/>
      </w:pPr>
      <w:r>
        <w:rPr>
          <w:b w:val="0"/>
          <w:sz w:val="21"/>
        </w:rPr>
        <w:t>Real-time stock levels by warehouse, location, product, lot, expiry</w:t>
      </w:r>
    </w:p>
    <w:p>
      <w:pPr>
        <w:pStyle w:val="ListBullet"/>
        <w:spacing w:after="60"/>
        <w:ind w:left="432"/>
      </w:pPr>
      <w:r>
        <w:rPr>
          <w:b w:val="0"/>
          <w:sz w:val="21"/>
        </w:rPr>
        <w:t>Lot traceability (FEFO), full movement history, cycle counting</w:t>
      </w:r>
    </w:p>
    <w:p>
      <w:pPr>
        <w:pStyle w:val="ListBullet"/>
        <w:spacing w:after="60"/>
        <w:ind w:left="432"/>
      </w:pPr>
      <w:r>
        <w:rPr>
          <w:b w:val="0"/>
          <w:sz w:val="21"/>
        </w:rPr>
        <w:t>Auto shipping documents (invoices, STV, delivery notes)</w:t>
      </w:r>
    </w:p>
    <w:p>
      <w:pPr>
        <w:pStyle w:val="ListBullet"/>
        <w:spacing w:after="60"/>
        <w:ind w:left="432"/>
      </w:pPr>
      <w:r>
        <w:rPr>
          <w:b w:val="0"/>
          <w:sz w:val="21"/>
        </w:rPr>
        <w:t>Oracle ERP integration for financials &amp; order management</w:t>
      </w:r>
    </w:p>
    <w:p>
      <w:pPr>
        <w:pStyle w:val="ListBullet"/>
        <w:spacing w:after="60"/>
        <w:ind w:left="432"/>
      </w:pPr>
      <w:r>
        <w:rPr>
          <w:b w:val="0"/>
          <w:sz w:val="21"/>
        </w:rPr>
        <w:t>Custom report builder; export to Excel &amp; PDF</w:t>
      </w:r>
    </w:p>
    <w:p>
      <w:pPr>
        <w:spacing w:before="200" w:after="80"/>
      </w:pPr>
      <w:r>
        <w:rPr>
          <w:b/>
          <w:color w:val="2B6CB0"/>
          <w:sz w:val="26"/>
        </w:rPr>
        <w:t>Phase 1 — Remaining Items</w:t>
      </w:r>
    </w:p>
    <w:p>
      <w:pPr>
        <w:pStyle w:val="ListBullet"/>
        <w:spacing w:after="60"/>
        <w:ind w:left="432"/>
      </w:pPr>
      <w:r>
        <w:rPr>
          <w:b w:val="0"/>
          <w:sz w:val="21"/>
        </w:rPr>
        <w:t>Advanced Reporting Module (In Progress)</w:t>
      </w:r>
    </w:p>
    <w:p>
      <w:pPr>
        <w:pStyle w:val="ListBullet"/>
        <w:spacing w:after="60"/>
        <w:ind w:left="432"/>
      </w:pPr>
      <w:r>
        <w:rPr>
          <w:b w:val="0"/>
          <w:sz w:val="21"/>
        </w:rPr>
        <w:t>Custom Dashboard Builder (Planned)</w:t>
      </w:r>
    </w:p>
    <w:p>
      <w:pPr>
        <w:pStyle w:val="ListBullet"/>
        <w:spacing w:after="60"/>
        <w:ind w:left="432"/>
      </w:pPr>
      <w:r>
        <w:rPr>
          <w:b w:val="0"/>
          <w:sz w:val="21"/>
        </w:rPr>
        <w:t>Performance Metrics Tracking (Planned)</w:t>
      </w:r>
    </w:p>
    <w:p>
      <w:pPr>
        <w:pStyle w:val="ListBullet"/>
        <w:spacing w:after="60"/>
        <w:ind w:left="432"/>
      </w:pPr>
      <w:r>
        <w:rPr>
          <w:b w:val="0"/>
          <w:sz w:val="21"/>
        </w:rPr>
        <w:t>Customer Delivery Notifications (Planned)</w:t>
      </w:r>
    </w:p>
    <w:p>
      <w:pPr>
        <w:pStyle w:val="ListBullet"/>
        <w:spacing w:after="60"/>
        <w:ind w:left="432"/>
      </w:pPr>
      <w:r>
        <w:rPr>
          <w:b w:val="0"/>
          <w:sz w:val="21"/>
        </w:rPr>
        <w:t>Third-party Carrier Integration (Planned)</w:t>
      </w:r>
    </w:p>
    <w:p>
      <w:r>
        <w:br w:type="page"/>
      </w:r>
    </w:p>
    <w:p>
      <w:pPr>
        <w:spacing w:before="320" w:after="120"/>
      </w:pPr>
      <w:r>
        <w:rPr>
          <w:b/>
          <w:color w:val="1E3A5F"/>
          <w:sz w:val="34"/>
        </w:rPr>
        <w:t>3. Phase 2 — Planned Modules Overview</w:t>
      </w:r>
    </w:p>
    <w:p>
      <w:pPr>
        <w:spacing w:after="80"/>
      </w:pPr>
      <w:r>
        <w:rPr>
          <w:b w:val="0"/>
          <w:sz w:val="21"/>
        </w:rPr>
        <w:t>All 20 modules below are part of Phase 2. Each module is delivered and released independently. Section 4 covers the Warehouse Structure module separately as it requires an architecture decision.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1e3a5f"/>
          </w:tcPr>
          <w:p>
            <w:r>
              <w:rPr>
                <w:b/>
                <w:color w:val="FFFFFF"/>
                <w:sz w:val="18"/>
              </w:rPr>
              <w:t>Module</w:t>
            </w:r>
          </w:p>
        </w:tc>
        <w:tc>
          <w:tcPr>
            <w:tcW w:type="dxa" w:w="3135"/>
            <w:shd w:val="clear" w:color="auto" w:fill="1e3a5f"/>
          </w:tcPr>
          <w:p>
            <w:r>
              <w:rPr>
                <w:b/>
                <w:color w:val="FFFFFF"/>
                <w:sz w:val="18"/>
              </w:rPr>
              <w:t>Timeline</w:t>
            </w:r>
          </w:p>
        </w:tc>
        <w:tc>
          <w:tcPr>
            <w:tcW w:type="dxa" w:w="3135"/>
            <w:shd w:val="clear" w:color="auto" w:fill="1e3a5f"/>
          </w:tcPr>
          <w:p>
            <w:r>
              <w:rPr>
                <w:b/>
                <w:color w:val="FFFFFF"/>
                <w:sz w:val="18"/>
              </w:rPr>
              <w:t>Scope Summary</w:t>
            </w:r>
          </w:p>
        </w:tc>
      </w:tr>
      <w:tr>
        <w:tc>
          <w:tcPr>
            <w:tcW w:type="dxa" w:w="3135"/>
            <w:shd w:val="clear" w:color="auto" w:fill="fff7ed"/>
          </w:tcPr>
          <w:p>
            <w:r>
              <w:rPr>
                <w:b/>
                <w:color w:val="92400E"/>
                <w:sz w:val="18"/>
              </w:rPr>
              <w:t>Warehouse Structure &amp; Locations</w:t>
            </w:r>
          </w:p>
        </w:tc>
        <w:tc>
          <w:tcPr>
            <w:tcW w:type="dxa" w:w="3135"/>
            <w:shd w:val="clear" w:color="auto" w:fill="fff7ed"/>
          </w:tcPr>
          <w:p>
            <w:r>
              <w:rPr>
                <w:sz w:val="18"/>
              </w:rPr>
              <w:t>3–4 months</w:t>
            </w:r>
          </w:p>
        </w:tc>
        <w:tc>
          <w:tcPr>
            <w:tcW w:type="dxa" w:w="3135"/>
            <w:shd w:val="clear" w:color="auto" w:fill="fff7ed"/>
          </w:tcPr>
          <w:p>
            <w:r>
              <w:rPr>
                <w:sz w:val="17"/>
              </w:rPr>
              <w:t>Architecture decision required — see Section 4</w:t>
            </w:r>
          </w:p>
        </w:tc>
      </w:tr>
      <w:tr>
        <w:tc>
          <w:tcPr>
            <w:tcW w:type="dxa" w:w="3135"/>
            <w:shd w:val="clear" w:color="auto" w:fill="ffffff"/>
          </w:tcPr>
          <w:p>
            <w:r>
              <w:rPr>
                <w:b/>
                <w:sz w:val="18"/>
              </w:rPr>
              <w:t>AI &amp; Optimization</w:t>
            </w:r>
          </w:p>
        </w:tc>
        <w:tc>
          <w:tcPr>
            <w:tcW w:type="dxa" w:w="3135"/>
            <w:shd w:val="clear" w:color="auto" w:fill="ffffff"/>
          </w:tcPr>
          <w:p>
            <w:r>
              <w:rPr>
                <w:sz w:val="18"/>
              </w:rPr>
              <w:t>Month 1–2</w:t>
            </w:r>
          </w:p>
        </w:tc>
        <w:tc>
          <w:tcPr>
            <w:tcW w:type="dxa" w:w="3135"/>
            <w:shd w:val="clear" w:color="auto" w:fill="ffffff"/>
          </w:tcPr>
          <w:p>
            <w:r>
              <w:rPr>
                <w:sz w:val="17"/>
              </w:rPr>
              <w:t>AI readiness, intelligent picker assignment, demand forecasting</w:t>
            </w:r>
          </w:p>
        </w:tc>
      </w:tr>
      <w:tr>
        <w:tc>
          <w:tcPr>
            <w:tcW w:type="dxa" w:w="3135"/>
            <w:shd w:val="clear" w:color="auto" w:fill="f0f4fa"/>
          </w:tcPr>
          <w:p>
            <w:r>
              <w:rPr>
                <w:b/>
                <w:sz w:val="18"/>
              </w:rPr>
              <w:t>Receiving Goods</w:t>
            </w:r>
          </w:p>
        </w:tc>
        <w:tc>
          <w:tcPr>
            <w:tcW w:type="dxa" w:w="3135"/>
            <w:shd w:val="clear" w:color="auto" w:fill="f0f4fa"/>
          </w:tcPr>
          <w:p>
            <w:r>
              <w:rPr>
                <w:sz w:val="18"/>
              </w:rPr>
              <w:t>Month 2</w:t>
            </w:r>
          </w:p>
        </w:tc>
        <w:tc>
          <w:tcPr>
            <w:tcW w:type="dxa" w:w="3135"/>
            <w:shd w:val="clear" w:color="auto" w:fill="f0f4fa"/>
          </w:tcPr>
          <w:p>
            <w:r>
              <w:rPr>
                <w:sz w:val="17"/>
              </w:rPr>
              <w:t>Barcode scanning, ASN, GRN printing, partial/over-receipts</w:t>
            </w:r>
          </w:p>
        </w:tc>
      </w:tr>
      <w:tr>
        <w:tc>
          <w:tcPr>
            <w:tcW w:type="dxa" w:w="3135"/>
            <w:shd w:val="clear" w:color="auto" w:fill="ffffff"/>
          </w:tcPr>
          <w:p>
            <w:r>
              <w:rPr>
                <w:b/>
                <w:sz w:val="18"/>
              </w:rPr>
              <w:t>Quality Control</w:t>
            </w:r>
          </w:p>
        </w:tc>
        <w:tc>
          <w:tcPr>
            <w:tcW w:type="dxa" w:w="3135"/>
            <w:shd w:val="clear" w:color="auto" w:fill="ffffff"/>
          </w:tcPr>
          <w:p>
            <w:r>
              <w:rPr>
                <w:sz w:val="18"/>
              </w:rPr>
              <w:t>Month 2</w:t>
            </w:r>
          </w:p>
        </w:tc>
        <w:tc>
          <w:tcPr>
            <w:tcW w:type="dxa" w:w="3135"/>
            <w:shd w:val="clear" w:color="auto" w:fill="ffffff"/>
          </w:tcPr>
          <w:p>
            <w:r>
              <w:rPr>
                <w:sz w:val="17"/>
              </w:rPr>
              <w:t>Digital checklists, Non-Conform flagging, auto-notifications</w:t>
            </w:r>
          </w:p>
        </w:tc>
      </w:tr>
      <w:tr>
        <w:tc>
          <w:tcPr>
            <w:tcW w:type="dxa" w:w="3135"/>
            <w:shd w:val="clear" w:color="auto" w:fill="f0f4fa"/>
          </w:tcPr>
          <w:p>
            <w:r>
              <w:rPr>
                <w:b/>
                <w:sz w:val="18"/>
              </w:rPr>
              <w:t>Put-Away</w:t>
            </w:r>
          </w:p>
        </w:tc>
        <w:tc>
          <w:tcPr>
            <w:tcW w:type="dxa" w:w="3135"/>
            <w:shd w:val="clear" w:color="auto" w:fill="f0f4fa"/>
          </w:tcPr>
          <w:p>
            <w:r>
              <w:rPr>
                <w:sz w:val="18"/>
              </w:rPr>
              <w:t>Month 2–3</w:t>
            </w:r>
          </w:p>
        </w:tc>
        <w:tc>
          <w:tcPr>
            <w:tcW w:type="dxa" w:w="3135"/>
            <w:shd w:val="clear" w:color="auto" w:fill="f0f4fa"/>
          </w:tcPr>
          <w:p>
            <w:r>
              <w:rPr>
                <w:sz w:val="17"/>
              </w:rPr>
              <w:t>FEFO/ABC strategies, mobile-guided putaway, scan confirmation</w:t>
            </w:r>
          </w:p>
        </w:tc>
      </w:tr>
      <w:tr>
        <w:tc>
          <w:tcPr>
            <w:tcW w:type="dxa" w:w="3135"/>
            <w:shd w:val="clear" w:color="auto" w:fill="ffffff"/>
          </w:tcPr>
          <w:p>
            <w:r>
              <w:rPr>
                <w:b/>
                <w:sz w:val="18"/>
              </w:rPr>
              <w:t>Inventory Enhancements</w:t>
            </w:r>
          </w:p>
        </w:tc>
        <w:tc>
          <w:tcPr>
            <w:tcW w:type="dxa" w:w="3135"/>
            <w:shd w:val="clear" w:color="auto" w:fill="ffffff"/>
          </w:tcPr>
          <w:p>
            <w:r>
              <w:rPr>
                <w:sz w:val="18"/>
              </w:rPr>
              <w:t>Month 2</w:t>
            </w:r>
          </w:p>
        </w:tc>
        <w:tc>
          <w:tcPr>
            <w:tcW w:type="dxa" w:w="3135"/>
            <w:shd w:val="clear" w:color="auto" w:fill="ffffff"/>
          </w:tcPr>
          <w:p>
            <w:r>
              <w:rPr>
                <w:sz w:val="17"/>
              </w:rPr>
              <w:t>Replenishment triggers, expiry alerts</w:t>
            </w:r>
          </w:p>
        </w:tc>
      </w:tr>
      <w:tr>
        <w:tc>
          <w:tcPr>
            <w:tcW w:type="dxa" w:w="3135"/>
            <w:shd w:val="clear" w:color="auto" w:fill="f0f4fa"/>
          </w:tcPr>
          <w:p>
            <w:r>
              <w:rPr>
                <w:b/>
                <w:sz w:val="18"/>
              </w:rPr>
              <w:t>Stock Reservation</w:t>
            </w:r>
          </w:p>
        </w:tc>
        <w:tc>
          <w:tcPr>
            <w:tcW w:type="dxa" w:w="3135"/>
            <w:shd w:val="clear" w:color="auto" w:fill="f0f4fa"/>
          </w:tcPr>
          <w:p>
            <w:r>
              <w:rPr>
                <w:sz w:val="18"/>
              </w:rPr>
              <w:t>Month 3</w:t>
            </w:r>
          </w:p>
        </w:tc>
        <w:tc>
          <w:tcPr>
            <w:tcW w:type="dxa" w:w="3135"/>
            <w:shd w:val="clear" w:color="auto" w:fill="f0f4fa"/>
          </w:tcPr>
          <w:p>
            <w:r>
              <w:rPr>
                <w:sz w:val="17"/>
              </w:rPr>
              <w:t>Reserve stock per customer/order, prevent over-picking</w:t>
            </w:r>
          </w:p>
        </w:tc>
      </w:tr>
      <w:tr>
        <w:tc>
          <w:tcPr>
            <w:tcW w:type="dxa" w:w="3135"/>
            <w:shd w:val="clear" w:color="auto" w:fill="ffffff"/>
          </w:tcPr>
          <w:p>
            <w:r>
              <w:rPr>
                <w:b/>
                <w:sz w:val="18"/>
              </w:rPr>
              <w:t>Order Management Enhancements</w:t>
            </w:r>
          </w:p>
        </w:tc>
        <w:tc>
          <w:tcPr>
            <w:tcW w:type="dxa" w:w="3135"/>
            <w:shd w:val="clear" w:color="auto" w:fill="ffffff"/>
          </w:tcPr>
          <w:p>
            <w:r>
              <w:rPr>
                <w:sz w:val="18"/>
              </w:rPr>
              <w:t>Month 3</w:t>
            </w:r>
          </w:p>
        </w:tc>
        <w:tc>
          <w:tcPr>
            <w:tcW w:type="dxa" w:w="3135"/>
            <w:shd w:val="clear" w:color="auto" w:fill="ffffff"/>
          </w:tcPr>
          <w:p>
            <w:r>
              <w:rPr>
                <w:sz w:val="17"/>
              </w:rPr>
              <w:t>EDI &amp; e-commerce, pallet splitting</w:t>
            </w:r>
          </w:p>
        </w:tc>
      </w:tr>
      <w:tr>
        <w:tc>
          <w:tcPr>
            <w:tcW w:type="dxa" w:w="3135"/>
            <w:shd w:val="clear" w:color="auto" w:fill="f0f4fa"/>
          </w:tcPr>
          <w:p>
            <w:r>
              <w:rPr>
                <w:b/>
                <w:sz w:val="18"/>
              </w:rPr>
              <w:t>Picking Enhancements</w:t>
            </w:r>
          </w:p>
        </w:tc>
        <w:tc>
          <w:tcPr>
            <w:tcW w:type="dxa" w:w="3135"/>
            <w:shd w:val="clear" w:color="auto" w:fill="f0f4fa"/>
          </w:tcPr>
          <w:p>
            <w:r>
              <w:rPr>
                <w:sz w:val="18"/>
              </w:rPr>
              <w:t>Month 3</w:t>
            </w:r>
          </w:p>
        </w:tc>
        <w:tc>
          <w:tcPr>
            <w:tcW w:type="dxa" w:w="3135"/>
            <w:shd w:val="clear" w:color="auto" w:fill="f0f4fa"/>
          </w:tcPr>
          <w:p>
            <w:r>
              <w:rPr>
                <w:sz w:val="17"/>
              </w:rPr>
              <w:t>Wave/batch picking, route optimisation, short pick handling</w:t>
            </w:r>
          </w:p>
        </w:tc>
      </w:tr>
      <w:tr>
        <w:tc>
          <w:tcPr>
            <w:tcW w:type="dxa" w:w="3135"/>
            <w:shd w:val="clear" w:color="auto" w:fill="ffffff"/>
          </w:tcPr>
          <w:p>
            <w:r>
              <w:rPr>
                <w:b/>
                <w:sz w:val="18"/>
              </w:rPr>
              <w:t>Loading &amp; Dispatch</w:t>
            </w:r>
          </w:p>
        </w:tc>
        <w:tc>
          <w:tcPr>
            <w:tcW w:type="dxa" w:w="3135"/>
            <w:shd w:val="clear" w:color="auto" w:fill="ffffff"/>
          </w:tcPr>
          <w:p>
            <w:r>
              <w:rPr>
                <w:sz w:val="18"/>
              </w:rPr>
              <w:t>Month 4</w:t>
            </w:r>
          </w:p>
        </w:tc>
        <w:tc>
          <w:tcPr>
            <w:tcW w:type="dxa" w:w="3135"/>
            <w:shd w:val="clear" w:color="auto" w:fill="ffffff"/>
          </w:tcPr>
          <w:p>
            <w:r>
              <w:rPr>
                <w:sz w:val="17"/>
              </w:rPr>
              <w:t>Loading manifests, capacity checks, packing lists</w:t>
            </w:r>
          </w:p>
        </w:tc>
      </w:tr>
      <w:tr>
        <w:tc>
          <w:tcPr>
            <w:tcW w:type="dxa" w:w="3135"/>
            <w:shd w:val="clear" w:color="auto" w:fill="f0f4fa"/>
          </w:tcPr>
          <w:p>
            <w:r>
              <w:rPr>
                <w:b/>
                <w:sz w:val="18"/>
              </w:rPr>
              <w:t>Shipping Enhancements</w:t>
            </w:r>
          </w:p>
        </w:tc>
        <w:tc>
          <w:tcPr>
            <w:tcW w:type="dxa" w:w="3135"/>
            <w:shd w:val="clear" w:color="auto" w:fill="f0f4fa"/>
          </w:tcPr>
          <w:p>
            <w:r>
              <w:rPr>
                <w:sz w:val="18"/>
              </w:rPr>
              <w:t>Month 4</w:t>
            </w:r>
          </w:p>
        </w:tc>
        <w:tc>
          <w:tcPr>
            <w:tcW w:type="dxa" w:w="3135"/>
            <w:shd w:val="clear" w:color="auto" w:fill="f0f4fa"/>
          </w:tcPr>
          <w:p>
            <w:r>
              <w:rPr>
                <w:sz w:val="17"/>
              </w:rPr>
              <w:t>POD with signatures &amp; photos, customer notifications</w:t>
            </w:r>
          </w:p>
        </w:tc>
      </w:tr>
      <w:tr>
        <w:tc>
          <w:tcPr>
            <w:tcW w:type="dxa" w:w="3135"/>
            <w:shd w:val="clear" w:color="auto" w:fill="ffffff"/>
          </w:tcPr>
          <w:p>
            <w:r>
              <w:rPr>
                <w:b/>
                <w:sz w:val="18"/>
              </w:rPr>
              <w:t>Returns &amp; Reverse Logistics</w:t>
            </w:r>
          </w:p>
        </w:tc>
        <w:tc>
          <w:tcPr>
            <w:tcW w:type="dxa" w:w="3135"/>
            <w:shd w:val="clear" w:color="auto" w:fill="ffffff"/>
          </w:tcPr>
          <w:p>
            <w:r>
              <w:rPr>
                <w:sz w:val="18"/>
              </w:rPr>
              <w:t>Month 4</w:t>
            </w:r>
          </w:p>
        </w:tc>
        <w:tc>
          <w:tcPr>
            <w:tcW w:type="dxa" w:w="3135"/>
            <w:shd w:val="clear" w:color="auto" w:fill="ffffff"/>
          </w:tcPr>
          <w:p>
            <w:r>
              <w:rPr>
                <w:sz w:val="17"/>
              </w:rPr>
              <w:t>Bottle/crate returns, disposition decisions, return tracking</w:t>
            </w:r>
          </w:p>
        </w:tc>
      </w:tr>
      <w:tr>
        <w:tc>
          <w:tcPr>
            <w:tcW w:type="dxa" w:w="3135"/>
            <w:shd w:val="clear" w:color="auto" w:fill="f0f4fa"/>
          </w:tcPr>
          <w:p>
            <w:r>
              <w:rPr>
                <w:b/>
                <w:sz w:val="18"/>
              </w:rPr>
              <w:t>Performance Tracking (KPIs)</w:t>
            </w:r>
          </w:p>
        </w:tc>
        <w:tc>
          <w:tcPr>
            <w:tcW w:type="dxa" w:w="3135"/>
            <w:shd w:val="clear" w:color="auto" w:fill="f0f4fa"/>
          </w:tcPr>
          <w:p>
            <w:r>
              <w:rPr>
                <w:sz w:val="18"/>
              </w:rPr>
              <w:t>Month 4</w:t>
            </w:r>
          </w:p>
        </w:tc>
        <w:tc>
          <w:tcPr>
            <w:tcW w:type="dxa" w:w="3135"/>
            <w:shd w:val="clear" w:color="auto" w:fill="f0f4fa"/>
          </w:tcPr>
          <w:p>
            <w:r>
              <w:rPr>
                <w:sz w:val="17"/>
              </w:rPr>
              <w:t>Picker accuracy, order cycle time, space utilisation</w:t>
            </w:r>
          </w:p>
        </w:tc>
      </w:tr>
      <w:tr>
        <w:tc>
          <w:tcPr>
            <w:tcW w:type="dxa" w:w="3135"/>
            <w:shd w:val="clear" w:color="auto" w:fill="ffffff"/>
          </w:tcPr>
          <w:p>
            <w:r>
              <w:rPr>
                <w:b/>
                <w:sz w:val="18"/>
              </w:rPr>
              <w:t>Dashboard &amp; Reporting</w:t>
            </w:r>
          </w:p>
        </w:tc>
        <w:tc>
          <w:tcPr>
            <w:tcW w:type="dxa" w:w="3135"/>
            <w:shd w:val="clear" w:color="auto" w:fill="ffffff"/>
          </w:tcPr>
          <w:p>
            <w:r>
              <w:rPr>
                <w:sz w:val="18"/>
              </w:rPr>
              <w:t>Month 5</w:t>
            </w:r>
          </w:p>
        </w:tc>
        <w:tc>
          <w:tcPr>
            <w:tcW w:type="dxa" w:w="3135"/>
            <w:shd w:val="clear" w:color="auto" w:fill="ffffff"/>
          </w:tcPr>
          <w:p>
            <w:r>
              <w:rPr>
                <w:sz w:val="17"/>
              </w:rPr>
              <w:t>Scheduled reports, email delivery, KPI threshold alerts</w:t>
            </w:r>
          </w:p>
        </w:tc>
      </w:tr>
      <w:tr>
        <w:tc>
          <w:tcPr>
            <w:tcW w:type="dxa" w:w="3135"/>
            <w:shd w:val="clear" w:color="auto" w:fill="f0f4fa"/>
          </w:tcPr>
          <w:p>
            <w:r>
              <w:rPr>
                <w:b/>
                <w:sz w:val="18"/>
              </w:rPr>
              <w:t>Labour Management</w:t>
            </w:r>
          </w:p>
        </w:tc>
        <w:tc>
          <w:tcPr>
            <w:tcW w:type="dxa" w:w="3135"/>
            <w:shd w:val="clear" w:color="auto" w:fill="f0f4fa"/>
          </w:tcPr>
          <w:p>
            <w:r>
              <w:rPr>
                <w:sz w:val="18"/>
              </w:rPr>
              <w:t>Month 5</w:t>
            </w:r>
          </w:p>
        </w:tc>
        <w:tc>
          <w:tcPr>
            <w:tcW w:type="dxa" w:w="3135"/>
            <w:shd w:val="clear" w:color="auto" w:fill="f0f4fa"/>
          </w:tcPr>
          <w:p>
            <w:r>
              <w:rPr>
                <w:sz w:val="17"/>
              </w:rPr>
              <w:t>Staff performance, task assignment, attendance tracking</w:t>
            </w:r>
          </w:p>
        </w:tc>
      </w:tr>
      <w:tr>
        <w:tc>
          <w:tcPr>
            <w:tcW w:type="dxa" w:w="3135"/>
            <w:shd w:val="clear" w:color="auto" w:fill="ffffff"/>
          </w:tcPr>
          <w:p>
            <w:r>
              <w:rPr>
                <w:b/>
                <w:sz w:val="18"/>
              </w:rPr>
              <w:t>Transport Management</w:t>
            </w:r>
          </w:p>
        </w:tc>
        <w:tc>
          <w:tcPr>
            <w:tcW w:type="dxa" w:w="3135"/>
            <w:shd w:val="clear" w:color="auto" w:fill="ffffff"/>
          </w:tcPr>
          <w:p>
            <w:r>
              <w:rPr>
                <w:sz w:val="18"/>
              </w:rPr>
              <w:t>Month 5</w:t>
            </w:r>
          </w:p>
        </w:tc>
        <w:tc>
          <w:tcPr>
            <w:tcW w:type="dxa" w:w="3135"/>
            <w:shd w:val="clear" w:color="auto" w:fill="ffffff"/>
          </w:tcPr>
          <w:p>
            <w:r>
              <w:rPr>
                <w:sz w:val="17"/>
              </w:rPr>
              <w:t>Route optimisation, GPS tracking, cost per delivery</w:t>
            </w:r>
          </w:p>
        </w:tc>
      </w:tr>
      <w:tr>
        <w:tc>
          <w:tcPr>
            <w:tcW w:type="dxa" w:w="3135"/>
            <w:shd w:val="clear" w:color="auto" w:fill="f0f4fa"/>
          </w:tcPr>
          <w:p>
            <w:r>
              <w:rPr>
                <w:b/>
                <w:sz w:val="18"/>
              </w:rPr>
              <w:t>Mobile Devices &amp; Scanning</w:t>
            </w:r>
          </w:p>
        </w:tc>
        <w:tc>
          <w:tcPr>
            <w:tcW w:type="dxa" w:w="3135"/>
            <w:shd w:val="clear" w:color="auto" w:fill="f0f4fa"/>
          </w:tcPr>
          <w:p>
            <w:r>
              <w:rPr>
                <w:sz w:val="18"/>
              </w:rPr>
              <w:t>Month 5</w:t>
            </w:r>
          </w:p>
        </w:tc>
        <w:tc>
          <w:tcPr>
            <w:tcW w:type="dxa" w:w="3135"/>
            <w:shd w:val="clear" w:color="auto" w:fill="f0f4fa"/>
          </w:tcPr>
          <w:p>
            <w:r>
              <w:rPr>
                <w:sz w:val="17"/>
              </w:rPr>
              <w:t>Offline mode, rugged device support</w:t>
            </w:r>
          </w:p>
        </w:tc>
      </w:tr>
      <w:tr>
        <w:tc>
          <w:tcPr>
            <w:tcW w:type="dxa" w:w="3135"/>
            <w:shd w:val="clear" w:color="auto" w:fill="ffffff"/>
          </w:tcPr>
          <w:p>
            <w:r>
              <w:rPr>
                <w:b/>
                <w:sz w:val="18"/>
              </w:rPr>
              <w:t>User Access &amp; Security</w:t>
            </w:r>
          </w:p>
        </w:tc>
        <w:tc>
          <w:tcPr>
            <w:tcW w:type="dxa" w:w="3135"/>
            <w:shd w:val="clear" w:color="auto" w:fill="ffffff"/>
          </w:tcPr>
          <w:p>
            <w:r>
              <w:rPr>
                <w:sz w:val="18"/>
              </w:rPr>
              <w:t>Month 6</w:t>
            </w:r>
          </w:p>
        </w:tc>
        <w:tc>
          <w:tcPr>
            <w:tcW w:type="dxa" w:w="3135"/>
            <w:shd w:val="clear" w:color="auto" w:fill="ffffff"/>
          </w:tcPr>
          <w:p>
            <w:r>
              <w:rPr>
                <w:sz w:val="17"/>
              </w:rPr>
              <w:t>Full audit trail, approval workflows, 2FA for managers</w:t>
            </w:r>
          </w:p>
        </w:tc>
      </w:tr>
      <w:tr>
        <w:tc>
          <w:tcPr>
            <w:tcW w:type="dxa" w:w="3135"/>
            <w:shd w:val="clear" w:color="auto" w:fill="f0f4fa"/>
          </w:tcPr>
          <w:p>
            <w:r>
              <w:rPr>
                <w:b/>
                <w:sz w:val="18"/>
              </w:rPr>
              <w:t>System Integration</w:t>
            </w:r>
          </w:p>
        </w:tc>
        <w:tc>
          <w:tcPr>
            <w:tcW w:type="dxa" w:w="3135"/>
            <w:shd w:val="clear" w:color="auto" w:fill="f0f4fa"/>
          </w:tcPr>
          <w:p>
            <w:r>
              <w:rPr>
                <w:sz w:val="18"/>
              </w:rPr>
              <w:t>Month 6</w:t>
            </w:r>
          </w:p>
        </w:tc>
        <w:tc>
          <w:tcPr>
            <w:tcW w:type="dxa" w:w="3135"/>
            <w:shd w:val="clear" w:color="auto" w:fill="f0f4fa"/>
          </w:tcPr>
          <w:p>
            <w:r>
              <w:rPr>
                <w:sz w:val="17"/>
              </w:rPr>
              <w:t>EDI, e-commerce, third-party carrier APIs</w:t>
            </w:r>
          </w:p>
        </w:tc>
      </w:tr>
      <w:tr>
        <w:tc>
          <w:tcPr>
            <w:tcW w:type="dxa" w:w="3135"/>
            <w:shd w:val="clear" w:color="auto" w:fill="ffffff"/>
          </w:tcPr>
          <w:p>
            <w:r>
              <w:rPr>
                <w:b/>
                <w:sz w:val="18"/>
              </w:rPr>
              <w:t>Integration with Grays Shops</w:t>
            </w:r>
          </w:p>
        </w:tc>
        <w:tc>
          <w:tcPr>
            <w:tcW w:type="dxa" w:w="3135"/>
            <w:shd w:val="clear" w:color="auto" w:fill="ffffff"/>
          </w:tcPr>
          <w:p>
            <w:r>
              <w:rPr>
                <w:sz w:val="18"/>
              </w:rPr>
              <w:t>Month 6</w:t>
            </w:r>
          </w:p>
        </w:tc>
        <w:tc>
          <w:tcPr>
            <w:tcW w:type="dxa" w:w="3135"/>
            <w:shd w:val="clear" w:color="auto" w:fill="ffffff"/>
          </w:tcPr>
          <w:p>
            <w:r>
              <w:rPr>
                <w:sz w:val="17"/>
              </w:rPr>
              <w:t>Shortage alerts, automated requisitions, ABC classification</w:t>
            </w:r>
          </w:p>
        </w:tc>
      </w:tr>
    </w:tbl>
    <w:p>
      <w:r>
        <w:br w:type="page"/>
      </w:r>
    </w:p>
    <w:p>
      <w:pPr>
        <w:spacing w:before="320" w:after="120"/>
      </w:pPr>
      <w:r>
        <w:rPr>
          <w:b/>
          <w:color w:val="1E3A5F"/>
          <w:sz w:val="34"/>
        </w:rPr>
        <w:t>4. Warehouse Structure &amp; Locations — Architecture Decision</w:t>
      </w:r>
    </w:p>
    <w:p>
      <w:pPr>
        <w:spacing w:after="80"/>
      </w:pPr>
      <w:r>
        <w:rPr>
          <w:b w:val="0"/>
          <w:sz w:val="21"/>
        </w:rPr>
        <w:t>This module enables physical bin-level location tracking in the warehouse — the foundation for guided picking, putaway rules, cycle counting, and route optimisation. Gray's warehouse currently tracks inventory at subinventory level only (e.g., DUTY_PAID) with no physical bin, shelf, or aisle assignment. Two architecture options exist.</w:t>
      </w:r>
    </w:p>
    <w:p>
      <w:pPr>
        <w:spacing w:before="200" w:after="80"/>
      </w:pPr>
      <w:r>
        <w:rPr>
          <w:b/>
          <w:color w:val="2B6CB0"/>
          <w:sz w:val="26"/>
        </w:rPr>
        <w:t>Current Pain Points</w:t>
      </w:r>
    </w:p>
    <w:p>
      <w:pPr>
        <w:pStyle w:val="ListBullet"/>
        <w:spacing w:after="60"/>
        <w:ind w:left="432"/>
      </w:pPr>
      <w:r>
        <w:rPr>
          <w:b w:val="0"/>
          <w:sz w:val="21"/>
        </w:rPr>
        <w:t>Pickers navigate by memory — no system-guided direction</w:t>
      </w:r>
    </w:p>
    <w:p>
      <w:pPr>
        <w:pStyle w:val="ListBullet"/>
        <w:spacing w:after="60"/>
        <w:ind w:left="432"/>
      </w:pPr>
      <w:r>
        <w:rPr>
          <w:b w:val="0"/>
          <w:sz w:val="21"/>
        </w:rPr>
        <w:t>No pick route optimisation — unnecessary walking time</w:t>
      </w:r>
    </w:p>
    <w:p>
      <w:pPr>
        <w:pStyle w:val="ListBullet"/>
        <w:spacing w:after="60"/>
        <w:ind w:left="432"/>
      </w:pPr>
      <w:r>
        <w:rPr>
          <w:b w:val="0"/>
          <w:sz w:val="21"/>
        </w:rPr>
        <w:t>No putaway rules — items placed ad-hoc</w:t>
      </w:r>
    </w:p>
    <w:p>
      <w:pPr>
        <w:pStyle w:val="ListBullet"/>
        <w:spacing w:after="60"/>
        <w:ind w:left="432"/>
      </w:pPr>
      <w:r>
        <w:rPr>
          <w:b w:val="0"/>
          <w:sz w:val="21"/>
        </w:rPr>
        <w:t>Cycle count is manual and blind — no location-level count</w:t>
      </w:r>
    </w:p>
    <w:p>
      <w:pPr>
        <w:spacing w:before="200" w:after="80"/>
      </w:pPr>
      <w:r>
        <w:rPr>
          <w:b/>
          <w:color w:val="2B6CB0"/>
          <w:sz w:val="26"/>
        </w:rPr>
        <w:t>Architecture Options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1e3a5f"/>
          </w:tcPr>
          <w:p>
            <w:r>
              <w:rPr>
                <w:b/>
                <w:color w:val="FFFFFF"/>
                <w:sz w:val="18"/>
              </w:rPr>
              <w:t>Criteria</w:t>
            </w:r>
          </w:p>
        </w:tc>
        <w:tc>
          <w:tcPr>
            <w:tcW w:type="dxa" w:w="3135"/>
            <w:shd w:val="clear" w:color="auto" w:fill="7f1d1d"/>
          </w:tcPr>
          <w:p>
            <w:r>
              <w:rPr>
                <w:b/>
                <w:color w:val="FFFFFF"/>
                <w:sz w:val="18"/>
              </w:rPr>
              <w:t>Option A — Oracle Fusion Locators</w:t>
            </w:r>
          </w:p>
        </w:tc>
        <w:tc>
          <w:tcPr>
            <w:tcW w:type="dxa" w:w="3135"/>
            <w:shd w:val="clear" w:color="auto" w:fill="14532d"/>
          </w:tcPr>
          <w:p>
            <w:r>
              <w:rPr>
                <w:b/>
                <w:color w:val="FFFFFF"/>
                <w:sz w:val="18"/>
              </w:rPr>
              <w:t>Option B — WMS-Managed Locators</w:t>
            </w:r>
          </w:p>
        </w:tc>
      </w:tr>
      <w:tr>
        <w:tc>
          <w:tcPr>
            <w:tcW w:type="dxa" w:w="3135"/>
            <w:shd w:val="clear" w:color="auto" w:fill="f8fafc"/>
          </w:tcPr>
          <w:p>
            <w:r>
              <w:rPr>
                <w:b/>
                <w:sz w:val="18"/>
              </w:rPr>
              <w:t>Timeline</w:t>
            </w:r>
          </w:p>
        </w:tc>
        <w:tc>
          <w:tcPr>
            <w:tcW w:type="dxa" w:w="3135"/>
            <w:shd w:val="clear" w:color="auto" w:fill="fef2f2"/>
          </w:tcPr>
          <w:p>
            <w:r>
              <w:rPr>
                <w:sz w:val="17"/>
              </w:rPr>
              <w:t>6 – 8 months</w:t>
            </w:r>
          </w:p>
        </w:tc>
        <w:tc>
          <w:tcPr>
            <w:tcW w:type="dxa" w:w="3135"/>
            <w:shd w:val="clear" w:color="auto" w:fill="f0fdf4"/>
          </w:tcPr>
          <w:p>
            <w:r>
              <w:rPr>
                <w:sz w:val="17"/>
              </w:rPr>
              <w:t>3 – 4 months</w:t>
            </w:r>
          </w:p>
        </w:tc>
      </w:tr>
      <w:tr>
        <w:tc>
          <w:tcPr>
            <w:tcW w:type="dxa" w:w="3135"/>
            <w:shd w:val="clear" w:color="auto" w:fill="ffffff"/>
          </w:tcPr>
          <w:p>
            <w:r>
              <w:rPr>
                <w:b/>
                <w:sz w:val="18"/>
              </w:rPr>
              <w:t>Risk to Operations</w:t>
            </w:r>
          </w:p>
        </w:tc>
        <w:tc>
          <w:tcPr>
            <w:tcW w:type="dxa" w:w="3135"/>
            <w:shd w:val="clear" w:color="auto" w:fill="fef2f2"/>
          </w:tcPr>
          <w:p>
            <w:r>
              <w:rPr>
                <w:sz w:val="17"/>
              </w:rPr>
              <w:t>HIGH — all-or-nothing Fusion cut-over</w:t>
            </w:r>
          </w:p>
        </w:tc>
        <w:tc>
          <w:tcPr>
            <w:tcW w:type="dxa" w:w="3135"/>
            <w:shd w:val="clear" w:color="auto" w:fill="f0fdf4"/>
          </w:tcPr>
          <w:p>
            <w:r>
              <w:rPr>
                <w:sz w:val="17"/>
              </w:rPr>
              <w:t>LOW — Fusion unchanged</w:t>
            </w:r>
          </w:p>
        </w:tc>
      </w:tr>
      <w:tr>
        <w:tc>
          <w:tcPr>
            <w:tcW w:type="dxa" w:w="3135"/>
            <w:shd w:val="clear" w:color="auto" w:fill="f8fafc"/>
          </w:tcPr>
          <w:p>
            <w:r>
              <w:rPr>
                <w:b/>
                <w:sz w:val="18"/>
              </w:rPr>
              <w:t>Oracle Fusion Change</w:t>
            </w:r>
          </w:p>
        </w:tc>
        <w:tc>
          <w:tcPr>
            <w:tcW w:type="dxa" w:w="3135"/>
            <w:shd w:val="clear" w:color="auto" w:fill="fef2f2"/>
          </w:tcPr>
          <w:p>
            <w:r>
              <w:rPr>
                <w:sz w:val="17"/>
              </w:rPr>
              <w:t>Yes — breaking change to ALL transactions</w:t>
            </w:r>
          </w:p>
        </w:tc>
        <w:tc>
          <w:tcPr>
            <w:tcW w:type="dxa" w:w="3135"/>
            <w:shd w:val="clear" w:color="auto" w:fill="f0fdf4"/>
          </w:tcPr>
          <w:p>
            <w:r>
              <w:rPr>
                <w:sz w:val="17"/>
              </w:rPr>
              <w:t>None</w:t>
            </w:r>
          </w:p>
        </w:tc>
      </w:tr>
      <w:tr>
        <w:tc>
          <w:tcPr>
            <w:tcW w:type="dxa" w:w="3135"/>
            <w:shd w:val="clear" w:color="auto" w:fill="ffffff"/>
          </w:tcPr>
          <w:p>
            <w:r>
              <w:rPr>
                <w:b/>
                <w:sz w:val="18"/>
              </w:rPr>
              <w:t>Incremental Roll-out</w:t>
            </w:r>
          </w:p>
        </w:tc>
        <w:tc>
          <w:tcPr>
            <w:tcW w:type="dxa" w:w="3135"/>
            <w:shd w:val="clear" w:color="auto" w:fill="fef2f2"/>
          </w:tcPr>
          <w:p>
            <w:r>
              <w:rPr>
                <w:sz w:val="17"/>
              </w:rPr>
              <w:t>No — must flip entire subinventory</w:t>
            </w:r>
          </w:p>
        </w:tc>
        <w:tc>
          <w:tcPr>
            <w:tcW w:type="dxa" w:w="3135"/>
            <w:shd w:val="clear" w:color="auto" w:fill="f0fdf4"/>
          </w:tcPr>
          <w:p>
            <w:r>
              <w:rPr>
                <w:sz w:val="17"/>
              </w:rPr>
              <w:t>Yes — zone by zone</w:t>
            </w:r>
          </w:p>
        </w:tc>
      </w:tr>
      <w:tr>
        <w:tc>
          <w:tcPr>
            <w:tcW w:type="dxa" w:w="3135"/>
            <w:shd w:val="clear" w:color="auto" w:fill="f8fafc"/>
          </w:tcPr>
          <w:p>
            <w:r>
              <w:rPr>
                <w:b/>
                <w:sz w:val="18"/>
              </w:rPr>
              <w:t>Setup Complexity</w:t>
            </w:r>
          </w:p>
        </w:tc>
        <w:tc>
          <w:tcPr>
            <w:tcW w:type="dxa" w:w="3135"/>
            <w:shd w:val="clear" w:color="auto" w:fill="fef2f2"/>
          </w:tcPr>
          <w:p>
            <w:r>
              <w:rPr>
                <w:sz w:val="17"/>
              </w:rPr>
              <w:t>Very High — ERP config + data migration + API rewrite</w:t>
            </w:r>
          </w:p>
        </w:tc>
        <w:tc>
          <w:tcPr>
            <w:tcW w:type="dxa" w:w="3135"/>
            <w:shd w:val="clear" w:color="auto" w:fill="f0fdf4"/>
          </w:tcPr>
          <w:p>
            <w:r>
              <w:rPr>
                <w:sz w:val="17"/>
              </w:rPr>
              <w:t>Medium — new WMS tables &amp; mobile screen</w:t>
            </w:r>
          </w:p>
        </w:tc>
      </w:tr>
      <w:tr>
        <w:tc>
          <w:tcPr>
            <w:tcW w:type="dxa" w:w="3135"/>
            <w:shd w:val="clear" w:color="auto" w:fill="ffffff"/>
          </w:tcPr>
          <w:p>
            <w:r>
              <w:rPr>
                <w:b/>
                <w:sz w:val="18"/>
              </w:rPr>
              <w:t>Location Management UI</w:t>
            </w:r>
          </w:p>
        </w:tc>
        <w:tc>
          <w:tcPr>
            <w:tcW w:type="dxa" w:w="3135"/>
            <w:shd w:val="clear" w:color="auto" w:fill="fef2f2"/>
          </w:tcPr>
          <w:p>
            <w:r>
              <w:rPr>
                <w:sz w:val="17"/>
              </w:rPr>
              <w:t>Fusion standard UI (complex)</w:t>
            </w:r>
          </w:p>
        </w:tc>
        <w:tc>
          <w:tcPr>
            <w:tcW w:type="dxa" w:w="3135"/>
            <w:shd w:val="clear" w:color="auto" w:fill="f0fdf4"/>
          </w:tcPr>
          <w:p>
            <w:r>
              <w:rPr>
                <w:sz w:val="17"/>
              </w:rPr>
              <w:t>Custom WMS screen (simple)</w:t>
            </w:r>
          </w:p>
        </w:tc>
      </w:tr>
      <w:tr>
        <w:tc>
          <w:tcPr>
            <w:tcW w:type="dxa" w:w="3135"/>
            <w:shd w:val="clear" w:color="auto" w:fill="f8fafc"/>
          </w:tcPr>
          <w:p>
            <w:r>
              <w:rPr>
                <w:b/>
                <w:sz w:val="18"/>
              </w:rPr>
              <w:t>Custom Putaway Logic</w:t>
            </w:r>
          </w:p>
        </w:tc>
        <w:tc>
          <w:tcPr>
            <w:tcW w:type="dxa" w:w="3135"/>
            <w:shd w:val="clear" w:color="auto" w:fill="fef2f2"/>
          </w:tcPr>
          <w:p>
            <w:r>
              <w:rPr>
                <w:sz w:val="17"/>
              </w:rPr>
              <w:t>Limited (Oracle native rules only)</w:t>
            </w:r>
          </w:p>
        </w:tc>
        <w:tc>
          <w:tcPr>
            <w:tcW w:type="dxa" w:w="3135"/>
            <w:shd w:val="clear" w:color="auto" w:fill="f0fdf4"/>
          </w:tcPr>
          <w:p>
            <w:r>
              <w:rPr>
                <w:sz w:val="17"/>
              </w:rPr>
              <w:t>Fully customisable in WMS</w:t>
            </w:r>
          </w:p>
        </w:tc>
      </w:tr>
      <w:tr>
        <w:tc>
          <w:tcPr>
            <w:tcW w:type="dxa" w:w="3135"/>
            <w:shd w:val="clear" w:color="auto" w:fill="ffffff"/>
          </w:tcPr>
          <w:p>
            <w:r>
              <w:rPr>
                <w:b/>
                <w:sz w:val="18"/>
              </w:rPr>
              <w:t>Audit Trail</w:t>
            </w:r>
          </w:p>
        </w:tc>
        <w:tc>
          <w:tcPr>
            <w:tcW w:type="dxa" w:w="3135"/>
            <w:shd w:val="clear" w:color="auto" w:fill="fef2f2"/>
          </w:tcPr>
          <w:p>
            <w:r>
              <w:rPr>
                <w:sz w:val="17"/>
              </w:rPr>
              <w:t>Native in Fusion ERP</w:t>
            </w:r>
          </w:p>
        </w:tc>
        <w:tc>
          <w:tcPr>
            <w:tcW w:type="dxa" w:w="3135"/>
            <w:shd w:val="clear" w:color="auto" w:fill="f0fdf4"/>
          </w:tcPr>
          <w:p>
            <w:r>
              <w:rPr>
                <w:sz w:val="17"/>
              </w:rPr>
              <w:t>WMS audit log + periodic reconciliation</w:t>
            </w:r>
          </w:p>
        </w:tc>
      </w:tr>
      <w:tr>
        <w:tc>
          <w:tcPr>
            <w:tcW w:type="dxa" w:w="3135"/>
            <w:shd w:val="clear" w:color="auto" w:fill="f8fafc"/>
          </w:tcPr>
          <w:p>
            <w:r>
              <w:rPr>
                <w:b/>
                <w:sz w:val="18"/>
              </w:rPr>
              <w:t>Single Source of Truth</w:t>
            </w:r>
          </w:p>
        </w:tc>
        <w:tc>
          <w:tcPr>
            <w:tcW w:type="dxa" w:w="3135"/>
            <w:shd w:val="clear" w:color="auto" w:fill="fef2f2"/>
          </w:tcPr>
          <w:p>
            <w:r>
              <w:rPr>
                <w:sz w:val="17"/>
              </w:rPr>
              <w:t>Yes — stock at locator level in Fusion</w:t>
            </w:r>
          </w:p>
        </w:tc>
        <w:tc>
          <w:tcPr>
            <w:tcW w:type="dxa" w:w="3135"/>
            <w:shd w:val="clear" w:color="auto" w:fill="f0fdf4"/>
          </w:tcPr>
          <w:p>
            <w:r>
              <w:rPr>
                <w:sz w:val="17"/>
              </w:rPr>
              <w:t>No — WMS + Fusion reconciled periodically</w:t>
            </w:r>
          </w:p>
        </w:tc>
      </w:tr>
      <w:tr>
        <w:tc>
          <w:tcPr>
            <w:tcW w:type="dxa" w:w="3135"/>
            <w:shd w:val="clear" w:color="auto" w:fill="ffffff"/>
          </w:tcPr>
          <w:p>
            <w:r>
              <w:rPr>
                <w:b/>
                <w:sz w:val="18"/>
              </w:rPr>
              <w:t>Future Oracle Compatibility</w:t>
            </w:r>
          </w:p>
        </w:tc>
        <w:tc>
          <w:tcPr>
            <w:tcW w:type="dxa" w:w="3135"/>
            <w:shd w:val="clear" w:color="auto" w:fill="fef2f2"/>
          </w:tcPr>
          <w:p>
            <w:r>
              <w:rPr>
                <w:sz w:val="17"/>
              </w:rPr>
              <w:t>Full native compatibility</w:t>
            </w:r>
          </w:p>
        </w:tc>
        <w:tc>
          <w:tcPr>
            <w:tcW w:type="dxa" w:w="3135"/>
            <w:shd w:val="clear" w:color="auto" w:fill="f0fdf4"/>
          </w:tcPr>
          <w:p>
            <w:r>
              <w:rPr>
                <w:sz w:val="17"/>
              </w:rPr>
              <w:t>Migration path to Fusion locators in Phase 3</w:t>
            </w:r>
          </w:p>
        </w:tc>
      </w:tr>
      <w:tr>
        <w:tc>
          <w:tcPr>
            <w:tcW w:type="dxa" w:w="3135"/>
            <w:shd w:val="clear" w:color="auto" w:fill="f8fafc"/>
          </w:tcPr>
          <w:p>
            <w:r>
              <w:rPr>
                <w:b/>
                <w:sz w:val="18"/>
              </w:rPr>
              <w:t>Recommended Phase</w:t>
            </w:r>
          </w:p>
        </w:tc>
        <w:tc>
          <w:tcPr>
            <w:tcW w:type="dxa" w:w="3135"/>
            <w:shd w:val="clear" w:color="auto" w:fill="fef2f2"/>
          </w:tcPr>
          <w:p>
            <w:r>
              <w:rPr>
                <w:color w:val="92400E"/>
                <w:sz w:val="17"/>
              </w:rPr>
              <w:t>Phase 3 — Future state</w:t>
            </w:r>
          </w:p>
        </w:tc>
        <w:tc>
          <w:tcPr>
            <w:tcW w:type="dxa" w:w="3135"/>
            <w:shd w:val="clear" w:color="auto" w:fill="dcfce7"/>
          </w:tcPr>
          <w:p>
            <w:r>
              <w:rPr>
                <w:b/>
                <w:color w:val="276E48"/>
                <w:sz w:val="17"/>
              </w:rPr>
              <w:t>Phase 2 — Implement Now (Recommended)</w:t>
            </w:r>
          </w:p>
        </w:tc>
      </w:tr>
    </w:tbl>
    <w:p>
      <w:pPr>
        <w:spacing w:before="200" w:after="80"/>
      </w:pPr>
      <w:r>
        <w:rPr>
          <w:b/>
          <w:color w:val="B91C1C"/>
          <w:sz w:val="26"/>
        </w:rPr>
        <w:t>Option A — Enable Oracle Fusion Locators</w:t>
      </w:r>
    </w:p>
    <w:p>
      <w:pPr>
        <w:spacing w:after="80"/>
      </w:pPr>
      <w:r>
        <w:rPr>
          <w:b w:val="0"/>
          <w:sz w:val="21"/>
        </w:rPr>
        <w:t>Configure Oracle Fusion Inventory to enforce locator-level stock tracking. Every inbound and outbound transaction must reference a physical bin locator in Fusion. This is the 'single source of truth' approach — but it is a significant ERP project.</w:t>
      </w:r>
    </w:p>
    <w:p>
      <w:pPr>
        <w:spacing w:before="160" w:after="60"/>
      </w:pPr>
      <w:r>
        <w:rPr>
          <w:b/>
          <w:color w:val="1E3A5F"/>
          <w:sz w:val="22"/>
        </w:rPr>
        <w:t>What needs to be done in Fusion:</w:t>
      </w:r>
    </w:p>
    <w:p>
      <w:pPr>
        <w:pStyle w:val="ListBullet"/>
        <w:spacing w:after="60"/>
        <w:ind w:left="432"/>
      </w:pPr>
      <w:r>
        <w:rPr>
          <w:b w:val="0"/>
          <w:sz w:val="21"/>
        </w:rPr>
        <w:t>Step 1 — Define ALL physical locations in Fusion: Organisation → Subinventory → Zone → Locator (e.g., A-03-2-B). Set capacity, weight, dimensions per locator.</w:t>
      </w:r>
    </w:p>
    <w:p>
      <w:pPr>
        <w:pStyle w:val="ListBullet"/>
        <w:spacing w:after="60"/>
        <w:ind w:left="432"/>
      </w:pPr>
      <w:r>
        <w:rPr>
          <w:b w:val="0"/>
          <w:sz w:val="21"/>
        </w:rPr>
        <w:t>Step 2 — Enable Locator Control on the DUTY_PAID subinventory. Once enabled, ALL transactions must include a locator — no partial rollout.</w:t>
      </w:r>
    </w:p>
    <w:p>
      <w:pPr>
        <w:pStyle w:val="ListBullet"/>
        <w:spacing w:after="60"/>
        <w:ind w:left="432"/>
      </w:pPr>
      <w:r>
        <w:rPr>
          <w:b w:val="0"/>
          <w:sz w:val="21"/>
        </w:rPr>
        <w:t>Step 3 — Stock migration: physically scan and map every item to a Fusion locator. All on-hand balances must be reassigned — this is a warehouse freeze event.</w:t>
      </w:r>
    </w:p>
    <w:p>
      <w:pPr>
        <w:spacing w:before="160" w:after="60"/>
      </w:pPr>
      <w:r>
        <w:rPr>
          <w:b/>
          <w:color w:val="1E3A5F"/>
          <w:sz w:val="22"/>
        </w:rPr>
        <w:t>Key risks:</w:t>
      </w:r>
    </w:p>
    <w:p>
      <w:pPr>
        <w:pStyle w:val="ListBullet"/>
        <w:spacing w:after="60"/>
        <w:ind w:left="432"/>
      </w:pPr>
      <w:r>
        <w:rPr>
          <w:b w:val="0"/>
          <w:sz w:val="21"/>
        </w:rPr>
        <w:t>All WMS API calls must be rewritten to include Locator ID — breaking change across the entire application</w:t>
      </w:r>
    </w:p>
    <w:p>
      <w:pPr>
        <w:pStyle w:val="ListBullet"/>
        <w:spacing w:after="60"/>
        <w:ind w:left="432"/>
      </w:pPr>
      <w:r>
        <w:rPr>
          <w:b w:val="0"/>
          <w:sz w:val="21"/>
        </w:rPr>
        <w:t>Cannot roll out incrementally — the entire subinventory flips at once</w:t>
      </w:r>
    </w:p>
    <w:p>
      <w:pPr>
        <w:pStyle w:val="ListBullet"/>
        <w:spacing w:after="60"/>
        <w:ind w:left="432"/>
      </w:pPr>
      <w:r>
        <w:rPr>
          <w:b w:val="0"/>
          <w:sz w:val="21"/>
        </w:rPr>
        <w:t>Requires ERP change freeze, full UAT, and regression testing on financial transactions</w:t>
      </w:r>
    </w:p>
    <w:p>
      <w:pPr>
        <w:pStyle w:val="ListBullet"/>
        <w:spacing w:after="60"/>
        <w:ind w:left="432"/>
      </w:pPr>
      <w:r>
        <w:rPr>
          <w:b w:val="0"/>
          <w:sz w:val="21"/>
        </w:rPr>
        <w:t>Timeline: 6 – 8 months before go-live</w:t>
      </w:r>
    </w:p>
    <w:p>
      <w:pPr>
        <w:spacing w:before="200" w:after="80"/>
      </w:pPr>
      <w:r>
        <w:rPr>
          <w:b/>
          <w:color w:val="276E48"/>
          <w:sz w:val="26"/>
        </w:rPr>
        <w:t>Option B — WMS-Managed Locators (Recommended)</w:t>
      </w:r>
    </w:p>
    <w:p>
      <w:pPr>
        <w:spacing w:after="80"/>
      </w:pPr>
      <w:r>
        <w:rPr>
          <w:b w:val="0"/>
          <w:sz w:val="21"/>
        </w:rPr>
        <w:t>WMS owns the physical location layer. Oracle Fusion continues to track stock at subinventory level only (unchanged). A parallel location database in WMS tracks exactly which bin each item is in. Periodic reconciliation keeps WMS and Fusion totals aligned.</w:t>
      </w:r>
    </w:p>
    <w:p>
      <w:pPr>
        <w:spacing w:before="160" w:after="60"/>
      </w:pPr>
      <w:r>
        <w:rPr>
          <w:b/>
          <w:color w:val="1E3A5F"/>
          <w:sz w:val="22"/>
        </w:rPr>
        <w:t>Architecture:</w:t>
      </w:r>
    </w:p>
    <w:p>
      <w:pPr>
        <w:pStyle w:val="ListBullet"/>
        <w:spacing w:after="60"/>
        <w:ind w:left="432"/>
      </w:pPr>
      <w:r>
        <w:rPr>
          <w:b w:val="0"/>
          <w:sz w:val="21"/>
        </w:rPr>
        <w:t>New Oracle APEX tables: WMS_LOCATIONS, WMS_LOCATION_STOCK, WMS_LOCATION_MOVES, WMS_PICK_ROUTES</w:t>
      </w:r>
    </w:p>
    <w:p>
      <w:pPr>
        <w:pStyle w:val="ListBullet"/>
        <w:spacing w:after="60"/>
        <w:ind w:left="432"/>
      </w:pPr>
      <w:r>
        <w:rPr>
          <w:b w:val="0"/>
          <w:sz w:val="21"/>
        </w:rPr>
        <w:t>Fusion knows: '10 units in DUTY_PAID' — WMS knows: '10 units in A-03-2-B'</w:t>
      </w:r>
    </w:p>
    <w:p>
      <w:pPr>
        <w:pStyle w:val="ListBullet"/>
        <w:spacing w:after="60"/>
        <w:ind w:left="432"/>
      </w:pPr>
      <w:r>
        <w:rPr>
          <w:b w:val="0"/>
          <w:sz w:val="21"/>
        </w:rPr>
        <w:t>Receiving: Fusion receives to subinventory → WMS records putaway locator via mobile scan</w:t>
      </w:r>
    </w:p>
    <w:p>
      <w:pPr>
        <w:pStyle w:val="ListBullet"/>
        <w:spacing w:after="60"/>
        <w:ind w:left="432"/>
      </w:pPr>
      <w:r>
        <w:rPr>
          <w:b w:val="0"/>
          <w:sz w:val="21"/>
        </w:rPr>
        <w:t>Picking: WMS selects locator (FIFO) → mobile shows 'Go to A-03-2-B' → picker scans bin → WMS deducts → Fusion issues from subinventory on ship confirm</w:t>
      </w:r>
    </w:p>
    <w:p>
      <w:pPr>
        <w:pStyle w:val="ListBullet"/>
        <w:spacing w:after="60"/>
        <w:ind w:left="432"/>
      </w:pPr>
      <w:r>
        <w:rPr>
          <w:b w:val="0"/>
          <w:sz w:val="21"/>
        </w:rPr>
        <w:t>Reconciliation: daily comparison of WMS locator totals vs Fusion subinventory totals; discrepancies flagged for adjustment</w:t>
      </w:r>
    </w:p>
    <w:p>
      <w:pPr>
        <w:spacing w:before="160" w:after="60"/>
      </w:pPr>
      <w:r>
        <w:rPr>
          <w:b/>
          <w:color w:val="1E3A5F"/>
          <w:sz w:val="22"/>
        </w:rPr>
        <w:t>Implementation steps (3–4 months):</w:t>
      </w:r>
    </w:p>
    <w:p>
      <w:pPr>
        <w:pStyle w:val="ListBullet"/>
        <w:spacing w:after="60"/>
        <w:ind w:left="432"/>
      </w:pPr>
      <w:r>
        <w:rPr>
          <w:b w:val="0"/>
          <w:sz w:val="21"/>
        </w:rPr>
        <w:t>Week 1–4: Foundation — location data model, Location Management screen in WMS, REST APIs</w:t>
      </w:r>
    </w:p>
    <w:p>
      <w:pPr>
        <w:pStyle w:val="ListBullet"/>
        <w:spacing w:after="60"/>
        <w:ind w:left="432"/>
      </w:pPr>
      <w:r>
        <w:rPr>
          <w:b w:val="0"/>
          <w:sz w:val="21"/>
        </w:rPr>
        <w:t>Week 5–7: Putaway integration — WMS suggestion engine, mobile scan-to-confirm, receiving flow</w:t>
      </w:r>
    </w:p>
    <w:p>
      <w:pPr>
        <w:pStyle w:val="ListBullet"/>
        <w:spacing w:after="60"/>
        <w:ind w:left="432"/>
      </w:pPr>
      <w:r>
        <w:rPr>
          <w:b w:val="0"/>
          <w:sz w:val="21"/>
        </w:rPr>
        <w:t>Week 8–10: Guided picking — FIFO locator selection, mobile 'Go to bin' instructions, scan confirmation</w:t>
      </w:r>
    </w:p>
    <w:p>
      <w:pPr>
        <w:pStyle w:val="ListBullet"/>
        <w:spacing w:after="60"/>
        <w:ind w:left="432"/>
      </w:pPr>
      <w:r>
        <w:rPr>
          <w:b w:val="0"/>
          <w:sz w:val="21"/>
        </w:rPr>
        <w:t>Week 11–12: Reconciliation &amp; reporting — discrepancy alerts, cycle count tasks, utilisation dashboard</w:t>
      </w:r>
    </w:p>
    <w:p>
      <w:pPr>
        <w:pStyle w:val="ListBullet"/>
        <w:spacing w:after="60"/>
        <w:ind w:left="432"/>
      </w:pPr>
      <w:r>
        <w:rPr>
          <w:b w:val="0"/>
          <w:sz w:val="21"/>
        </w:rPr>
        <w:t>Phase 3 (future): Migrate WMS locator data to Fusion when Fusion locators are fully barcoded and configured</w:t>
      </w:r>
    </w:p>
    <w:p>
      <w:pPr>
        <w:spacing w:before="160" w:after="60"/>
      </w:pPr>
      <w:r>
        <w:rPr>
          <w:b/>
          <w:color w:val="1E3A5F"/>
          <w:sz w:val="22"/>
        </w:rPr>
        <w:t>Recommendation: Start with Option B, evolve to Option A in Phase 3</w:t>
      </w:r>
    </w:p>
    <w:p>
      <w:pPr>
        <w:spacing w:after="80"/>
      </w:pPr>
      <w:r>
        <w:rPr>
          <w:b w:val="0"/>
          <w:color w:val="276E48"/>
          <w:sz w:val="21"/>
        </w:rPr>
        <w:t>Option B delivers bin-level picking guidance 4 months faster with zero risk to Oracle Fusion transactions. The WMS data model is designed to map cleanly to Fusion locators when the business is ready for Phase 3 migration.</w:t>
      </w:r>
    </w:p>
    <w:p>
      <w:r>
        <w:br w:type="page"/>
      </w:r>
    </w:p>
    <w:p>
      <w:pPr>
        <w:spacing w:before="320" w:after="120"/>
      </w:pPr>
      <w:r>
        <w:rPr>
          <w:b/>
          <w:color w:val="1E3A5F"/>
          <w:sz w:val="34"/>
        </w:rPr>
        <w:t>5. Project Plan &amp; Timeline</w:t>
      </w:r>
    </w:p>
    <w:p>
      <w:pPr>
        <w:spacing w:after="80"/>
      </w:pPr>
      <w:r>
        <w:rPr>
          <w:b w:val="0"/>
          <w:sz w:val="21"/>
        </w:rPr>
        <w:t>Modules are released individually as they pass UAT. On-site months (3–4) cover go-live support and user training. The Warehouse Structure module runs across Months 2–5 (Option B) or Months 2–9 (Option A).</w:t>
      </w:r>
    </w:p>
    <w:p>
      <w:pPr>
        <w:spacing w:before="200" w:after="80"/>
      </w:pPr>
      <w:r>
        <w:rPr>
          <w:b/>
          <w:color w:val="2B6CB0"/>
          <w:sz w:val="26"/>
        </w:rPr>
        <w:t>Month 1 — Phase 1 Completion + AI Foundation</w:t>
      </w:r>
    </w:p>
    <w:p>
      <w:pPr>
        <w:pStyle w:val="ListBullet"/>
        <w:spacing w:after="60"/>
        <w:ind w:left="432"/>
      </w:pPr>
      <w:r>
        <w:rPr>
          <w:b w:val="0"/>
          <w:sz w:val="21"/>
        </w:rPr>
        <w:t>Complete Phase 1 remaining: Advanced Reporting, Dashboard Builder, Customer Notifications</w:t>
      </w:r>
    </w:p>
    <w:p>
      <w:pPr>
        <w:pStyle w:val="ListBullet"/>
        <w:spacing w:after="60"/>
        <w:ind w:left="432"/>
      </w:pPr>
      <w:r>
        <w:rPr>
          <w:b w:val="0"/>
          <w:sz w:val="21"/>
        </w:rPr>
        <w:t>AI Readiness framework and intelligent picker assignment foundations</w:t>
      </w:r>
    </w:p>
    <w:p>
      <w:pPr>
        <w:pStyle w:val="ListBullet"/>
        <w:spacing w:after="60"/>
        <w:ind w:left="432"/>
      </w:pPr>
      <w:r>
        <w:rPr>
          <w:b w:val="0"/>
          <w:sz w:val="21"/>
        </w:rPr>
        <w:t>Auto-updater and release pipeline</w:t>
      </w:r>
    </w:p>
    <w:p>
      <w:pPr>
        <w:spacing w:before="200" w:after="80"/>
      </w:pPr>
      <w:r>
        <w:rPr>
          <w:b/>
          <w:color w:val="2B6CB0"/>
          <w:sz w:val="26"/>
        </w:rPr>
        <w:t>Month 2 — Receiving + QC + Put-Away + Warehouse Foundation</w:t>
      </w:r>
    </w:p>
    <w:p>
      <w:pPr>
        <w:pStyle w:val="ListBullet"/>
        <w:spacing w:after="60"/>
        <w:ind w:left="432"/>
      </w:pPr>
      <w:r>
        <w:rPr>
          <w:b w:val="0"/>
          <w:sz w:val="21"/>
        </w:rPr>
        <w:t>Receiving Goods module (barcode scanning, ASN, GRN printing, partial/over-receipts)</w:t>
      </w:r>
    </w:p>
    <w:p>
      <w:pPr>
        <w:pStyle w:val="ListBullet"/>
        <w:spacing w:after="60"/>
        <w:ind w:left="432"/>
      </w:pPr>
      <w:r>
        <w:rPr>
          <w:b w:val="0"/>
          <w:sz w:val="21"/>
        </w:rPr>
        <w:t>Quality Control module (digital checklists, Non-Conform flagging)</w:t>
      </w:r>
    </w:p>
    <w:p>
      <w:pPr>
        <w:pStyle w:val="ListBullet"/>
        <w:spacing w:after="60"/>
        <w:ind w:left="432"/>
      </w:pPr>
      <w:r>
        <w:rPr>
          <w:b w:val="0"/>
          <w:sz w:val="21"/>
        </w:rPr>
        <w:t>Put-Away module (FEFO/ABC strategies, mobile-guided)</w:t>
      </w:r>
    </w:p>
    <w:p>
      <w:pPr>
        <w:pStyle w:val="ListBullet"/>
        <w:spacing w:after="60"/>
        <w:ind w:left="432"/>
      </w:pPr>
      <w:r>
        <w:rPr>
          <w:b w:val="0"/>
          <w:sz w:val="21"/>
        </w:rPr>
        <w:t>Warehouse Structure: Step 1 — Location data model &amp; Location Management screen</w:t>
      </w:r>
    </w:p>
    <w:p>
      <w:pPr>
        <w:pStyle w:val="ListBullet"/>
        <w:spacing w:after="60"/>
        <w:ind w:left="432"/>
      </w:pPr>
      <w:r>
        <w:rPr>
          <w:b w:val="0"/>
          <w:sz w:val="21"/>
        </w:rPr>
        <w:t>Inventory Management enhancements (replenishment triggers, expiry alerts)</w:t>
      </w:r>
    </w:p>
    <w:p>
      <w:pPr>
        <w:spacing w:before="200" w:after="80"/>
      </w:pPr>
      <w:r>
        <w:rPr>
          <w:b/>
          <w:color w:val="2B6CB0"/>
          <w:sz w:val="26"/>
        </w:rPr>
        <w:t>Month 3 — Stock / OM / Picking + Warehouse Putaway Flow (ON-SITE begins)</w:t>
      </w:r>
    </w:p>
    <w:p>
      <w:pPr>
        <w:pStyle w:val="ListBullet"/>
        <w:spacing w:after="60"/>
        <w:ind w:left="432"/>
      </w:pPr>
      <w:r>
        <w:rPr>
          <w:b w:val="0"/>
          <w:sz w:val="21"/>
        </w:rPr>
        <w:t>Stock Reservation module</w:t>
      </w:r>
    </w:p>
    <w:p>
      <w:pPr>
        <w:pStyle w:val="ListBullet"/>
        <w:spacing w:after="60"/>
        <w:ind w:left="432"/>
      </w:pPr>
      <w:r>
        <w:rPr>
          <w:b w:val="0"/>
          <w:sz w:val="21"/>
        </w:rPr>
        <w:t>Order Management enhancements (EDI, pallet splitting)</w:t>
      </w:r>
    </w:p>
    <w:p>
      <w:pPr>
        <w:pStyle w:val="ListBullet"/>
        <w:spacing w:after="60"/>
        <w:ind w:left="432"/>
      </w:pPr>
      <w:r>
        <w:rPr>
          <w:b w:val="0"/>
          <w:sz w:val="21"/>
        </w:rPr>
        <w:t>Picking enhancements (wave/batch, route optimisation, short pick handling)</w:t>
      </w:r>
    </w:p>
    <w:p>
      <w:pPr>
        <w:pStyle w:val="ListBullet"/>
        <w:spacing w:after="60"/>
        <w:ind w:left="432"/>
      </w:pPr>
      <w:r>
        <w:rPr>
          <w:b w:val="0"/>
          <w:sz w:val="21"/>
        </w:rPr>
        <w:t>Warehouse Structure: Step 2 — Putaway integration (WMS suggestion engine, mobile scan)</w:t>
      </w:r>
    </w:p>
    <w:p>
      <w:pPr>
        <w:pStyle w:val="ListBullet"/>
        <w:spacing w:after="60"/>
        <w:ind w:left="432"/>
      </w:pPr>
      <w:r>
        <w:rPr>
          <w:b w:val="0"/>
          <w:sz w:val="21"/>
        </w:rPr>
        <w:t>ON-SITE: go-live support for Months 1–2 modules, user training sessions</w:t>
      </w:r>
    </w:p>
    <w:p>
      <w:pPr>
        <w:spacing w:before="200" w:after="80"/>
      </w:pPr>
      <w:r>
        <w:rPr>
          <w:b/>
          <w:color w:val="2B6CB0"/>
          <w:sz w:val="26"/>
        </w:rPr>
        <w:t>Month 4 — Loading + Shipping + Returns + KPIs + Guided Picking (ON-SITE)</w:t>
      </w:r>
    </w:p>
    <w:p>
      <w:pPr>
        <w:pStyle w:val="ListBullet"/>
        <w:spacing w:after="60"/>
        <w:ind w:left="432"/>
      </w:pPr>
      <w:r>
        <w:rPr>
          <w:b w:val="0"/>
          <w:sz w:val="21"/>
        </w:rPr>
        <w:t>Loading &amp; Dispatch enhancements (manifests, capacity checks)</w:t>
      </w:r>
    </w:p>
    <w:p>
      <w:pPr>
        <w:pStyle w:val="ListBullet"/>
        <w:spacing w:after="60"/>
        <w:ind w:left="432"/>
      </w:pPr>
      <w:r>
        <w:rPr>
          <w:b w:val="0"/>
          <w:sz w:val="21"/>
        </w:rPr>
        <w:t>Shipping enhancements (POD with signatures &amp; photos)</w:t>
      </w:r>
    </w:p>
    <w:p>
      <w:pPr>
        <w:pStyle w:val="ListBullet"/>
        <w:spacing w:after="60"/>
        <w:ind w:left="432"/>
      </w:pPr>
      <w:r>
        <w:rPr>
          <w:b w:val="0"/>
          <w:sz w:val="21"/>
        </w:rPr>
        <w:t>Returns &amp; Reverse Logistics module</w:t>
      </w:r>
    </w:p>
    <w:p>
      <w:pPr>
        <w:pStyle w:val="ListBullet"/>
        <w:spacing w:after="60"/>
        <w:ind w:left="432"/>
      </w:pPr>
      <w:r>
        <w:rPr>
          <w:b w:val="0"/>
          <w:sz w:val="21"/>
        </w:rPr>
        <w:t>Performance Tracking (KPIs) module</w:t>
      </w:r>
    </w:p>
    <w:p>
      <w:pPr>
        <w:pStyle w:val="ListBullet"/>
        <w:spacing w:after="60"/>
        <w:ind w:left="432"/>
      </w:pPr>
      <w:r>
        <w:rPr>
          <w:b w:val="0"/>
          <w:sz w:val="21"/>
        </w:rPr>
        <w:t>Warehouse Structure: Step 3 — Guided picking ('Go to A-03-2-B'), bin scan confirmation</w:t>
      </w:r>
    </w:p>
    <w:p>
      <w:pPr>
        <w:pStyle w:val="ListBullet"/>
        <w:spacing w:after="60"/>
        <w:ind w:left="432"/>
      </w:pPr>
      <w:r>
        <w:rPr>
          <w:b w:val="0"/>
          <w:sz w:val="21"/>
        </w:rPr>
        <w:t>ON-SITE: continued training, hypercare support across all modules</w:t>
      </w:r>
    </w:p>
    <w:p>
      <w:pPr>
        <w:spacing w:before="200" w:after="80"/>
      </w:pPr>
      <w:r>
        <w:rPr>
          <w:b/>
          <w:color w:val="2B6CB0"/>
          <w:sz w:val="26"/>
        </w:rPr>
        <w:t>Month 5 — Dashboard + Labour + Transport + Mobile + Warehouse Reconciliation</w:t>
      </w:r>
    </w:p>
    <w:p>
      <w:pPr>
        <w:pStyle w:val="ListBullet"/>
        <w:spacing w:after="60"/>
        <w:ind w:left="432"/>
      </w:pPr>
      <w:r>
        <w:rPr>
          <w:b w:val="0"/>
          <w:sz w:val="21"/>
        </w:rPr>
        <w:t>Dashboard &amp; Reporting enhancements (scheduled reports, email delivery)</w:t>
      </w:r>
    </w:p>
    <w:p>
      <w:pPr>
        <w:pStyle w:val="ListBullet"/>
        <w:spacing w:after="60"/>
        <w:ind w:left="432"/>
      </w:pPr>
      <w:r>
        <w:rPr>
          <w:b w:val="0"/>
          <w:sz w:val="21"/>
        </w:rPr>
        <w:t>Labour Management module (performance, attendance, task assignment)</w:t>
      </w:r>
    </w:p>
    <w:p>
      <w:pPr>
        <w:pStyle w:val="ListBullet"/>
        <w:spacing w:after="60"/>
        <w:ind w:left="432"/>
      </w:pPr>
      <w:r>
        <w:rPr>
          <w:b w:val="0"/>
          <w:sz w:val="21"/>
        </w:rPr>
        <w:t>Transport Management module (route optimisation, GPS integration)</w:t>
      </w:r>
    </w:p>
    <w:p>
      <w:pPr>
        <w:pStyle w:val="ListBullet"/>
        <w:spacing w:after="60"/>
        <w:ind w:left="432"/>
      </w:pPr>
      <w:r>
        <w:rPr>
          <w:b w:val="0"/>
          <w:sz w:val="21"/>
        </w:rPr>
        <w:t>Mobile Devices &amp; Scanning enhancements (offline mode, rugged device support)</w:t>
      </w:r>
    </w:p>
    <w:p>
      <w:pPr>
        <w:pStyle w:val="ListBullet"/>
        <w:spacing w:after="60"/>
        <w:ind w:left="432"/>
      </w:pPr>
      <w:r>
        <w:rPr>
          <w:b w:val="0"/>
          <w:sz w:val="21"/>
        </w:rPr>
        <w:t>Warehouse Structure: Step 4 — Reconciliation dashboard, cycle count, utilisation reports</w:t>
      </w:r>
    </w:p>
    <w:p>
      <w:pPr>
        <w:spacing w:before="200" w:after="80"/>
      </w:pPr>
      <w:r>
        <w:rPr>
          <w:b/>
          <w:color w:val="2B6CB0"/>
          <w:sz w:val="26"/>
        </w:rPr>
        <w:t>Month 6 — Security + Integration + Stabilisation</w:t>
      </w:r>
    </w:p>
    <w:p>
      <w:pPr>
        <w:pStyle w:val="ListBullet"/>
        <w:spacing w:after="60"/>
        <w:ind w:left="432"/>
      </w:pPr>
      <w:r>
        <w:rPr>
          <w:b w:val="0"/>
          <w:sz w:val="21"/>
        </w:rPr>
        <w:t>User Access &amp; Security (audit trail, 2FA, approval workflows)</w:t>
      </w:r>
    </w:p>
    <w:p>
      <w:pPr>
        <w:pStyle w:val="ListBullet"/>
        <w:spacing w:after="60"/>
        <w:ind w:left="432"/>
      </w:pPr>
      <w:r>
        <w:rPr>
          <w:b w:val="0"/>
          <w:sz w:val="21"/>
        </w:rPr>
        <w:t>System Integration enhancements (EDI, e-commerce, third-party carriers)</w:t>
      </w:r>
    </w:p>
    <w:p>
      <w:pPr>
        <w:pStyle w:val="ListBullet"/>
        <w:spacing w:after="60"/>
        <w:ind w:left="432"/>
      </w:pPr>
      <w:r>
        <w:rPr>
          <w:b w:val="0"/>
          <w:sz w:val="21"/>
        </w:rPr>
        <w:t>Integration with Grays Shops (shortage alerts, ABC classification, requisitions)</w:t>
      </w:r>
    </w:p>
    <w:p>
      <w:pPr>
        <w:pStyle w:val="ListBullet"/>
        <w:spacing w:after="60"/>
        <w:ind w:left="432"/>
      </w:pPr>
      <w:r>
        <w:rPr>
          <w:b w:val="0"/>
          <w:sz w:val="21"/>
        </w:rPr>
        <w:t>Regression testing across all modules</w:t>
      </w:r>
    </w:p>
    <w:p>
      <w:pPr>
        <w:pStyle w:val="ListBullet"/>
        <w:spacing w:after="60"/>
        <w:ind w:left="432"/>
      </w:pPr>
      <w:r>
        <w:rPr>
          <w:b w:val="0"/>
          <w:sz w:val="21"/>
        </w:rPr>
        <w:t>Documentation, user manuals (English &amp; French), knowledge transfer</w:t>
      </w:r>
    </w:p>
    <w:p>
      <w:pPr>
        <w:pStyle w:val="ListBullet"/>
        <w:spacing w:after="60"/>
        <w:ind w:left="432"/>
      </w:pPr>
      <w:r>
        <w:rPr>
          <w:b w:val="0"/>
          <w:sz w:val="21"/>
        </w:rPr>
        <w:t>Final versioned release package</w:t>
      </w:r>
    </w:p>
    <w:p>
      <w:pPr>
        <w:spacing w:before="200" w:after="80"/>
      </w:pPr>
      <w:r>
        <w:rPr>
          <w:b/>
          <w:color w:val="2B6CB0"/>
          <w:sz w:val="26"/>
        </w:rPr>
        <w:t>High-Level Gantt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shd w:val="clear" w:color="auto" w:fill="1e3a5f"/>
          </w:tcPr>
          <w:p>
            <w:r>
              <w:rPr>
                <w:b/>
                <w:color w:val="FFFFFF"/>
                <w:sz w:val="16"/>
              </w:rPr>
              <w:t>Module / Phase</w:t>
            </w:r>
          </w:p>
        </w:tc>
        <w:tc>
          <w:tcPr>
            <w:tcW w:type="dxa" w:w="1344"/>
            <w:shd w:val="clear" w:color="auto" w:fill="1e3a5f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M1</w:t>
            </w:r>
          </w:p>
        </w:tc>
        <w:tc>
          <w:tcPr>
            <w:tcW w:type="dxa" w:w="1344"/>
            <w:shd w:val="clear" w:color="auto" w:fill="1e3a5f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M2</w:t>
            </w:r>
          </w:p>
        </w:tc>
        <w:tc>
          <w:tcPr>
            <w:tcW w:type="dxa" w:w="1344"/>
            <w:shd w:val="clear" w:color="auto" w:fill="1e3a5f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M3</w:t>
            </w:r>
          </w:p>
        </w:tc>
        <w:tc>
          <w:tcPr>
            <w:tcW w:type="dxa" w:w="1344"/>
            <w:shd w:val="clear" w:color="auto" w:fill="1e3a5f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M4</w:t>
            </w:r>
          </w:p>
        </w:tc>
        <w:tc>
          <w:tcPr>
            <w:tcW w:type="dxa" w:w="1344"/>
            <w:shd w:val="clear" w:color="auto" w:fill="1e3a5f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M5</w:t>
            </w:r>
          </w:p>
        </w:tc>
        <w:tc>
          <w:tcPr>
            <w:tcW w:type="dxa" w:w="1344"/>
            <w:shd w:val="clear" w:color="auto" w:fill="1e3a5f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M6</w:t>
            </w:r>
          </w:p>
        </w:tc>
      </w:tr>
      <w:tr>
        <w:tc>
          <w:tcPr>
            <w:tcW w:type="dxa" w:w="1344"/>
            <w:shd w:val="clear" w:color="auto" w:fill="f8fafc"/>
          </w:tcPr>
          <w:p>
            <w:r>
              <w:rPr>
                <w:sz w:val="17"/>
              </w:rPr>
              <w:t>Phase 1 Completion + AI</w:t>
            </w:r>
          </w:p>
        </w:tc>
        <w:tc>
          <w:tcPr>
            <w:tcW w:type="dxa" w:w="1344"/>
            <w:shd w:val="clear" w:color="auto" w:fill="2b6cb0"/>
          </w:tcPr>
          <w:p>
            <w:pPr>
              <w:jc w:val="center"/>
            </w:pPr>
            <w:r>
              <w:rPr>
                <w:color w:val="FFFFFF"/>
                <w:sz w:val="18"/>
              </w:rPr>
              <w:t>●</w:t>
            </w:r>
          </w:p>
        </w:tc>
        <w:tc>
          <w:tcPr>
            <w:tcW w:type="dxa" w:w="1344"/>
            <w:shd w:val="clear" w:color="auto" w:fill="ffffff"/>
          </w:tcPr>
          <w:p/>
        </w:tc>
        <w:tc>
          <w:tcPr>
            <w:tcW w:type="dxa" w:w="1344"/>
            <w:shd w:val="clear" w:color="auto" w:fill="ffffff"/>
          </w:tcPr>
          <w:p/>
        </w:tc>
        <w:tc>
          <w:tcPr>
            <w:tcW w:type="dxa" w:w="1344"/>
            <w:shd w:val="clear" w:color="auto" w:fill="ffffff"/>
          </w:tcPr>
          <w:p/>
        </w:tc>
        <w:tc>
          <w:tcPr>
            <w:tcW w:type="dxa" w:w="1344"/>
            <w:shd w:val="clear" w:color="auto" w:fill="ffffff"/>
          </w:tcPr>
          <w:p/>
        </w:tc>
        <w:tc>
          <w:tcPr>
            <w:tcW w:type="dxa" w:w="1344"/>
            <w:shd w:val="clear" w:color="auto" w:fill="ffffff"/>
          </w:tcPr>
          <w:p/>
        </w:tc>
      </w:tr>
      <w:tr>
        <w:tc>
          <w:tcPr>
            <w:tcW w:type="dxa" w:w="1344"/>
            <w:shd w:val="clear" w:color="auto" w:fill="f8fafc"/>
          </w:tcPr>
          <w:p>
            <w:r>
              <w:rPr>
                <w:sz w:val="17"/>
              </w:rPr>
              <w:t>Receiving / QC / Put-Away</w:t>
            </w:r>
          </w:p>
        </w:tc>
        <w:tc>
          <w:tcPr>
            <w:tcW w:type="dxa" w:w="1344"/>
            <w:shd w:val="clear" w:color="auto" w:fill="ffffff"/>
          </w:tcPr>
          <w:p/>
        </w:tc>
        <w:tc>
          <w:tcPr>
            <w:tcW w:type="dxa" w:w="1344"/>
            <w:shd w:val="clear" w:color="auto" w:fill="2b6cb0"/>
          </w:tcPr>
          <w:p>
            <w:pPr>
              <w:jc w:val="center"/>
            </w:pPr>
            <w:r>
              <w:rPr>
                <w:color w:val="FFFFFF"/>
                <w:sz w:val="18"/>
              </w:rPr>
              <w:t>●</w:t>
            </w:r>
          </w:p>
        </w:tc>
        <w:tc>
          <w:tcPr>
            <w:tcW w:type="dxa" w:w="1344"/>
            <w:shd w:val="clear" w:color="auto" w:fill="ffffff"/>
          </w:tcPr>
          <w:p/>
        </w:tc>
        <w:tc>
          <w:tcPr>
            <w:tcW w:type="dxa" w:w="1344"/>
            <w:shd w:val="clear" w:color="auto" w:fill="ffffff"/>
          </w:tcPr>
          <w:p/>
        </w:tc>
        <w:tc>
          <w:tcPr>
            <w:tcW w:type="dxa" w:w="1344"/>
            <w:shd w:val="clear" w:color="auto" w:fill="ffffff"/>
          </w:tcPr>
          <w:p/>
        </w:tc>
        <w:tc>
          <w:tcPr>
            <w:tcW w:type="dxa" w:w="1344"/>
            <w:shd w:val="clear" w:color="auto" w:fill="ffffff"/>
          </w:tcPr>
          <w:p/>
        </w:tc>
      </w:tr>
      <w:tr>
        <w:tc>
          <w:tcPr>
            <w:tcW w:type="dxa" w:w="1344"/>
            <w:shd w:val="clear" w:color="auto" w:fill="f8fafc"/>
          </w:tcPr>
          <w:p>
            <w:r>
              <w:rPr>
                <w:sz w:val="17"/>
              </w:rPr>
              <w:t>Stock Res / OM / Picking</w:t>
            </w:r>
          </w:p>
        </w:tc>
        <w:tc>
          <w:tcPr>
            <w:tcW w:type="dxa" w:w="1344"/>
            <w:shd w:val="clear" w:color="auto" w:fill="ffffff"/>
          </w:tcPr>
          <w:p/>
        </w:tc>
        <w:tc>
          <w:tcPr>
            <w:tcW w:type="dxa" w:w="1344"/>
            <w:shd w:val="clear" w:color="auto" w:fill="ffffff"/>
          </w:tcPr>
          <w:p/>
        </w:tc>
        <w:tc>
          <w:tcPr>
            <w:tcW w:type="dxa" w:w="1344"/>
            <w:shd w:val="clear" w:color="auto" w:fill="2b6cb0"/>
          </w:tcPr>
          <w:p>
            <w:pPr>
              <w:jc w:val="center"/>
            </w:pPr>
            <w:r>
              <w:rPr>
                <w:color w:val="FFFFFF"/>
                <w:sz w:val="18"/>
              </w:rPr>
              <w:t>●</w:t>
            </w:r>
          </w:p>
        </w:tc>
        <w:tc>
          <w:tcPr>
            <w:tcW w:type="dxa" w:w="1344"/>
            <w:shd w:val="clear" w:color="auto" w:fill="ffffff"/>
          </w:tcPr>
          <w:p/>
        </w:tc>
        <w:tc>
          <w:tcPr>
            <w:tcW w:type="dxa" w:w="1344"/>
            <w:shd w:val="clear" w:color="auto" w:fill="ffffff"/>
          </w:tcPr>
          <w:p/>
        </w:tc>
        <w:tc>
          <w:tcPr>
            <w:tcW w:type="dxa" w:w="1344"/>
            <w:shd w:val="clear" w:color="auto" w:fill="ffffff"/>
          </w:tcPr>
          <w:p/>
        </w:tc>
      </w:tr>
      <w:tr>
        <w:tc>
          <w:tcPr>
            <w:tcW w:type="dxa" w:w="1344"/>
            <w:shd w:val="clear" w:color="auto" w:fill="f8fafc"/>
          </w:tcPr>
          <w:p>
            <w:r>
              <w:rPr>
                <w:sz w:val="17"/>
              </w:rPr>
              <w:t>Loading / Shipping / Returns</w:t>
            </w:r>
          </w:p>
        </w:tc>
        <w:tc>
          <w:tcPr>
            <w:tcW w:type="dxa" w:w="1344"/>
            <w:shd w:val="clear" w:color="auto" w:fill="ffffff"/>
          </w:tcPr>
          <w:p/>
        </w:tc>
        <w:tc>
          <w:tcPr>
            <w:tcW w:type="dxa" w:w="1344"/>
            <w:shd w:val="clear" w:color="auto" w:fill="ffffff"/>
          </w:tcPr>
          <w:p/>
        </w:tc>
        <w:tc>
          <w:tcPr>
            <w:tcW w:type="dxa" w:w="1344"/>
            <w:shd w:val="clear" w:color="auto" w:fill="ffffff"/>
          </w:tcPr>
          <w:p/>
        </w:tc>
        <w:tc>
          <w:tcPr>
            <w:tcW w:type="dxa" w:w="1344"/>
            <w:shd w:val="clear" w:color="auto" w:fill="2b6cb0"/>
          </w:tcPr>
          <w:p>
            <w:pPr>
              <w:jc w:val="center"/>
            </w:pPr>
            <w:r>
              <w:rPr>
                <w:color w:val="FFFFFF"/>
                <w:sz w:val="18"/>
              </w:rPr>
              <w:t>●</w:t>
            </w:r>
          </w:p>
        </w:tc>
        <w:tc>
          <w:tcPr>
            <w:tcW w:type="dxa" w:w="1344"/>
            <w:shd w:val="clear" w:color="auto" w:fill="ffffff"/>
          </w:tcPr>
          <w:p/>
        </w:tc>
        <w:tc>
          <w:tcPr>
            <w:tcW w:type="dxa" w:w="1344"/>
            <w:shd w:val="clear" w:color="auto" w:fill="ffffff"/>
          </w:tcPr>
          <w:p/>
        </w:tc>
      </w:tr>
      <w:tr>
        <w:tc>
          <w:tcPr>
            <w:tcW w:type="dxa" w:w="1344"/>
            <w:shd w:val="clear" w:color="auto" w:fill="f8fafc"/>
          </w:tcPr>
          <w:p>
            <w:r>
              <w:rPr>
                <w:sz w:val="17"/>
              </w:rPr>
              <w:t>Dashboard / Labour / Transport</w:t>
            </w:r>
          </w:p>
        </w:tc>
        <w:tc>
          <w:tcPr>
            <w:tcW w:type="dxa" w:w="1344"/>
            <w:shd w:val="clear" w:color="auto" w:fill="ffffff"/>
          </w:tcPr>
          <w:p/>
        </w:tc>
        <w:tc>
          <w:tcPr>
            <w:tcW w:type="dxa" w:w="1344"/>
            <w:shd w:val="clear" w:color="auto" w:fill="ffffff"/>
          </w:tcPr>
          <w:p/>
        </w:tc>
        <w:tc>
          <w:tcPr>
            <w:tcW w:type="dxa" w:w="1344"/>
            <w:shd w:val="clear" w:color="auto" w:fill="ffffff"/>
          </w:tcPr>
          <w:p/>
        </w:tc>
        <w:tc>
          <w:tcPr>
            <w:tcW w:type="dxa" w:w="1344"/>
            <w:shd w:val="clear" w:color="auto" w:fill="ffffff"/>
          </w:tcPr>
          <w:p/>
        </w:tc>
        <w:tc>
          <w:tcPr>
            <w:tcW w:type="dxa" w:w="1344"/>
            <w:shd w:val="clear" w:color="auto" w:fill="2b6cb0"/>
          </w:tcPr>
          <w:p>
            <w:pPr>
              <w:jc w:val="center"/>
            </w:pPr>
            <w:r>
              <w:rPr>
                <w:color w:val="FFFFFF"/>
                <w:sz w:val="18"/>
              </w:rPr>
              <w:t>●</w:t>
            </w:r>
          </w:p>
        </w:tc>
        <w:tc>
          <w:tcPr>
            <w:tcW w:type="dxa" w:w="1344"/>
            <w:shd w:val="clear" w:color="auto" w:fill="ffffff"/>
          </w:tcPr>
          <w:p/>
        </w:tc>
      </w:tr>
      <w:tr>
        <w:tc>
          <w:tcPr>
            <w:tcW w:type="dxa" w:w="1344"/>
            <w:shd w:val="clear" w:color="auto" w:fill="f8fafc"/>
          </w:tcPr>
          <w:p>
            <w:r>
              <w:rPr>
                <w:sz w:val="17"/>
              </w:rPr>
              <w:t>Security / Integration</w:t>
            </w:r>
          </w:p>
        </w:tc>
        <w:tc>
          <w:tcPr>
            <w:tcW w:type="dxa" w:w="1344"/>
            <w:shd w:val="clear" w:color="auto" w:fill="ffffff"/>
          </w:tcPr>
          <w:p/>
        </w:tc>
        <w:tc>
          <w:tcPr>
            <w:tcW w:type="dxa" w:w="1344"/>
            <w:shd w:val="clear" w:color="auto" w:fill="ffffff"/>
          </w:tcPr>
          <w:p/>
        </w:tc>
        <w:tc>
          <w:tcPr>
            <w:tcW w:type="dxa" w:w="1344"/>
            <w:shd w:val="clear" w:color="auto" w:fill="ffffff"/>
          </w:tcPr>
          <w:p/>
        </w:tc>
        <w:tc>
          <w:tcPr>
            <w:tcW w:type="dxa" w:w="1344"/>
            <w:shd w:val="clear" w:color="auto" w:fill="ffffff"/>
          </w:tcPr>
          <w:p/>
        </w:tc>
        <w:tc>
          <w:tcPr>
            <w:tcW w:type="dxa" w:w="1344"/>
            <w:shd w:val="clear" w:color="auto" w:fill="ffffff"/>
          </w:tcPr>
          <w:p/>
        </w:tc>
        <w:tc>
          <w:tcPr>
            <w:tcW w:type="dxa" w:w="1344"/>
            <w:shd w:val="clear" w:color="auto" w:fill="2b6cb0"/>
          </w:tcPr>
          <w:p>
            <w:pPr>
              <w:jc w:val="center"/>
            </w:pPr>
            <w:r>
              <w:rPr>
                <w:color w:val="FFFFFF"/>
                <w:sz w:val="18"/>
              </w:rPr>
              <w:t>●</w:t>
            </w:r>
          </w:p>
        </w:tc>
      </w:tr>
      <w:tr>
        <w:tc>
          <w:tcPr>
            <w:tcW w:type="dxa" w:w="1344"/>
            <w:shd w:val="clear" w:color="auto" w:fill="f8fafc"/>
          </w:tcPr>
          <w:p>
            <w:r>
              <w:rPr>
                <w:sz w:val="17"/>
              </w:rPr>
              <w:t>Warehouse Structure (Option B)</w:t>
            </w:r>
          </w:p>
        </w:tc>
        <w:tc>
          <w:tcPr>
            <w:tcW w:type="dxa" w:w="1344"/>
            <w:shd w:val="clear" w:color="auto" w:fill="ffffff"/>
          </w:tcPr>
          <w:p/>
        </w:tc>
        <w:tc>
          <w:tcPr>
            <w:tcW w:type="dxa" w:w="1344"/>
            <w:shd w:val="clear" w:color="auto" w:fill="92400e"/>
          </w:tcPr>
          <w:p>
            <w:pPr>
              <w:jc w:val="center"/>
            </w:pPr>
            <w:r>
              <w:rPr>
                <w:color w:val="FFFFFF"/>
                <w:sz w:val="18"/>
              </w:rPr>
              <w:t>●</w:t>
            </w:r>
          </w:p>
        </w:tc>
        <w:tc>
          <w:tcPr>
            <w:tcW w:type="dxa" w:w="1344"/>
            <w:shd w:val="clear" w:color="auto" w:fill="92400e"/>
          </w:tcPr>
          <w:p>
            <w:pPr>
              <w:jc w:val="center"/>
            </w:pPr>
            <w:r>
              <w:rPr>
                <w:color w:val="FFFFFF"/>
                <w:sz w:val="18"/>
              </w:rPr>
              <w:t>●</w:t>
            </w:r>
          </w:p>
        </w:tc>
        <w:tc>
          <w:tcPr>
            <w:tcW w:type="dxa" w:w="1344"/>
            <w:shd w:val="clear" w:color="auto" w:fill="92400e"/>
          </w:tcPr>
          <w:p>
            <w:pPr>
              <w:jc w:val="center"/>
            </w:pPr>
            <w:r>
              <w:rPr>
                <w:color w:val="FFFFFF"/>
                <w:sz w:val="18"/>
              </w:rPr>
              <w:t>●</w:t>
            </w:r>
          </w:p>
        </w:tc>
        <w:tc>
          <w:tcPr>
            <w:tcW w:type="dxa" w:w="1344"/>
            <w:shd w:val="clear" w:color="auto" w:fill="92400e"/>
          </w:tcPr>
          <w:p>
            <w:pPr>
              <w:jc w:val="center"/>
            </w:pPr>
            <w:r>
              <w:rPr>
                <w:color w:val="FFFFFF"/>
                <w:sz w:val="18"/>
              </w:rPr>
              <w:t>●</w:t>
            </w:r>
          </w:p>
        </w:tc>
        <w:tc>
          <w:tcPr>
            <w:tcW w:type="dxa" w:w="1344"/>
            <w:shd w:val="clear" w:color="auto" w:fill="ffffff"/>
          </w:tcPr>
          <w:p/>
        </w:tc>
      </w:tr>
      <w:tr>
        <w:tc>
          <w:tcPr>
            <w:tcW w:type="dxa" w:w="1344"/>
            <w:shd w:val="clear" w:color="auto" w:fill="f8fafc"/>
          </w:tcPr>
          <w:p>
            <w:r>
              <w:rPr>
                <w:sz w:val="17"/>
              </w:rPr>
              <w:t>ON-SITE</w:t>
            </w:r>
          </w:p>
        </w:tc>
        <w:tc>
          <w:tcPr>
            <w:tcW w:type="dxa" w:w="1344"/>
            <w:shd w:val="clear" w:color="auto" w:fill="ffffff"/>
          </w:tcPr>
          <w:p/>
        </w:tc>
        <w:tc>
          <w:tcPr>
            <w:tcW w:type="dxa" w:w="1344"/>
            <w:shd w:val="clear" w:color="auto" w:fill="ffffff"/>
          </w:tcPr>
          <w:p/>
        </w:tc>
        <w:tc>
          <w:tcPr>
            <w:tcW w:type="dxa" w:w="1344"/>
            <w:shd w:val="clear" w:color="auto" w:fill="276e48"/>
          </w:tcPr>
          <w:p>
            <w:pPr>
              <w:jc w:val="center"/>
            </w:pPr>
            <w:r>
              <w:rPr>
                <w:color w:val="FFFFFF"/>
                <w:sz w:val="18"/>
              </w:rPr>
              <w:t>●</w:t>
            </w:r>
          </w:p>
        </w:tc>
        <w:tc>
          <w:tcPr>
            <w:tcW w:type="dxa" w:w="1344"/>
            <w:shd w:val="clear" w:color="auto" w:fill="276e48"/>
          </w:tcPr>
          <w:p>
            <w:pPr>
              <w:jc w:val="center"/>
            </w:pPr>
            <w:r>
              <w:rPr>
                <w:color w:val="FFFFFF"/>
                <w:sz w:val="18"/>
              </w:rPr>
              <w:t>●</w:t>
            </w:r>
          </w:p>
        </w:tc>
        <w:tc>
          <w:tcPr>
            <w:tcW w:type="dxa" w:w="1344"/>
            <w:shd w:val="clear" w:color="auto" w:fill="ffffff"/>
          </w:tcPr>
          <w:p/>
        </w:tc>
        <w:tc>
          <w:tcPr>
            <w:tcW w:type="dxa" w:w="1344"/>
            <w:shd w:val="clear" w:color="auto" w:fill="ffffff"/>
          </w:tcPr>
          <w:p/>
        </w:tc>
      </w:tr>
    </w:tbl>
    <w:p>
      <w:pPr>
        <w:spacing w:before="320" w:after="120"/>
      </w:pPr>
      <w:r>
        <w:rPr>
          <w:b/>
          <w:color w:val="1E3A5F"/>
          <w:sz w:val="34"/>
        </w:rPr>
        <w:t>6. Commercial Terms</w:t>
      </w:r>
    </w:p>
    <w:p>
      <w:pPr>
        <w:spacing w:before="200" w:after="80"/>
      </w:pPr>
      <w:r>
        <w:rPr>
          <w:b/>
          <w:color w:val="2B6CB0"/>
          <w:sz w:val="26"/>
        </w:rPr>
        <w:t>Rate Card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1e3a5f"/>
          </w:tcPr>
          <w:p>
            <w:r>
              <w:rPr>
                <w:b/>
                <w:color w:val="FFFFFF"/>
                <w:sz w:val="20"/>
              </w:rPr>
              <w:t>Item</w:t>
            </w:r>
          </w:p>
        </w:tc>
        <w:tc>
          <w:tcPr>
            <w:tcW w:type="dxa" w:w="3135"/>
            <w:shd w:val="clear" w:color="auto" w:fill="1e3a5f"/>
          </w:tcPr>
          <w:p>
            <w:r>
              <w:rPr>
                <w:b/>
                <w:color w:val="FFFFFF"/>
                <w:sz w:val="20"/>
              </w:rPr>
              <w:t>Rate</w:t>
            </w:r>
          </w:p>
        </w:tc>
        <w:tc>
          <w:tcPr>
            <w:tcW w:type="dxa" w:w="3135"/>
            <w:shd w:val="clear" w:color="auto" w:fill="1e3a5f"/>
          </w:tcPr>
          <w:p>
            <w:r>
              <w:rPr>
                <w:b/>
                <w:color w:val="FFFFFF"/>
                <w:sz w:val="20"/>
              </w:rPr>
              <w:t>Notes</w:t>
            </w:r>
          </w:p>
        </w:tc>
      </w:tr>
      <w:tr>
        <w:tc>
          <w:tcPr>
            <w:tcW w:type="dxa" w:w="3135"/>
            <w:shd w:val="clear" w:color="auto" w:fill="f0f4fa"/>
          </w:tcPr>
          <w:p>
            <w:r>
              <w:rPr>
                <w:sz w:val="20"/>
              </w:rPr>
              <w:t>Daily Rate (Remote)</w:t>
            </w:r>
          </w:p>
        </w:tc>
        <w:tc>
          <w:tcPr>
            <w:tcW w:type="dxa" w:w="3135"/>
            <w:shd w:val="clear" w:color="auto" w:fill="f0f4fa"/>
          </w:tcPr>
          <w:p>
            <w:r>
              <w:rPr>
                <w:b/>
                <w:sz w:val="20"/>
              </w:rPr>
              <w:t>USD 250 / day</w:t>
            </w:r>
          </w:p>
        </w:tc>
        <w:tc>
          <w:tcPr>
            <w:tcW w:type="dxa" w:w="3135"/>
            <w:shd w:val="clear" w:color="auto" w:fill="f0f4fa"/>
          </w:tcPr>
          <w:p>
            <w:r>
              <w:rPr>
                <w:sz w:val="19"/>
              </w:rPr>
              <w:t>Minimum 1 day</w:t>
            </w:r>
          </w:p>
        </w:tc>
      </w:tr>
      <w:tr>
        <w:tc>
          <w:tcPr>
            <w:tcW w:type="dxa" w:w="3135"/>
            <w:shd w:val="clear" w:color="auto" w:fill="ffffff"/>
          </w:tcPr>
          <w:p>
            <w:r>
              <w:rPr>
                <w:sz w:val="20"/>
              </w:rPr>
              <w:t>Monthly Rate (Full Month)</w:t>
            </w:r>
          </w:p>
        </w:tc>
        <w:tc>
          <w:tcPr>
            <w:tcW w:type="dxa" w:w="3135"/>
            <w:shd w:val="clear" w:color="auto" w:fill="ffffff"/>
          </w:tcPr>
          <w:p>
            <w:r>
              <w:rPr>
                <w:b/>
                <w:sz w:val="20"/>
              </w:rPr>
              <w:t>USD 7,500 / month</w:t>
            </w:r>
          </w:p>
        </w:tc>
        <w:tc>
          <w:tcPr>
            <w:tcW w:type="dxa" w:w="3135"/>
            <w:shd w:val="clear" w:color="auto" w:fill="ffffff"/>
          </w:tcPr>
          <w:p>
            <w:r>
              <w:rPr>
                <w:sz w:val="19"/>
              </w:rPr>
              <w:t>~30 working days</w:t>
            </w:r>
          </w:p>
        </w:tc>
      </w:tr>
      <w:tr>
        <w:tc>
          <w:tcPr>
            <w:tcW w:type="dxa" w:w="3135"/>
            <w:shd w:val="clear" w:color="auto" w:fill="f0f4fa"/>
          </w:tcPr>
          <w:p>
            <w:r>
              <w:rPr>
                <w:sz w:val="20"/>
              </w:rPr>
              <w:t>On-Site Daily Rate</w:t>
            </w:r>
          </w:p>
        </w:tc>
        <w:tc>
          <w:tcPr>
            <w:tcW w:type="dxa" w:w="3135"/>
            <w:shd w:val="clear" w:color="auto" w:fill="f0f4fa"/>
          </w:tcPr>
          <w:p>
            <w:r>
              <w:rPr>
                <w:b/>
                <w:sz w:val="20"/>
              </w:rPr>
              <w:t>USD 250 / day + T&amp;A actuals</w:t>
            </w:r>
          </w:p>
        </w:tc>
        <w:tc>
          <w:tcPr>
            <w:tcW w:type="dxa" w:w="3135"/>
            <w:shd w:val="clear" w:color="auto" w:fill="f0f4fa"/>
          </w:tcPr>
          <w:p>
            <w:r>
              <w:rPr>
                <w:sz w:val="19"/>
              </w:rPr>
              <w:t>Travel &amp; accommodation billed at actuals</w:t>
            </w:r>
          </w:p>
        </w:tc>
      </w:tr>
    </w:tbl>
    <w:p>
      <w:pPr>
        <w:spacing w:before="200" w:after="80"/>
      </w:pPr>
      <w:r>
        <w:rPr>
          <w:b/>
          <w:color w:val="2B6CB0"/>
          <w:sz w:val="26"/>
        </w:rPr>
        <w:t>Investment Summary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f0f4fa"/>
          </w:tcPr>
          <w:p>
            <w:r>
              <w:rPr>
                <w:sz w:val="20"/>
              </w:rPr>
              <w:t>Remote Development (4 months × $7,500)</w:t>
            </w:r>
          </w:p>
        </w:tc>
        <w:tc>
          <w:tcPr>
            <w:tcW w:type="dxa" w:w="4703"/>
            <w:shd w:val="clear" w:color="auto" w:fill="f0f4fa"/>
          </w:tcPr>
          <w:p>
            <w:pPr>
              <w:jc w:val="right"/>
            </w:pPr>
            <w:r>
              <w:rPr>
                <w:b/>
                <w:sz w:val="20"/>
              </w:rPr>
              <w:t>$30,000</w:t>
            </w:r>
          </w:p>
        </w:tc>
      </w:tr>
      <w:tr>
        <w:tc>
          <w:tcPr>
            <w:tcW w:type="dxa" w:w="4703"/>
            <w:shd w:val="clear" w:color="auto" w:fill="ffffff"/>
          </w:tcPr>
          <w:p>
            <w:r>
              <w:rPr>
                <w:sz w:val="20"/>
              </w:rPr>
              <w:t>On-Site Implementation (2 months × $7,500)</w:t>
            </w:r>
          </w:p>
        </w:tc>
        <w:tc>
          <w:tcPr>
            <w:tcW w:type="dxa" w:w="4703"/>
            <w:shd w:val="clear" w:color="auto" w:fill="ffffff"/>
          </w:tcPr>
          <w:p>
            <w:pPr>
              <w:jc w:val="right"/>
            </w:pPr>
            <w:r>
              <w:rPr>
                <w:b/>
                <w:sz w:val="20"/>
              </w:rPr>
              <w:t>$15,000</w:t>
            </w:r>
          </w:p>
        </w:tc>
      </w:tr>
      <w:tr>
        <w:tc>
          <w:tcPr>
            <w:tcW w:type="dxa" w:w="4703"/>
            <w:shd w:val="clear" w:color="auto" w:fill="f0f4fa"/>
          </w:tcPr>
          <w:p>
            <w:r>
              <w:rPr>
                <w:sz w:val="20"/>
              </w:rPr>
              <w:t>Travel &amp; Accommodation (actuals)</w:t>
            </w:r>
          </w:p>
        </w:tc>
        <w:tc>
          <w:tcPr>
            <w:tcW w:type="dxa" w:w="4703"/>
            <w:shd w:val="clear" w:color="auto" w:fill="f0f4fa"/>
          </w:tcPr>
          <w:p>
            <w:pPr>
              <w:jc w:val="right"/>
            </w:pPr>
            <w:r>
              <w:rPr>
                <w:b/>
                <w:sz w:val="20"/>
              </w:rPr>
              <w:t>TBD</w:t>
            </w:r>
          </w:p>
        </w:tc>
      </w:tr>
      <w:tr>
        <w:tc>
          <w:tcPr>
            <w:tcW w:type="dxa" w:w="4703"/>
            <w:shd w:val="clear" w:color="auto" w:fill="e8f1fb"/>
          </w:tcPr>
          <w:p>
            <w:r>
              <w:rPr>
                <w:b/>
                <w:sz w:val="20"/>
              </w:rPr>
              <w:t>Sub-Total (excluding T&amp;A)</w:t>
            </w:r>
          </w:p>
        </w:tc>
        <w:tc>
          <w:tcPr>
            <w:tcW w:type="dxa" w:w="4703"/>
            <w:shd w:val="clear" w:color="auto" w:fill="e8f1fb"/>
          </w:tcPr>
          <w:p>
            <w:pPr>
              <w:jc w:val="right"/>
            </w:pPr>
            <w:r>
              <w:rPr>
                <w:b/>
                <w:sz w:val="20"/>
              </w:rPr>
              <w:t>$45,000</w:t>
            </w:r>
          </w:p>
        </w:tc>
      </w:tr>
      <w:tr>
        <w:tc>
          <w:tcPr>
            <w:tcW w:type="dxa" w:w="4703"/>
            <w:shd w:val="clear" w:color="auto" w:fill="1e3a5f"/>
          </w:tcPr>
          <w:p>
            <w:r>
              <w:rPr>
                <w:b/>
                <w:color w:val="FFFFFF"/>
                <w:sz w:val="20"/>
              </w:rPr>
              <w:t>TOTAL PROJECT BUDGET</w:t>
            </w:r>
          </w:p>
        </w:tc>
        <w:tc>
          <w:tcPr>
            <w:tcW w:type="dxa" w:w="4703"/>
            <w:shd w:val="clear" w:color="auto" w:fill="1e3a5f"/>
          </w:tcPr>
          <w:p>
            <w:pPr>
              <w:jc w:val="right"/>
            </w:pPr>
            <w:r>
              <w:rPr>
                <w:b/>
                <w:color w:val="FFFFFF"/>
                <w:sz w:val="20"/>
              </w:rPr>
              <w:t>$45,000 + T&amp;A</w:t>
            </w:r>
          </w:p>
        </w:tc>
      </w:tr>
    </w:tbl>
    <w:p>
      <w:pPr>
        <w:spacing w:before="320" w:after="120"/>
      </w:pPr>
      <w:r>
        <w:rPr>
          <w:b/>
          <w:color w:val="1E3A5F"/>
          <w:sz w:val="34"/>
        </w:rPr>
        <w:t>7. Assumptions &amp; Exclusions</w:t>
      </w:r>
    </w:p>
    <w:p>
      <w:pPr>
        <w:spacing w:before="200" w:after="80"/>
      </w:pPr>
      <w:r>
        <w:rPr>
          <w:b/>
          <w:color w:val="2B6CB0"/>
          <w:sz w:val="26"/>
        </w:rPr>
        <w:t>Assumptions</w:t>
      </w:r>
    </w:p>
    <w:p>
      <w:pPr>
        <w:pStyle w:val="ListBullet"/>
        <w:spacing w:after="60"/>
        <w:ind w:left="432"/>
      </w:pPr>
      <w:r>
        <w:rPr>
          <w:b w:val="0"/>
          <w:sz w:val="21"/>
        </w:rPr>
        <w:t>Client provides access to Oracle Fusion ERP (non-production for dev, production for go-live).</w:t>
      </w:r>
    </w:p>
    <w:p>
      <w:pPr>
        <w:pStyle w:val="ListBullet"/>
        <w:spacing w:after="60"/>
        <w:ind w:left="432"/>
      </w:pPr>
      <w:r>
        <w:rPr>
          <w:b w:val="0"/>
          <w:sz w:val="21"/>
        </w:rPr>
        <w:t>Oracle APEX REST services and BIP reports available and configured.</w:t>
      </w:r>
    </w:p>
    <w:p>
      <w:pPr>
        <w:pStyle w:val="ListBullet"/>
        <w:spacing w:after="60"/>
        <w:ind w:left="432"/>
      </w:pPr>
      <w:r>
        <w:rPr>
          <w:b w:val="0"/>
          <w:sz w:val="21"/>
        </w:rPr>
        <w:t>Windows 10/11 workstations available for the WMS desktop application.</w:t>
      </w:r>
    </w:p>
    <w:p>
      <w:pPr>
        <w:pStyle w:val="ListBullet"/>
        <w:spacing w:after="60"/>
        <w:ind w:left="432"/>
      </w:pPr>
      <w:r>
        <w:rPr>
          <w:b w:val="0"/>
          <w:sz w:val="21"/>
        </w:rPr>
        <w:t>Dedicated contact available for requirements clarification within 1 business day.</w:t>
      </w:r>
    </w:p>
    <w:p>
      <w:pPr>
        <w:pStyle w:val="ListBullet"/>
        <w:spacing w:after="60"/>
        <w:ind w:left="432"/>
      </w:pPr>
      <w:r>
        <w:rPr>
          <w:b w:val="0"/>
          <w:sz w:val="21"/>
        </w:rPr>
        <w:t>For Warehouse Structure: physical warehouse survey (zones, aisles, bays, bins) completed by client team before Step 1 kickoff.</w:t>
      </w:r>
    </w:p>
    <w:p>
      <w:pPr>
        <w:pStyle w:val="ListBullet"/>
        <w:spacing w:after="60"/>
        <w:ind w:left="432"/>
      </w:pPr>
      <w:r>
        <w:rPr>
          <w:b w:val="0"/>
          <w:sz w:val="21"/>
        </w:rPr>
        <w:t>Existing WMS codebase (javeedin/graysWMSwebviewnew) continues as the base.</w:t>
      </w:r>
    </w:p>
    <w:p>
      <w:pPr>
        <w:spacing w:before="200" w:after="80"/>
      </w:pPr>
      <w:r>
        <w:rPr>
          <w:b/>
          <w:color w:val="2B6CB0"/>
          <w:sz w:val="26"/>
        </w:rPr>
        <w:t>Exclusions</w:t>
      </w:r>
    </w:p>
    <w:p>
      <w:pPr>
        <w:pStyle w:val="ListBullet"/>
        <w:spacing w:after="60"/>
        <w:ind w:left="432"/>
      </w:pPr>
      <w:r>
        <w:rPr>
          <w:b w:val="0"/>
          <w:sz w:val="21"/>
        </w:rPr>
        <w:t>Oracle Fusion ERP licencing, configuration, or administration.</w:t>
      </w:r>
    </w:p>
    <w:p>
      <w:pPr>
        <w:pStyle w:val="ListBullet"/>
        <w:spacing w:after="60"/>
        <w:ind w:left="432"/>
      </w:pPr>
      <w:r>
        <w:rPr>
          <w:b w:val="0"/>
          <w:sz w:val="21"/>
        </w:rPr>
        <w:t>Infrastructure, hosting, or cloud services.</w:t>
      </w:r>
    </w:p>
    <w:p>
      <w:pPr>
        <w:pStyle w:val="ListBullet"/>
        <w:spacing w:after="60"/>
        <w:ind w:left="432"/>
      </w:pPr>
      <w:r>
        <w:rPr>
          <w:b w:val="0"/>
          <w:sz w:val="21"/>
        </w:rPr>
        <w:t>Third-party integrations not listed in this proposal.</w:t>
      </w:r>
    </w:p>
    <w:p>
      <w:pPr>
        <w:pStyle w:val="ListBullet"/>
        <w:spacing w:after="60"/>
        <w:ind w:left="432"/>
      </w:pPr>
      <w:r>
        <w:rPr>
          <w:b w:val="0"/>
          <w:sz w:val="21"/>
        </w:rPr>
        <w:t>Data migration from legacy systems (quoted separately if required).</w:t>
      </w:r>
    </w:p>
    <w:p>
      <w:pPr>
        <w:pStyle w:val="ListBullet"/>
        <w:spacing w:after="60"/>
        <w:ind w:left="432"/>
      </w:pPr>
      <w:r>
        <w:rPr>
          <w:b w:val="0"/>
          <w:sz w:val="21"/>
        </w:rPr>
        <w:t>Option A (Fusion Locators) — this proposal covers Option B only; Option A can be quoted separately for Phase 3.</w:t>
      </w:r>
    </w:p>
    <w:p>
      <w:pPr>
        <w:spacing w:before="320" w:after="120"/>
      </w:pPr>
      <w:r>
        <w:rPr>
          <w:b/>
          <w:color w:val="1E3A5F"/>
          <w:sz w:val="34"/>
        </w:rPr>
        <w:t>8. Next Steps</w:t>
      </w:r>
    </w:p>
    <w:p>
      <w:pPr>
        <w:pStyle w:val="ListBullet"/>
        <w:spacing w:after="60"/>
        <w:ind w:left="432"/>
      </w:pPr>
      <w:r>
        <w:rPr>
          <w:b w:val="0"/>
          <w:sz w:val="21"/>
        </w:rPr>
        <w:t>Step 1: Approve this proposal and confirm start date.</w:t>
      </w:r>
    </w:p>
    <w:p>
      <w:pPr>
        <w:pStyle w:val="ListBullet"/>
        <w:spacing w:after="60"/>
        <w:ind w:left="432"/>
      </w:pPr>
      <w:r>
        <w:rPr>
          <w:b w:val="0"/>
          <w:sz w:val="21"/>
        </w:rPr>
        <w:t>Step 2: Architecture decision: confirm Option B (WMS-Managed Locators) for Warehouse Structure.</w:t>
      </w:r>
    </w:p>
    <w:p>
      <w:pPr>
        <w:pStyle w:val="ListBullet"/>
        <w:spacing w:after="60"/>
        <w:ind w:left="432"/>
      </w:pPr>
      <w:r>
        <w:rPr>
          <w:b w:val="0"/>
          <w:sz w:val="21"/>
        </w:rPr>
        <w:t>Step 3: Warehouse survey: Operations team to walk and document zone/aisle/bin naming convention.</w:t>
      </w:r>
    </w:p>
    <w:p>
      <w:pPr>
        <w:pStyle w:val="ListBullet"/>
        <w:spacing w:after="60"/>
        <w:ind w:left="432"/>
      </w:pPr>
      <w:r>
        <w:rPr>
          <w:b w:val="0"/>
          <w:sz w:val="21"/>
        </w:rPr>
        <w:t>Step 4: Kick-off meeting (remote) — agree module priority order.</w:t>
      </w:r>
    </w:p>
    <w:p>
      <w:pPr>
        <w:pStyle w:val="ListBullet"/>
        <w:spacing w:after="60"/>
        <w:ind w:left="432"/>
      </w:pPr>
      <w:r>
        <w:rPr>
          <w:b w:val="0"/>
          <w:sz w:val="21"/>
        </w:rPr>
        <w:t>Step 5: Schedule on-site dates for Months 3 &amp; 4.</w:t>
      </w:r>
    </w:p>
    <w:p>
      <w:pPr>
        <w:pStyle w:val="ListBullet"/>
        <w:spacing w:after="60"/>
        <w:ind w:left="432"/>
      </w:pPr>
      <w:r>
        <w:rPr>
          <w:b w:val="0"/>
          <w:sz w:val="21"/>
        </w:rPr>
        <w:t>Step 6: Development begins — Phase 1 completion items delivered within 4 weeks of kick-off.</w:t>
      </w:r>
    </w:p>
    <w:p>
      <w:pPr>
        <w:spacing w:before="600"/>
        <w:jc w:val="center"/>
      </w:pPr>
      <w:r>
        <w:rPr>
          <w:i/>
          <w:color w:val="64748B"/>
          <w:sz w:val="17"/>
        </w:rPr>
        <w:t>This proposal is valid for 30 days from the date of issue.  |  Prepared by: WMS Development Team  |  June 2026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