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 w:after="80"/>
        <w:jc w:val="center"/>
      </w:pPr>
      <w:r>
        <w:rPr>
          <w:b/>
          <w:color w:val="1E3A5F"/>
          <w:sz w:val="44"/>
        </w:rPr>
        <w:t>GRAY'S WAREHOUSE MANAGEMENT SYSTEM</w:t>
      </w:r>
    </w:p>
    <w:p>
      <w:pPr>
        <w:spacing w:after="80"/>
        <w:jc w:val="center"/>
      </w:pPr>
      <w:r>
        <w:rPr>
          <w:b/>
          <w:color w:val="2B6CB0"/>
          <w:sz w:val="32"/>
        </w:rPr>
        <w:t>Full WMS Implementation Proposal</w:t>
      </w:r>
    </w:p>
    <w:p>
      <w:pPr>
        <w:spacing w:after="1000"/>
        <w:jc w:val="center"/>
      </w:pPr>
      <w:r>
        <w:rPr>
          <w:i/>
          <w:color w:val="64748B"/>
          <w:sz w:val="26"/>
        </w:rPr>
        <w:t>Phase 2 Complete — From Current 40% to 100%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Prepared For</w:t>
            </w:r>
          </w:p>
        </w:tc>
        <w:tc>
          <w:tcPr>
            <w:tcW w:type="dxa" w:w="4703"/>
            <w:shd w:val="clear" w:color="auto" w:fill="f0f4fa"/>
          </w:tcPr>
          <w:p>
            <w:r>
              <w:rPr>
                <w:sz w:val="20"/>
              </w:rPr>
              <w:t>Gray's Distribution</w:t>
            </w:r>
          </w:p>
        </w:tc>
      </w:tr>
      <w:tr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4703"/>
            <w:shd w:val="clear" w:color="auto" w:fill="f0f4fa"/>
          </w:tcPr>
          <w:p>
            <w:r>
              <w:rPr>
                <w:sz w:val="20"/>
              </w:rPr>
              <w:t>June 2026</w:t>
            </w:r>
          </w:p>
        </w:tc>
      </w:tr>
      <w:tr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Engagement Type</w:t>
            </w:r>
          </w:p>
        </w:tc>
        <w:tc>
          <w:tcPr>
            <w:tcW w:type="dxa" w:w="4703"/>
            <w:shd w:val="clear" w:color="auto" w:fill="f0f4fa"/>
          </w:tcPr>
          <w:p>
            <w:r>
              <w:rPr>
                <w:sz w:val="20"/>
              </w:rPr>
              <w:t>Professional Services — Monthly Rate</w:t>
            </w:r>
          </w:p>
        </w:tc>
      </w:tr>
      <w:tr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703"/>
            <w:shd w:val="clear" w:color="auto" w:fill="f0f4fa"/>
          </w:tcPr>
          <w:p>
            <w:r>
              <w:rPr>
                <w:sz w:val="20"/>
              </w:rPr>
              <w:t>1.0</w:t>
            </w:r>
          </w:p>
        </w:tc>
      </w:tr>
    </w:tbl>
    <w:p>
      <w:r>
        <w:br w:type="page"/>
      </w:r>
    </w:p>
    <w:p>
      <w:pPr>
        <w:spacing w:before="320" w:after="120"/>
      </w:pPr>
      <w:r>
        <w:rPr>
          <w:b/>
          <w:color w:val="1E3A5F"/>
          <w:sz w:val="34"/>
        </w:rPr>
        <w:t>1. Executive Summary</w:t>
      </w:r>
    </w:p>
    <w:p>
      <w:pPr>
        <w:spacing w:after="80"/>
      </w:pPr>
      <w:r>
        <w:rPr>
          <w:b w:val="0"/>
          <w:sz w:val="21"/>
        </w:rPr>
        <w:t>Gray's WMS is currently live with Phase 1 — core warehouse, shipping, printing, and Oracle Fusion integration — achieving 75% completion of Phase 1 features and 40% overall. This proposal covers the remaining work to bring the system to full maturity: completing Phase 1 in-progress items and delivering all Phase 2 modules (warehouse structure, receiving, QC, put-away, inventory, picking, dispatch, transport, returns, KPIs, labour management, and mobile devices).</w:t>
      </w:r>
    </w:p>
    <w:p>
      <w:pPr>
        <w:spacing w:after="80"/>
      </w:pPr>
      <w:r>
        <w:rPr>
          <w:b w:val="0"/>
          <w:sz w:val="21"/>
        </w:rPr>
        <w:t>Modules are delivered individually as they complete, so the business gains value continuously rather than waiting for the full six-month project to finish. Two months of on-site presence are included for go-live support, user training, and data migration.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b6cb0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6 Months</w:t>
              <w:br/>
            </w:r>
            <w:r>
              <w:rPr>
                <w:color w:val="BED8F8"/>
                <w:sz w:val="18"/>
              </w:rPr>
              <w:t>Total Project</w:t>
            </w:r>
          </w:p>
        </w:tc>
        <w:tc>
          <w:tcPr>
            <w:tcW w:type="dxa" w:w="2351"/>
            <w:shd w:val="clear" w:color="auto" w:fill="2b6cb0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 Months</w:t>
              <w:br/>
            </w:r>
            <w:r>
              <w:rPr>
                <w:color w:val="BED8F8"/>
                <w:sz w:val="18"/>
              </w:rPr>
              <w:t>On-Site Support</w:t>
            </w:r>
          </w:p>
        </w:tc>
        <w:tc>
          <w:tcPr>
            <w:tcW w:type="dxa" w:w="2351"/>
            <w:shd w:val="clear" w:color="auto" w:fill="2b6cb0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$250/Day</w:t>
              <w:br/>
            </w:r>
            <w:r>
              <w:rPr>
                <w:color w:val="BED8F8"/>
                <w:sz w:val="18"/>
              </w:rPr>
              <w:t>Daily Rate</w:t>
            </w:r>
          </w:p>
        </w:tc>
        <w:tc>
          <w:tcPr>
            <w:tcW w:type="dxa" w:w="2351"/>
            <w:shd w:val="clear" w:color="auto" w:fill="2b6cb0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$7,500/Mo</w:t>
              <w:br/>
            </w:r>
            <w:r>
              <w:rPr>
                <w:color w:val="BED8F8"/>
                <w:sz w:val="18"/>
              </w:rPr>
              <w:t>Monthly Rate</w:t>
            </w:r>
          </w:p>
        </w:tc>
      </w:tr>
    </w:tbl>
    <w:p>
      <w:pPr>
        <w:spacing w:before="320" w:after="120"/>
      </w:pPr>
      <w:r>
        <w:rPr>
          <w:b/>
          <w:color w:val="1E3A5F"/>
          <w:sz w:val="34"/>
        </w:rPr>
        <w:t>2. Current System Status</w:t>
      </w:r>
    </w:p>
    <w:p>
      <w:pPr>
        <w:spacing w:after="80"/>
      </w:pPr>
      <w:r>
        <w:rPr>
          <w:b w:val="0"/>
          <w:sz w:val="21"/>
        </w:rPr>
        <w:t>The current WMS is a C#/.NET 8.0 Windows Forms application with a WebView2 frontend, communicating with Oracle APEX REST APIs and Oracle Fusion via BIP SOAP.</w:t>
      </w:r>
    </w:p>
    <w:p>
      <w:pPr>
        <w:spacing w:before="200" w:after="80"/>
      </w:pPr>
      <w:r>
        <w:rPr>
          <w:b/>
          <w:color w:val="2B6CB0"/>
          <w:sz w:val="26"/>
        </w:rPr>
        <w:t>Phase 1 — Completed Features (19/25)</w:t>
      </w:r>
    </w:p>
    <w:p>
      <w:pPr>
        <w:pStyle w:val="ListBullet"/>
        <w:spacing w:after="60"/>
        <w:ind w:left="432"/>
      </w:pPr>
      <w:r>
        <w:rPr>
          <w:sz w:val="21"/>
        </w:rPr>
        <w:t>Trip Management with multi-tab interface</w:t>
      </w:r>
    </w:p>
    <w:p>
      <w:pPr>
        <w:pStyle w:val="ListBullet"/>
        <w:spacing w:after="60"/>
        <w:ind w:left="432"/>
      </w:pPr>
      <w:r>
        <w:rPr>
          <w:sz w:val="21"/>
        </w:rPr>
        <w:t>Vehicle and Picker Management</w:t>
      </w:r>
    </w:p>
    <w:p>
      <w:pPr>
        <w:pStyle w:val="ListBullet"/>
        <w:spacing w:after="60"/>
        <w:ind w:left="432"/>
      </w:pPr>
      <w:r>
        <w:rPr>
          <w:sz w:val="21"/>
        </w:rPr>
        <w:t>Oracle Fusion Integration (REST + BIP SOAP)</w:t>
      </w:r>
    </w:p>
    <w:p>
      <w:pPr>
        <w:pStyle w:val="ListBullet"/>
        <w:spacing w:after="60"/>
        <w:ind w:left="432"/>
      </w:pPr>
      <w:r>
        <w:rPr>
          <w:sz w:val="21"/>
        </w:rPr>
        <w:t>Pick Release and Lot Allocation</w:t>
      </w:r>
    </w:p>
    <w:p>
      <w:pPr>
        <w:pStyle w:val="ListBullet"/>
        <w:spacing w:after="60"/>
        <w:ind w:left="432"/>
      </w:pPr>
      <w:r>
        <w:rPr>
          <w:sz w:val="21"/>
        </w:rPr>
        <w:t>Print Management System (Printer config, job queue, monitoring)</w:t>
      </w:r>
    </w:p>
    <w:p>
      <w:pPr>
        <w:pStyle w:val="ListBullet"/>
        <w:spacing w:after="60"/>
        <w:ind w:left="432"/>
      </w:pPr>
      <w:r>
        <w:rPr>
          <w:sz w:val="21"/>
        </w:rPr>
        <w:t>Real-time fetching of pending Sales Orders and Store Requests</w:t>
      </w:r>
    </w:p>
    <w:p>
      <w:pPr>
        <w:pStyle w:val="ListBullet"/>
        <w:spacing w:after="60"/>
        <w:ind w:left="432"/>
      </w:pPr>
      <w:r>
        <w:rPr>
          <w:sz w:val="21"/>
        </w:rPr>
        <w:t>Assignment of Pickers, Lorries, Priorities, and Loading Bay</w:t>
      </w:r>
    </w:p>
    <w:p>
      <w:pPr>
        <w:pStyle w:val="ListBullet"/>
        <w:spacing w:after="60"/>
        <w:ind w:left="432"/>
      </w:pPr>
      <w:r>
        <w:rPr>
          <w:sz w:val="21"/>
        </w:rPr>
        <w:t>Picking and Putaway via Mobile Applications</w:t>
      </w:r>
    </w:p>
    <w:p>
      <w:pPr>
        <w:pStyle w:val="ListBullet"/>
        <w:spacing w:after="60"/>
        <w:ind w:left="432"/>
      </w:pPr>
      <w:r>
        <w:rPr>
          <w:sz w:val="21"/>
        </w:rPr>
        <w:t>Ship Confirmation of Orders</w:t>
      </w:r>
    </w:p>
    <w:p>
      <w:pPr>
        <w:pStyle w:val="ListBullet"/>
        <w:spacing w:after="60"/>
        <w:ind w:left="432"/>
      </w:pPr>
      <w:r>
        <w:rPr>
          <w:sz w:val="21"/>
        </w:rPr>
        <w:t>Loading Verification via Mobile Applications</w:t>
      </w:r>
    </w:p>
    <w:p>
      <w:pPr>
        <w:pStyle w:val="ListBullet"/>
        <w:spacing w:after="60"/>
        <w:ind w:left="432"/>
      </w:pPr>
      <w:r>
        <w:rPr>
          <w:sz w:val="21"/>
        </w:rPr>
        <w:t>Real-time update of Picking/Shipping status into Oracle Fusion</w:t>
      </w:r>
    </w:p>
    <w:p>
      <w:pPr>
        <w:pStyle w:val="ListBullet"/>
        <w:spacing w:after="60"/>
        <w:ind w:left="432"/>
      </w:pPr>
      <w:r>
        <w:rPr>
          <w:sz w:val="21"/>
        </w:rPr>
        <w:t>Printing Orders (Shipment Agent with line-count validation)</w:t>
      </w:r>
    </w:p>
    <w:p>
      <w:pPr>
        <w:pStyle w:val="ListBullet"/>
        <w:spacing w:after="60"/>
        <w:ind w:left="432"/>
      </w:pPr>
      <w:r>
        <w:rPr>
          <w:sz w:val="21"/>
        </w:rPr>
        <w:t>Vehicle Analytics Dashboard and KPI Cards</w:t>
      </w:r>
    </w:p>
    <w:p>
      <w:pPr>
        <w:pStyle w:val="ListBullet"/>
        <w:spacing w:after="60"/>
        <w:ind w:left="432"/>
      </w:pPr>
      <w:r>
        <w:rPr>
          <w:sz w:val="21"/>
        </w:rPr>
        <w:t>Mobile App for Pickers with Barcode/QR scanning</w:t>
      </w:r>
    </w:p>
    <w:p>
      <w:pPr>
        <w:pStyle w:val="ListBullet"/>
        <w:spacing w:after="60"/>
        <w:ind w:left="432"/>
      </w:pPr>
      <w:r>
        <w:rPr>
          <w:sz w:val="21"/>
        </w:rPr>
        <w:t>Role-based permissions</w:t>
      </w:r>
    </w:p>
    <w:p>
      <w:pPr>
        <w:pStyle w:val="ListBullet"/>
        <w:spacing w:after="60"/>
        <w:ind w:left="432"/>
      </w:pPr>
      <w:r>
        <w:rPr>
          <w:sz w:val="21"/>
        </w:rPr>
        <w:t>Real-time stock levels by warehouse, location, product, lot, expiry</w:t>
      </w:r>
    </w:p>
    <w:p>
      <w:pPr>
        <w:pStyle w:val="ListBullet"/>
        <w:spacing w:after="60"/>
        <w:ind w:left="432"/>
      </w:pPr>
      <w:r>
        <w:rPr>
          <w:sz w:val="21"/>
        </w:rPr>
        <w:t>Lot traceability (FEFO), full movement history, cycle counting</w:t>
      </w:r>
    </w:p>
    <w:p>
      <w:pPr>
        <w:pStyle w:val="ListBullet"/>
        <w:spacing w:after="60"/>
        <w:ind w:left="432"/>
      </w:pPr>
      <w:r>
        <w:rPr>
          <w:sz w:val="21"/>
        </w:rPr>
        <w:t>Oracle ERP integration for financials &amp; order management</w:t>
      </w:r>
    </w:p>
    <w:p>
      <w:pPr>
        <w:pStyle w:val="ListBullet"/>
        <w:spacing w:after="60"/>
        <w:ind w:left="432"/>
      </w:pPr>
      <w:r>
        <w:rPr>
          <w:sz w:val="21"/>
        </w:rPr>
        <w:t>Auto shipping documents (invoices, STV, delivery notes)</w:t>
      </w:r>
    </w:p>
    <w:p>
      <w:pPr>
        <w:spacing w:before="200" w:after="80"/>
      </w:pPr>
      <w:r>
        <w:rPr>
          <w:b/>
          <w:color w:val="2B6CB0"/>
          <w:sz w:val="26"/>
        </w:rPr>
        <w:t>Phase 1 — Remaining (6 items — In Progress / Planned)</w:t>
      </w:r>
    </w:p>
    <w:p>
      <w:pPr>
        <w:pStyle w:val="ListBullet"/>
        <w:spacing w:after="60"/>
        <w:ind w:left="432"/>
      </w:pPr>
      <w:r>
        <w:rPr>
          <w:sz w:val="21"/>
        </w:rPr>
        <w:t>Advanced Reporting Module (In Progress)</w:t>
      </w:r>
    </w:p>
    <w:p>
      <w:pPr>
        <w:pStyle w:val="ListBullet"/>
        <w:spacing w:after="60"/>
        <w:ind w:left="432"/>
      </w:pPr>
      <w:r>
        <w:rPr>
          <w:sz w:val="21"/>
        </w:rPr>
        <w:t>Custom Dashboard Builder (Planned)</w:t>
      </w:r>
    </w:p>
    <w:p>
      <w:pPr>
        <w:pStyle w:val="ListBullet"/>
        <w:spacing w:after="60"/>
        <w:ind w:left="432"/>
      </w:pPr>
      <w:r>
        <w:rPr>
          <w:sz w:val="21"/>
        </w:rPr>
        <w:t>Performance Metrics Tracking (Planned)</w:t>
      </w:r>
    </w:p>
    <w:p>
      <w:pPr>
        <w:pStyle w:val="ListBullet"/>
        <w:spacing w:after="60"/>
        <w:ind w:left="432"/>
      </w:pPr>
      <w:r>
        <w:rPr>
          <w:sz w:val="21"/>
        </w:rPr>
        <w:t>Customer Delivery Notifications (Planned)</w:t>
      </w:r>
    </w:p>
    <w:p>
      <w:pPr>
        <w:pStyle w:val="ListBullet"/>
        <w:spacing w:after="60"/>
        <w:ind w:left="432"/>
      </w:pPr>
      <w:r>
        <w:rPr>
          <w:sz w:val="21"/>
        </w:rPr>
        <w:t>Third-party Carrier Integration (Planned)</w:t>
      </w:r>
    </w:p>
    <w:p>
      <w:pPr>
        <w:spacing w:before="320" w:after="120"/>
      </w:pPr>
      <w:r>
        <w:rPr>
          <w:b/>
          <w:color w:val="1E3A5F"/>
          <w:sz w:val="34"/>
        </w:rPr>
        <w:t>3. Phase 2 — Full WMS Requirements (Proposed)</w:t>
      </w:r>
    </w:p>
    <w:p>
      <w:pPr>
        <w:spacing w:after="80"/>
      </w:pPr>
      <w:r>
        <w:rPr>
          <w:b w:val="0"/>
          <w:sz w:val="21"/>
        </w:rPr>
        <w:t>The following modules form the complete Phase 2 scope, aligned directly with the WMS roadmap defined in the application's help page. Each module is self-contained and will be released upon passing user acceptance testing.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Key Features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r>
              <w:rPr>
                <w:b/>
                <w:sz w:val="18"/>
              </w:rPr>
              <w:t>AI &amp; Optimization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sz w:val="17"/>
              </w:rPr>
              <w:t>AI Readiness framework, Intelligent Picker Assignment using AI, Automated Exception Handling...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color w:val="92400E"/>
                <w:sz w:val="18"/>
              </w:rPr>
              <w:t>Planned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/>
                <w:sz w:val="18"/>
              </w:rPr>
              <w:t>Warehouse Structure &amp; Locations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7"/>
              </w:rPr>
              <w:t>Manage multiple warehouses: Bonded, Duty-Paid, Pharmacy, Cosmetics, RAWS, Triage, Track stock separately for bonded vs. duty-paid status, Support storage types: drive-in racking, selective, double-deep, floor, cold storage...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92400E"/>
                <w:sz w:val="18"/>
              </w:rPr>
              <w:t>Planned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r>
              <w:rPr>
                <w:b/>
                <w:sz w:val="18"/>
              </w:rPr>
              <w:t>Receiving Goods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sz w:val="17"/>
              </w:rPr>
              <w:t>Scan barcodes/QR codes at receipt (pallets, boxes, units), Auto-check received quantities against purchase orders, Handle partial and over-receipts...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color w:val="92400E"/>
                <w:sz w:val="18"/>
              </w:rPr>
              <w:t>Planned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/>
                <w:sz w:val="18"/>
              </w:rPr>
              <w:t>Quality Control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7"/>
              </w:rPr>
              <w:t>Set QC rules by product, supplier, or shipment, Flag items as Non-Conform or On Hold on inspection failure, Digital inspection checklists...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92400E"/>
                <w:sz w:val="18"/>
              </w:rPr>
              <w:t>Planned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r>
              <w:rPr>
                <w:b/>
                <w:sz w:val="18"/>
              </w:rPr>
              <w:t>Put-Away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sz w:val="17"/>
              </w:rPr>
              <w:t>WMS-determined optimal location based on predefined rules, FIFO / FEFO / LIFO / ABC / zone-based storage strategies, Size, weight, hazardous materials &amp; temperature rules...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color w:val="92400E"/>
                <w:sz w:val="18"/>
              </w:rPr>
              <w:t>Planned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/>
                <w:sz w:val="18"/>
              </w:rPr>
              <w:t>Inventory Management (Enhancements)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7"/>
              </w:rPr>
              <w:t>Replenishment triggers: at sight, minimum stock level, picking wave launch, Alerts for picking minimum levels &amp; approaching expiry dates...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92400E"/>
                <w:sz w:val="18"/>
              </w:rPr>
              <w:t>Planned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r>
              <w:rPr>
                <w:b/>
                <w:sz w:val="18"/>
              </w:rPr>
              <w:t>Stock Reservation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sz w:val="17"/>
              </w:rPr>
              <w:t>Reserve stock for specific customers or orders, Show available vs. reserved stock separately, Prevent picking reserved stock for other customers...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color w:val="92400E"/>
                <w:sz w:val="18"/>
              </w:rPr>
              <w:t>Planned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/>
                <w:sz w:val="18"/>
              </w:rPr>
              <w:t>Order Management (Enhancements)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7"/>
              </w:rPr>
              <w:t>Receive orders directly from customers via EDI &amp; e-commerce, Split orders: full pallets vs. less-than-full pallets...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92400E"/>
                <w:sz w:val="18"/>
              </w:rPr>
              <w:t>Planned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r>
              <w:rPr>
                <w:b/>
                <w:sz w:val="18"/>
              </w:rPr>
              <w:t>Picking (Enhancements)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sz w:val="17"/>
              </w:rPr>
              <w:t>Picking methods: single order, batch, zone, wave, cross-docking, Optimize picking routes to minimize travel time, Verify picked items by scanning; handle short picks...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color w:val="92400E"/>
                <w:sz w:val="18"/>
              </w:rPr>
              <w:t>Planned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/>
                <w:sz w:val="18"/>
              </w:rPr>
              <w:t>Loading &amp; Dispatch (Enhancements)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7"/>
              </w:rPr>
              <w:t>Optimize loading sequence; verify quantities by scanning, Assign orders to vehicles &amp; drivers; check vehicle capacity, Delivery by pallets consolidation...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92400E"/>
                <w:sz w:val="18"/>
              </w:rPr>
              <w:t>Planned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r>
              <w:rPr>
                <w:b/>
                <w:sz w:val="18"/>
              </w:rPr>
              <w:t>Shipping (Enhancements)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sz w:val="17"/>
              </w:rPr>
              <w:t>Automatic customer notifications when orders ship, Track proof of delivery (POD) with signatures and photos...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color w:val="92400E"/>
                <w:sz w:val="18"/>
              </w:rPr>
              <w:t>Planned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/>
                <w:sz w:val="18"/>
              </w:rPr>
              <w:t>Returns &amp; Reverse Logistics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7"/>
              </w:rPr>
              <w:t>Handle empty bottle/crate returns with quantity tracking, Track deposit refunds for returnable packaging, Disposition decisions: destroy, rework, braderie, hazardous, ADV...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92400E"/>
                <w:sz w:val="18"/>
              </w:rPr>
              <w:t>Planned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r>
              <w:rPr>
                <w:b/>
                <w:sz w:val="18"/>
              </w:rPr>
              <w:t>Performance Tracking (KPIs)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sz w:val="17"/>
              </w:rPr>
              <w:t>Inventory accuracy, picker efficiency &amp; picking accuracy, Order cycle time, on-time shipment rate, order fulfillment rate, Space utilization, stock aging, near-expiry stock alerts...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color w:val="92400E"/>
                <w:sz w:val="18"/>
              </w:rPr>
              <w:t>Planned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/>
                <w:sz w:val="18"/>
              </w:rPr>
              <w:t>Dashboard &amp; Reporting (Enhancements)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7"/>
              </w:rPr>
              <w:t>Customizable dashboards &amp; role-based views, Alerts &amp; notifications when KPIs breach thresholds, Scheduled automatic report generation &amp; email delivery...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92400E"/>
                <w:sz w:val="18"/>
              </w:rPr>
              <w:t>Planned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r>
              <w:rPr>
                <w:b/>
                <w:sz w:val="18"/>
              </w:rPr>
              <w:t>Labour Management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sz w:val="17"/>
              </w:rPr>
              <w:t>Track individual and team performance, Plan and assign tasks to warehouse staff, Measure active vs. idle time; identify training needs...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color w:val="92400E"/>
                <w:sz w:val="18"/>
              </w:rPr>
              <w:t>Planned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/>
                <w:sz w:val="18"/>
              </w:rPr>
              <w:t>Transport Management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7"/>
              </w:rPr>
              <w:t>Plan &amp; optimize delivery routes automatically, Track transport costs: fuel, maintenance, tyres, tolls, Assign vehicles to routes by capacity &amp; availability...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92400E"/>
                <w:sz w:val="18"/>
              </w:rPr>
              <w:t>Planned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r>
              <w:rPr>
                <w:b/>
                <w:sz w:val="18"/>
              </w:rPr>
              <w:t>Mobile Devices &amp; Scanning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sz w:val="17"/>
              </w:rPr>
              <w:t>Mobile app for warehouse staff (tablets &amp; handheld scanners), Barcode and QR code scanning enhancements, Offline mode with sync when back online...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color w:val="92400E"/>
                <w:sz w:val="18"/>
              </w:rPr>
              <w:t>Planned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/>
                <w:sz w:val="18"/>
              </w:rPr>
              <w:t>User Access &amp; Security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7"/>
              </w:rPr>
              <w:t>Full audit trail — track every system change, Approval workflows for sensitive actions (stock adjustments, write-offs), Two-factor authentication for managers...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92400E"/>
                <w:sz w:val="18"/>
              </w:rPr>
              <w:t>Planned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r>
              <w:rPr>
                <w:b/>
                <w:sz w:val="18"/>
              </w:rPr>
              <w:t>Integration with Grays Shops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sz w:val="17"/>
              </w:rPr>
              <w:t>Product availability &amp; shortage alerts by ABC classification, Automated requisition link to referencing sent to DP...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color w:val="92400E"/>
                <w:sz w:val="18"/>
              </w:rPr>
              <w:t>Planned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/>
                <w:sz w:val="18"/>
              </w:rPr>
              <w:t>Implementation &amp; Support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7"/>
              </w:rPr>
              <w:t>Phased implementation starting with one warehouse, Training for all roles; user manuals &amp; video tutorials (English &amp; French), Ongoing support: critical issues &lt;2hrs, normal &lt;24hrs...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92400E"/>
                <w:sz w:val="18"/>
              </w:rPr>
              <w:t>Planned</w:t>
            </w:r>
          </w:p>
        </w:tc>
      </w:tr>
    </w:tbl>
    <w:p>
      <w:r>
        <w:br w:type="page"/>
      </w:r>
    </w:p>
    <w:p>
      <w:pPr>
        <w:spacing w:before="320" w:after="120"/>
      </w:pPr>
      <w:r>
        <w:rPr>
          <w:b/>
          <w:color w:val="1E3A5F"/>
          <w:sz w:val="34"/>
        </w:rPr>
        <w:t>4. Project Plan &amp; Timeline</w:t>
      </w:r>
    </w:p>
    <w:p>
      <w:pPr>
        <w:spacing w:after="80"/>
      </w:pPr>
      <w:r>
        <w:rPr>
          <w:b w:val="0"/>
          <w:sz w:val="21"/>
        </w:rPr>
        <w:t>Modules are delivered incrementally — released to production as soon as they pass UAT. The two on-site months (Months 3–4) cover go-live support and user training for all warehouses.</w:t>
      </w:r>
    </w:p>
    <w:p>
      <w:pPr>
        <w:spacing w:before="200" w:after="80"/>
      </w:pPr>
      <w:r>
        <w:rPr>
          <w:b/>
          <w:color w:val="2B6CB0"/>
          <w:sz w:val="26"/>
        </w:rPr>
        <w:t>Phase 1 Completion + Warehouse Structure  (Month 1)</w:t>
      </w:r>
    </w:p>
    <w:p>
      <w:pPr>
        <w:pStyle w:val="ListBullet"/>
        <w:spacing w:after="60"/>
        <w:ind w:left="432"/>
      </w:pPr>
      <w:r>
        <w:rPr>
          <w:sz w:val="21"/>
        </w:rPr>
        <w:t>Complete Phase 1 remaining items: Advanced Reporting, Dashboard Builder, Customer Notifications</w:t>
      </w:r>
    </w:p>
    <w:p>
      <w:pPr>
        <w:pStyle w:val="ListBullet"/>
        <w:spacing w:after="60"/>
        <w:ind w:left="432"/>
      </w:pPr>
      <w:r>
        <w:rPr>
          <w:sz w:val="21"/>
        </w:rPr>
        <w:t>Warehouse Structure &amp; Locations module</w:t>
      </w:r>
    </w:p>
    <w:p>
      <w:pPr>
        <w:pStyle w:val="ListBullet"/>
        <w:spacing w:after="60"/>
        <w:ind w:left="432"/>
      </w:pPr>
      <w:r>
        <w:rPr>
          <w:sz w:val="21"/>
        </w:rPr>
        <w:t>AI Readiness framework</w:t>
      </w:r>
    </w:p>
    <w:p>
      <w:pPr>
        <w:pStyle w:val="ListBullet"/>
        <w:spacing w:after="60"/>
        <w:ind w:left="432"/>
      </w:pPr>
      <w:r>
        <w:rPr>
          <w:sz w:val="21"/>
        </w:rPr>
        <w:t>Auto-updater and release pipeline</w:t>
      </w:r>
    </w:p>
    <w:p>
      <w:pPr>
        <w:spacing w:before="200" w:after="80"/>
      </w:pPr>
      <w:r>
        <w:rPr>
          <w:b/>
          <w:color w:val="2B6CB0"/>
          <w:sz w:val="26"/>
        </w:rPr>
        <w:t>Receiving + QC + Put-Away  (Month 2)</w:t>
      </w:r>
    </w:p>
    <w:p>
      <w:pPr>
        <w:pStyle w:val="ListBullet"/>
        <w:spacing w:after="60"/>
        <w:ind w:left="432"/>
      </w:pPr>
      <w:r>
        <w:rPr>
          <w:sz w:val="21"/>
        </w:rPr>
        <w:t>Receiving Goods module (barcode scanning, ASN, GRN printing)</w:t>
      </w:r>
    </w:p>
    <w:p>
      <w:pPr>
        <w:pStyle w:val="ListBullet"/>
        <w:spacing w:after="60"/>
        <w:ind w:left="432"/>
      </w:pPr>
      <w:r>
        <w:rPr>
          <w:sz w:val="21"/>
        </w:rPr>
        <w:t>Quality Control module (checklists, Non-Conform flagging)</w:t>
      </w:r>
    </w:p>
    <w:p>
      <w:pPr>
        <w:pStyle w:val="ListBullet"/>
        <w:spacing w:after="60"/>
        <w:ind w:left="432"/>
      </w:pPr>
      <w:r>
        <w:rPr>
          <w:sz w:val="21"/>
        </w:rPr>
        <w:t>Put-Away module (FEFO/ABC strategies, mobile-guided)</w:t>
      </w:r>
    </w:p>
    <w:p>
      <w:pPr>
        <w:pStyle w:val="ListBullet"/>
        <w:spacing w:after="60"/>
        <w:ind w:left="432"/>
      </w:pPr>
      <w:r>
        <w:rPr>
          <w:sz w:val="21"/>
        </w:rPr>
        <w:t>Inventory Management enhancements (replenishment triggers)</w:t>
      </w:r>
    </w:p>
    <w:p>
      <w:pPr>
        <w:spacing w:before="200" w:after="80"/>
      </w:pPr>
      <w:r>
        <w:rPr>
          <w:b/>
          <w:color w:val="2B6CB0"/>
          <w:sz w:val="26"/>
        </w:rPr>
        <w:t>Stock Reservation + Order Management + Picking (ON-SITE begins)  (Month 3)</w:t>
      </w:r>
    </w:p>
    <w:p>
      <w:pPr>
        <w:pStyle w:val="ListBullet"/>
        <w:spacing w:after="60"/>
        <w:ind w:left="432"/>
      </w:pPr>
      <w:r>
        <w:rPr>
          <w:sz w:val="21"/>
        </w:rPr>
        <w:t>Stock Reservation module</w:t>
      </w:r>
    </w:p>
    <w:p>
      <w:pPr>
        <w:pStyle w:val="ListBullet"/>
        <w:spacing w:after="60"/>
        <w:ind w:left="432"/>
      </w:pPr>
      <w:r>
        <w:rPr>
          <w:sz w:val="21"/>
        </w:rPr>
        <w:t>Order Management enhancements (EDI, pallet splitting)</w:t>
      </w:r>
    </w:p>
    <w:p>
      <w:pPr>
        <w:pStyle w:val="ListBullet"/>
        <w:spacing w:after="60"/>
        <w:ind w:left="432"/>
      </w:pPr>
      <w:r>
        <w:rPr>
          <w:sz w:val="21"/>
        </w:rPr>
        <w:t>Picking enhancements (wave/batch picking, route optimization)</w:t>
      </w:r>
    </w:p>
    <w:p>
      <w:pPr>
        <w:pStyle w:val="ListBullet"/>
        <w:spacing w:after="60"/>
        <w:ind w:left="432"/>
      </w:pPr>
      <w:r>
        <w:rPr>
          <w:sz w:val="21"/>
        </w:rPr>
        <w:t>ON-SITE: go-live support for Months 1–2 modules, user training</w:t>
      </w:r>
    </w:p>
    <w:p>
      <w:pPr>
        <w:spacing w:before="200" w:after="80"/>
      </w:pPr>
      <w:r>
        <w:rPr>
          <w:b/>
          <w:color w:val="2B6CB0"/>
          <w:sz w:val="26"/>
        </w:rPr>
        <w:t>Loading + Shipping + Returns + KPIs (ON-SITE)  (Month 4)</w:t>
      </w:r>
    </w:p>
    <w:p>
      <w:pPr>
        <w:pStyle w:val="ListBullet"/>
        <w:spacing w:after="60"/>
        <w:ind w:left="432"/>
      </w:pPr>
      <w:r>
        <w:rPr>
          <w:sz w:val="21"/>
        </w:rPr>
        <w:t>Loading &amp; Dispatch enhancements (manifests, capacity checks)</w:t>
      </w:r>
    </w:p>
    <w:p>
      <w:pPr>
        <w:pStyle w:val="ListBullet"/>
        <w:spacing w:after="60"/>
        <w:ind w:left="432"/>
      </w:pPr>
      <w:r>
        <w:rPr>
          <w:sz w:val="21"/>
        </w:rPr>
        <w:t>Shipping enhancements (POD with signatures/photos)</w:t>
      </w:r>
    </w:p>
    <w:p>
      <w:pPr>
        <w:pStyle w:val="ListBullet"/>
        <w:spacing w:after="60"/>
        <w:ind w:left="432"/>
      </w:pPr>
      <w:r>
        <w:rPr>
          <w:sz w:val="21"/>
        </w:rPr>
        <w:t>Returns &amp; Reverse Logistics module</w:t>
      </w:r>
    </w:p>
    <w:p>
      <w:pPr>
        <w:pStyle w:val="ListBullet"/>
        <w:spacing w:after="60"/>
        <w:ind w:left="432"/>
      </w:pPr>
      <w:r>
        <w:rPr>
          <w:sz w:val="21"/>
        </w:rPr>
        <w:t>Performance Tracking (KPIs) module</w:t>
      </w:r>
    </w:p>
    <w:p>
      <w:pPr>
        <w:pStyle w:val="ListBullet"/>
        <w:spacing w:after="60"/>
        <w:ind w:left="432"/>
      </w:pPr>
      <w:r>
        <w:rPr>
          <w:sz w:val="21"/>
        </w:rPr>
        <w:t>ON-SITE: continued training, hypercare support</w:t>
      </w:r>
    </w:p>
    <w:p>
      <w:pPr>
        <w:spacing w:before="200" w:after="80"/>
      </w:pPr>
      <w:r>
        <w:rPr>
          <w:b/>
          <w:color w:val="2B6CB0"/>
          <w:sz w:val="26"/>
        </w:rPr>
        <w:t>Dashboard + Labour + Transport + Mobile  (Month 5)</w:t>
      </w:r>
    </w:p>
    <w:p>
      <w:pPr>
        <w:pStyle w:val="ListBullet"/>
        <w:spacing w:after="60"/>
        <w:ind w:left="432"/>
      </w:pPr>
      <w:r>
        <w:rPr>
          <w:sz w:val="21"/>
        </w:rPr>
        <w:t>Dashboard &amp; Reporting enhancements (scheduled reports, alerts)</w:t>
      </w:r>
    </w:p>
    <w:p>
      <w:pPr>
        <w:pStyle w:val="ListBullet"/>
        <w:spacing w:after="60"/>
        <w:ind w:left="432"/>
      </w:pPr>
      <w:r>
        <w:rPr>
          <w:sz w:val="21"/>
        </w:rPr>
        <w:t>Labour Management module</w:t>
      </w:r>
    </w:p>
    <w:p>
      <w:pPr>
        <w:pStyle w:val="ListBullet"/>
        <w:spacing w:after="60"/>
        <w:ind w:left="432"/>
      </w:pPr>
      <w:r>
        <w:rPr>
          <w:sz w:val="21"/>
        </w:rPr>
        <w:t>Transport Management module (route optimization, GPS integration)</w:t>
      </w:r>
    </w:p>
    <w:p>
      <w:pPr>
        <w:pStyle w:val="ListBullet"/>
        <w:spacing w:after="60"/>
        <w:ind w:left="432"/>
      </w:pPr>
      <w:r>
        <w:rPr>
          <w:sz w:val="21"/>
        </w:rPr>
        <w:t>Mobile Devices &amp; Scanning enhancements (offline mode)</w:t>
      </w:r>
    </w:p>
    <w:p>
      <w:pPr>
        <w:spacing w:before="200" w:after="80"/>
      </w:pPr>
      <w:r>
        <w:rPr>
          <w:b/>
          <w:color w:val="2B6CB0"/>
          <w:sz w:val="26"/>
        </w:rPr>
        <w:t>Security + Integration + Stabilisation  (Month 6)</w:t>
      </w:r>
    </w:p>
    <w:p>
      <w:pPr>
        <w:pStyle w:val="ListBullet"/>
        <w:spacing w:after="60"/>
        <w:ind w:left="432"/>
      </w:pPr>
      <w:r>
        <w:rPr>
          <w:sz w:val="21"/>
        </w:rPr>
        <w:t>User Access &amp; Security (audit trail, 2FA, approval workflows)</w:t>
      </w:r>
    </w:p>
    <w:p>
      <w:pPr>
        <w:pStyle w:val="ListBullet"/>
        <w:spacing w:after="60"/>
        <w:ind w:left="432"/>
      </w:pPr>
      <w:r>
        <w:rPr>
          <w:sz w:val="21"/>
        </w:rPr>
        <w:t>System Integration enhancements (EDI, e-commerce)</w:t>
      </w:r>
    </w:p>
    <w:p>
      <w:pPr>
        <w:pStyle w:val="ListBullet"/>
        <w:spacing w:after="60"/>
        <w:ind w:left="432"/>
      </w:pPr>
      <w:r>
        <w:rPr>
          <w:sz w:val="21"/>
        </w:rPr>
        <w:t>Integration with Grays Shops (shortage alerts, requisitions)</w:t>
      </w:r>
    </w:p>
    <w:p>
      <w:pPr>
        <w:pStyle w:val="ListBullet"/>
        <w:spacing w:after="60"/>
        <w:ind w:left="432"/>
      </w:pPr>
      <w:r>
        <w:rPr>
          <w:sz w:val="21"/>
        </w:rPr>
        <w:t>Regression testing across all modules</w:t>
      </w:r>
    </w:p>
    <w:p>
      <w:pPr>
        <w:pStyle w:val="ListBullet"/>
        <w:spacing w:after="60"/>
        <w:ind w:left="432"/>
      </w:pPr>
      <w:r>
        <w:rPr>
          <w:sz w:val="21"/>
        </w:rPr>
        <w:t>Documentation, user manuals (English &amp; French), knowledge transfer</w:t>
      </w:r>
    </w:p>
    <w:p>
      <w:pPr>
        <w:pStyle w:val="ListBullet"/>
        <w:spacing w:after="60"/>
        <w:ind w:left="432"/>
      </w:pPr>
      <w:r>
        <w:rPr>
          <w:sz w:val="21"/>
        </w:rPr>
        <w:t>Final release with versioned deployment package</w:t>
      </w:r>
    </w:p>
    <w:p>
      <w:pPr>
        <w:spacing w:before="200" w:after="80"/>
      </w:pPr>
      <w:r>
        <w:rPr>
          <w:b/>
          <w:color w:val="2B6CB0"/>
          <w:sz w:val="26"/>
        </w:rPr>
        <w:t>High-Level Gantt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Module / Phase</w:t>
            </w:r>
          </w:p>
        </w:tc>
        <w:tc>
          <w:tcPr>
            <w:tcW w:type="dxa" w:w="134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M1</w:t>
            </w:r>
          </w:p>
        </w:tc>
        <w:tc>
          <w:tcPr>
            <w:tcW w:type="dxa" w:w="134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M2</w:t>
            </w:r>
          </w:p>
        </w:tc>
        <w:tc>
          <w:tcPr>
            <w:tcW w:type="dxa" w:w="134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M3</w:t>
            </w:r>
          </w:p>
        </w:tc>
        <w:tc>
          <w:tcPr>
            <w:tcW w:type="dxa" w:w="134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M4</w:t>
            </w:r>
          </w:p>
        </w:tc>
        <w:tc>
          <w:tcPr>
            <w:tcW w:type="dxa" w:w="134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M5</w:t>
            </w:r>
          </w:p>
        </w:tc>
        <w:tc>
          <w:tcPr>
            <w:tcW w:type="dxa" w:w="134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M6</w:t>
            </w:r>
          </w:p>
        </w:tc>
      </w:tr>
      <w:tr>
        <w:tc>
          <w:tcPr>
            <w:tcW w:type="dxa" w:w="1344"/>
            <w:shd w:val="clear" w:color="auto" w:fill="f8fafc"/>
          </w:tcPr>
          <w:p>
            <w:r>
              <w:rPr>
                <w:sz w:val="17"/>
              </w:rPr>
              <w:t>Phase 1 Completion + Warehouse</w:t>
            </w:r>
          </w:p>
        </w:tc>
        <w:tc>
          <w:tcPr>
            <w:tcW w:type="dxa" w:w="1344"/>
            <w:shd w:val="clear" w:color="auto" w:fill="2b6cb0"/>
          </w:tcPr>
          <w:p>
            <w:pPr>
              <w:jc w:val="center"/>
            </w:pPr>
            <w:r>
              <w:rPr>
                <w:color w:val="FFFFFF"/>
                <w:sz w:val="18"/>
              </w:rPr>
              <w:t>●</w:t>
            </w:r>
          </w:p>
        </w:tc>
        <w:tc>
          <w:tcPr>
            <w:tcW w:type="dxa" w:w="1344"/>
            <w:shd w:val="clear" w:color="auto" w:fill="ffffff"/>
          </w:tcPr>
          <w:p/>
        </w:tc>
        <w:tc>
          <w:tcPr>
            <w:tcW w:type="dxa" w:w="1344"/>
            <w:shd w:val="clear" w:color="auto" w:fill="ffffff"/>
          </w:tcPr>
          <w:p/>
        </w:tc>
        <w:tc>
          <w:tcPr>
            <w:tcW w:type="dxa" w:w="1344"/>
            <w:shd w:val="clear" w:color="auto" w:fill="ffffff"/>
          </w:tcPr>
          <w:p/>
        </w:tc>
        <w:tc>
          <w:tcPr>
            <w:tcW w:type="dxa" w:w="1344"/>
            <w:shd w:val="clear" w:color="auto" w:fill="ffffff"/>
          </w:tcPr>
          <w:p/>
        </w:tc>
        <w:tc>
          <w:tcPr>
            <w:tcW w:type="dxa" w:w="1344"/>
            <w:shd w:val="clear" w:color="auto" w:fill="ffffff"/>
          </w:tcPr>
          <w:p/>
        </w:tc>
      </w:tr>
      <w:tr>
        <w:tc>
          <w:tcPr>
            <w:tcW w:type="dxa" w:w="1344"/>
            <w:shd w:val="clear" w:color="auto" w:fill="f8fafc"/>
          </w:tcPr>
          <w:p>
            <w:r>
              <w:rPr>
                <w:sz w:val="17"/>
              </w:rPr>
              <w:t>Receiving / QC / Put-Away</w:t>
            </w:r>
          </w:p>
        </w:tc>
        <w:tc>
          <w:tcPr>
            <w:tcW w:type="dxa" w:w="1344"/>
            <w:shd w:val="clear" w:color="auto" w:fill="ffffff"/>
          </w:tcPr>
          <w:p/>
        </w:tc>
        <w:tc>
          <w:tcPr>
            <w:tcW w:type="dxa" w:w="1344"/>
            <w:shd w:val="clear" w:color="auto" w:fill="2b6cb0"/>
          </w:tcPr>
          <w:p>
            <w:pPr>
              <w:jc w:val="center"/>
            </w:pPr>
            <w:r>
              <w:rPr>
                <w:color w:val="FFFFFF"/>
                <w:sz w:val="18"/>
              </w:rPr>
              <w:t>●</w:t>
            </w:r>
          </w:p>
        </w:tc>
        <w:tc>
          <w:tcPr>
            <w:tcW w:type="dxa" w:w="1344"/>
            <w:shd w:val="clear" w:color="auto" w:fill="ffffff"/>
          </w:tcPr>
          <w:p/>
        </w:tc>
        <w:tc>
          <w:tcPr>
            <w:tcW w:type="dxa" w:w="1344"/>
            <w:shd w:val="clear" w:color="auto" w:fill="ffffff"/>
          </w:tcPr>
          <w:p/>
        </w:tc>
        <w:tc>
          <w:tcPr>
            <w:tcW w:type="dxa" w:w="1344"/>
            <w:shd w:val="clear" w:color="auto" w:fill="ffffff"/>
          </w:tcPr>
          <w:p/>
        </w:tc>
        <w:tc>
          <w:tcPr>
            <w:tcW w:type="dxa" w:w="1344"/>
            <w:shd w:val="clear" w:color="auto" w:fill="ffffff"/>
          </w:tcPr>
          <w:p/>
        </w:tc>
      </w:tr>
      <w:tr>
        <w:tc>
          <w:tcPr>
            <w:tcW w:type="dxa" w:w="1344"/>
            <w:shd w:val="clear" w:color="auto" w:fill="f8fafc"/>
          </w:tcPr>
          <w:p>
            <w:r>
              <w:rPr>
                <w:sz w:val="17"/>
              </w:rPr>
              <w:t>Stock Res / OM / Picking</w:t>
            </w:r>
          </w:p>
        </w:tc>
        <w:tc>
          <w:tcPr>
            <w:tcW w:type="dxa" w:w="1344"/>
            <w:shd w:val="clear" w:color="auto" w:fill="ffffff"/>
          </w:tcPr>
          <w:p/>
        </w:tc>
        <w:tc>
          <w:tcPr>
            <w:tcW w:type="dxa" w:w="1344"/>
            <w:shd w:val="clear" w:color="auto" w:fill="ffffff"/>
          </w:tcPr>
          <w:p/>
        </w:tc>
        <w:tc>
          <w:tcPr>
            <w:tcW w:type="dxa" w:w="1344"/>
            <w:shd w:val="clear" w:color="auto" w:fill="2b6cb0"/>
          </w:tcPr>
          <w:p>
            <w:pPr>
              <w:jc w:val="center"/>
            </w:pPr>
            <w:r>
              <w:rPr>
                <w:color w:val="FFFFFF"/>
                <w:sz w:val="18"/>
              </w:rPr>
              <w:t>●</w:t>
            </w:r>
          </w:p>
        </w:tc>
        <w:tc>
          <w:tcPr>
            <w:tcW w:type="dxa" w:w="1344"/>
            <w:shd w:val="clear" w:color="auto" w:fill="ffffff"/>
          </w:tcPr>
          <w:p/>
        </w:tc>
        <w:tc>
          <w:tcPr>
            <w:tcW w:type="dxa" w:w="1344"/>
            <w:shd w:val="clear" w:color="auto" w:fill="ffffff"/>
          </w:tcPr>
          <w:p/>
        </w:tc>
        <w:tc>
          <w:tcPr>
            <w:tcW w:type="dxa" w:w="1344"/>
            <w:shd w:val="clear" w:color="auto" w:fill="ffffff"/>
          </w:tcPr>
          <w:p/>
        </w:tc>
      </w:tr>
      <w:tr>
        <w:tc>
          <w:tcPr>
            <w:tcW w:type="dxa" w:w="1344"/>
            <w:shd w:val="clear" w:color="auto" w:fill="f8fafc"/>
          </w:tcPr>
          <w:p>
            <w:r>
              <w:rPr>
                <w:sz w:val="17"/>
              </w:rPr>
              <w:t>Loading / Shipping / Returns / KPIs</w:t>
            </w:r>
          </w:p>
        </w:tc>
        <w:tc>
          <w:tcPr>
            <w:tcW w:type="dxa" w:w="1344"/>
            <w:shd w:val="clear" w:color="auto" w:fill="ffffff"/>
          </w:tcPr>
          <w:p/>
        </w:tc>
        <w:tc>
          <w:tcPr>
            <w:tcW w:type="dxa" w:w="1344"/>
            <w:shd w:val="clear" w:color="auto" w:fill="ffffff"/>
          </w:tcPr>
          <w:p/>
        </w:tc>
        <w:tc>
          <w:tcPr>
            <w:tcW w:type="dxa" w:w="1344"/>
            <w:shd w:val="clear" w:color="auto" w:fill="ffffff"/>
          </w:tcPr>
          <w:p/>
        </w:tc>
        <w:tc>
          <w:tcPr>
            <w:tcW w:type="dxa" w:w="1344"/>
            <w:shd w:val="clear" w:color="auto" w:fill="2b6cb0"/>
          </w:tcPr>
          <w:p>
            <w:pPr>
              <w:jc w:val="center"/>
            </w:pPr>
            <w:r>
              <w:rPr>
                <w:color w:val="FFFFFF"/>
                <w:sz w:val="18"/>
              </w:rPr>
              <w:t>●</w:t>
            </w:r>
          </w:p>
        </w:tc>
        <w:tc>
          <w:tcPr>
            <w:tcW w:type="dxa" w:w="1344"/>
            <w:shd w:val="clear" w:color="auto" w:fill="ffffff"/>
          </w:tcPr>
          <w:p/>
        </w:tc>
        <w:tc>
          <w:tcPr>
            <w:tcW w:type="dxa" w:w="1344"/>
            <w:shd w:val="clear" w:color="auto" w:fill="ffffff"/>
          </w:tcPr>
          <w:p/>
        </w:tc>
      </w:tr>
      <w:tr>
        <w:tc>
          <w:tcPr>
            <w:tcW w:type="dxa" w:w="1344"/>
            <w:shd w:val="clear" w:color="auto" w:fill="f8fafc"/>
          </w:tcPr>
          <w:p>
            <w:r>
              <w:rPr>
                <w:sz w:val="17"/>
              </w:rPr>
              <w:t>Dashboard / Labour / Transport / Mobile</w:t>
            </w:r>
          </w:p>
        </w:tc>
        <w:tc>
          <w:tcPr>
            <w:tcW w:type="dxa" w:w="1344"/>
            <w:shd w:val="clear" w:color="auto" w:fill="ffffff"/>
          </w:tcPr>
          <w:p/>
        </w:tc>
        <w:tc>
          <w:tcPr>
            <w:tcW w:type="dxa" w:w="1344"/>
            <w:shd w:val="clear" w:color="auto" w:fill="ffffff"/>
          </w:tcPr>
          <w:p/>
        </w:tc>
        <w:tc>
          <w:tcPr>
            <w:tcW w:type="dxa" w:w="1344"/>
            <w:shd w:val="clear" w:color="auto" w:fill="ffffff"/>
          </w:tcPr>
          <w:p/>
        </w:tc>
        <w:tc>
          <w:tcPr>
            <w:tcW w:type="dxa" w:w="1344"/>
            <w:shd w:val="clear" w:color="auto" w:fill="ffffff"/>
          </w:tcPr>
          <w:p/>
        </w:tc>
        <w:tc>
          <w:tcPr>
            <w:tcW w:type="dxa" w:w="1344"/>
            <w:shd w:val="clear" w:color="auto" w:fill="2b6cb0"/>
          </w:tcPr>
          <w:p>
            <w:pPr>
              <w:jc w:val="center"/>
            </w:pPr>
            <w:r>
              <w:rPr>
                <w:color w:val="FFFFFF"/>
                <w:sz w:val="18"/>
              </w:rPr>
              <w:t>●</w:t>
            </w:r>
          </w:p>
        </w:tc>
        <w:tc>
          <w:tcPr>
            <w:tcW w:type="dxa" w:w="1344"/>
            <w:shd w:val="clear" w:color="auto" w:fill="ffffff"/>
          </w:tcPr>
          <w:p/>
        </w:tc>
      </w:tr>
      <w:tr>
        <w:tc>
          <w:tcPr>
            <w:tcW w:type="dxa" w:w="1344"/>
            <w:shd w:val="clear" w:color="auto" w:fill="f8fafc"/>
          </w:tcPr>
          <w:p>
            <w:r>
              <w:rPr>
                <w:sz w:val="17"/>
              </w:rPr>
              <w:t>Security / Integration / Stabilisation</w:t>
            </w:r>
          </w:p>
        </w:tc>
        <w:tc>
          <w:tcPr>
            <w:tcW w:type="dxa" w:w="1344"/>
            <w:shd w:val="clear" w:color="auto" w:fill="ffffff"/>
          </w:tcPr>
          <w:p/>
        </w:tc>
        <w:tc>
          <w:tcPr>
            <w:tcW w:type="dxa" w:w="1344"/>
            <w:shd w:val="clear" w:color="auto" w:fill="ffffff"/>
          </w:tcPr>
          <w:p/>
        </w:tc>
        <w:tc>
          <w:tcPr>
            <w:tcW w:type="dxa" w:w="1344"/>
            <w:shd w:val="clear" w:color="auto" w:fill="ffffff"/>
          </w:tcPr>
          <w:p/>
        </w:tc>
        <w:tc>
          <w:tcPr>
            <w:tcW w:type="dxa" w:w="1344"/>
            <w:shd w:val="clear" w:color="auto" w:fill="ffffff"/>
          </w:tcPr>
          <w:p/>
        </w:tc>
        <w:tc>
          <w:tcPr>
            <w:tcW w:type="dxa" w:w="1344"/>
            <w:shd w:val="clear" w:color="auto" w:fill="ffffff"/>
          </w:tcPr>
          <w:p/>
        </w:tc>
        <w:tc>
          <w:tcPr>
            <w:tcW w:type="dxa" w:w="1344"/>
            <w:shd w:val="clear" w:color="auto" w:fill="2b6cb0"/>
          </w:tcPr>
          <w:p>
            <w:pPr>
              <w:jc w:val="center"/>
            </w:pPr>
            <w:r>
              <w:rPr>
                <w:color w:val="FFFFFF"/>
                <w:sz w:val="18"/>
              </w:rPr>
              <w:t>●</w:t>
            </w:r>
          </w:p>
        </w:tc>
      </w:tr>
      <w:tr>
        <w:tc>
          <w:tcPr>
            <w:tcW w:type="dxa" w:w="1344"/>
            <w:shd w:val="clear" w:color="auto" w:fill="f8fafc"/>
          </w:tcPr>
          <w:p>
            <w:r>
              <w:rPr>
                <w:sz w:val="17"/>
              </w:rPr>
              <w:t>ON-SITE</w:t>
            </w:r>
          </w:p>
        </w:tc>
        <w:tc>
          <w:tcPr>
            <w:tcW w:type="dxa" w:w="1344"/>
            <w:shd w:val="clear" w:color="auto" w:fill="ffffff"/>
          </w:tcPr>
          <w:p/>
        </w:tc>
        <w:tc>
          <w:tcPr>
            <w:tcW w:type="dxa" w:w="1344"/>
            <w:shd w:val="clear" w:color="auto" w:fill="ffffff"/>
          </w:tcPr>
          <w:p/>
        </w:tc>
        <w:tc>
          <w:tcPr>
            <w:tcW w:type="dxa" w:w="1344"/>
            <w:shd w:val="clear" w:color="auto" w:fill="276e48"/>
          </w:tcPr>
          <w:p>
            <w:pPr>
              <w:jc w:val="center"/>
            </w:pPr>
            <w:r>
              <w:rPr>
                <w:color w:val="FFFFFF"/>
                <w:sz w:val="18"/>
              </w:rPr>
              <w:t>●</w:t>
            </w:r>
          </w:p>
        </w:tc>
        <w:tc>
          <w:tcPr>
            <w:tcW w:type="dxa" w:w="1344"/>
            <w:shd w:val="clear" w:color="auto" w:fill="276e48"/>
          </w:tcPr>
          <w:p>
            <w:pPr>
              <w:jc w:val="center"/>
            </w:pPr>
            <w:r>
              <w:rPr>
                <w:color w:val="FFFFFF"/>
                <w:sz w:val="18"/>
              </w:rPr>
              <w:t>●</w:t>
            </w:r>
          </w:p>
        </w:tc>
        <w:tc>
          <w:tcPr>
            <w:tcW w:type="dxa" w:w="1344"/>
            <w:shd w:val="clear" w:color="auto" w:fill="ffffff"/>
          </w:tcPr>
          <w:p/>
        </w:tc>
        <w:tc>
          <w:tcPr>
            <w:tcW w:type="dxa" w:w="1344"/>
            <w:shd w:val="clear" w:color="auto" w:fill="ffffff"/>
          </w:tcPr>
          <w:p/>
        </w:tc>
      </w:tr>
    </w:tbl>
    <w:p>
      <w:pPr>
        <w:spacing w:before="320" w:after="120"/>
      </w:pPr>
      <w:r>
        <w:rPr>
          <w:b/>
          <w:color w:val="1E3A5F"/>
          <w:sz w:val="34"/>
        </w:rPr>
        <w:t>5. Commercial Terms</w:t>
      </w:r>
    </w:p>
    <w:p>
      <w:pPr>
        <w:spacing w:before="200" w:after="80"/>
      </w:pPr>
      <w:r>
        <w:rPr>
          <w:b/>
          <w:color w:val="2B6CB0"/>
          <w:sz w:val="26"/>
        </w:rPr>
        <w:t>Rate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Rate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r>
              <w:rPr>
                <w:sz w:val="20"/>
              </w:rPr>
              <w:t>Daily Rate (Remote)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b/>
                <w:sz w:val="20"/>
              </w:rPr>
              <w:t>USD 250 / day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sz w:val="19"/>
              </w:rPr>
              <w:t>Minimum 1 day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Monthly Rate (Full Month)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/>
                <w:sz w:val="20"/>
              </w:rPr>
              <w:t>USD 7,500 / month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~30 working days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r>
              <w:rPr>
                <w:sz w:val="20"/>
              </w:rPr>
              <w:t>On-Site Daily Rate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b/>
                <w:sz w:val="20"/>
              </w:rPr>
              <w:t>USD 250 / day + T&amp;A actuals</w:t>
            </w:r>
          </w:p>
        </w:tc>
        <w:tc>
          <w:tcPr>
            <w:tcW w:type="dxa" w:w="3135"/>
            <w:shd w:val="clear" w:color="auto" w:fill="f0f4fa"/>
          </w:tcPr>
          <w:p>
            <w:r>
              <w:rPr>
                <w:sz w:val="19"/>
              </w:rPr>
              <w:t>Travel &amp; accommodation billed at actuals</w:t>
            </w:r>
          </w:p>
        </w:tc>
      </w:tr>
    </w:tbl>
    <w:p>
      <w:pPr>
        <w:spacing w:before="200" w:after="80"/>
      </w:pPr>
      <w:r>
        <w:rPr>
          <w:b/>
          <w:color w:val="2B6CB0"/>
          <w:sz w:val="26"/>
        </w:rPr>
        <w:t>Investment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0f4fa"/>
          </w:tcPr>
          <w:p>
            <w:r>
              <w:rPr>
                <w:sz w:val="20"/>
              </w:rPr>
              <w:t>Remote Development (4 months × $7,500)</w:t>
            </w:r>
          </w:p>
        </w:tc>
        <w:tc>
          <w:tcPr>
            <w:tcW w:type="dxa" w:w="4703"/>
            <w:shd w:val="clear" w:color="auto" w:fill="f0f4fa"/>
          </w:tcPr>
          <w:p>
            <w:pPr>
              <w:jc w:val="right"/>
            </w:pPr>
            <w:r>
              <w:rPr>
                <w:b/>
                <w:sz w:val="20"/>
              </w:rPr>
              <w:t>$30,000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On-Site Implementation (2 months × $7,500)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right"/>
            </w:pPr>
            <w:r>
              <w:rPr>
                <w:b/>
                <w:sz w:val="20"/>
              </w:rPr>
              <w:t>$15,000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r>
              <w:rPr>
                <w:sz w:val="20"/>
              </w:rPr>
              <w:t>Travel &amp; Accommodation (actuals)</w:t>
            </w:r>
          </w:p>
        </w:tc>
        <w:tc>
          <w:tcPr>
            <w:tcW w:type="dxa" w:w="4703"/>
            <w:shd w:val="clear" w:color="auto" w:fill="f0f4fa"/>
          </w:tcPr>
          <w:p>
            <w:pPr>
              <w:jc w:val="right"/>
            </w:pPr>
            <w:r>
              <w:rPr>
                <w:b/>
                <w:sz w:val="20"/>
              </w:rPr>
              <w:t>TBD</w:t>
            </w:r>
          </w:p>
        </w:tc>
      </w:tr>
      <w:tr>
        <w:tc>
          <w:tcPr>
            <w:tcW w:type="dxa" w:w="4703"/>
            <w:shd w:val="clear" w:color="auto" w:fill="e8f1fb"/>
          </w:tcPr>
          <w:p>
            <w:r>
              <w:rPr>
                <w:b/>
                <w:sz w:val="20"/>
              </w:rPr>
              <w:t>Sub-Total (excluding T&amp;A)</w:t>
            </w:r>
          </w:p>
        </w:tc>
        <w:tc>
          <w:tcPr>
            <w:tcW w:type="dxa" w:w="4703"/>
            <w:shd w:val="clear" w:color="auto" w:fill="e8f1fb"/>
          </w:tcPr>
          <w:p>
            <w:pPr>
              <w:jc w:val="right"/>
            </w:pPr>
            <w:r>
              <w:rPr>
                <w:b/>
                <w:sz w:val="20"/>
              </w:rPr>
              <w:t>$45,000</w:t>
            </w:r>
          </w:p>
        </w:tc>
      </w:tr>
      <w:tr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TOTAL PROJECT BUDGET</w:t>
            </w:r>
          </w:p>
        </w:tc>
        <w:tc>
          <w:tcPr>
            <w:tcW w:type="dxa" w:w="4703"/>
            <w:shd w:val="clear" w:color="auto" w:fill="1e3a5f"/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$45,000 + T&amp;A</w:t>
            </w:r>
          </w:p>
        </w:tc>
      </w:tr>
    </w:tbl>
    <w:p>
      <w:pPr>
        <w:spacing w:before="200" w:after="80"/>
      </w:pPr>
      <w:r>
        <w:rPr>
          <w:b/>
          <w:color w:val="2B6CB0"/>
          <w:sz w:val="26"/>
        </w:rPr>
        <w:t>Payment Terms</w:t>
      </w:r>
    </w:p>
    <w:p>
      <w:pPr>
        <w:pStyle w:val="ListBullet"/>
        <w:spacing w:after="60"/>
        <w:ind w:left="432"/>
      </w:pPr>
      <w:r>
        <w:rPr>
          <w:sz w:val="21"/>
        </w:rPr>
        <w:t>Monthly invoicing — invoice raised on 1st of each month.</w:t>
      </w:r>
    </w:p>
    <w:p>
      <w:pPr>
        <w:pStyle w:val="ListBullet"/>
        <w:spacing w:after="60"/>
        <w:ind w:left="432"/>
      </w:pPr>
      <w:r>
        <w:rPr>
          <w:sz w:val="21"/>
        </w:rPr>
        <w:t>Payment due within 14 days of invoice date.</w:t>
      </w:r>
    </w:p>
    <w:p>
      <w:pPr>
        <w:pStyle w:val="ListBullet"/>
        <w:spacing w:after="60"/>
        <w:ind w:left="432"/>
      </w:pPr>
      <w:r>
        <w:rPr>
          <w:sz w:val="21"/>
        </w:rPr>
        <w:t>On-site travel and accommodation expenses invoiced monthly at actuals with receipts.</w:t>
      </w:r>
    </w:p>
    <w:p>
      <w:pPr>
        <w:pStyle w:val="ListBullet"/>
        <w:spacing w:after="60"/>
        <w:ind w:left="432"/>
      </w:pPr>
      <w:r>
        <w:rPr>
          <w:sz w:val="21"/>
        </w:rPr>
        <w:t>Scope changes beyond agreed modules quoted separately.</w:t>
      </w:r>
    </w:p>
    <w:p>
      <w:pPr>
        <w:spacing w:before="320" w:after="120"/>
      </w:pPr>
      <w:r>
        <w:rPr>
          <w:b/>
          <w:color w:val="1E3A5F"/>
          <w:sz w:val="34"/>
        </w:rPr>
        <w:t>6. Assumptions &amp; Exclusions</w:t>
      </w:r>
    </w:p>
    <w:p>
      <w:pPr>
        <w:spacing w:before="200" w:after="80"/>
      </w:pPr>
      <w:r>
        <w:rPr>
          <w:b/>
          <w:color w:val="2B6CB0"/>
          <w:sz w:val="26"/>
        </w:rPr>
        <w:t>Assumptions</w:t>
      </w:r>
    </w:p>
    <w:p>
      <w:pPr>
        <w:pStyle w:val="ListBullet"/>
        <w:spacing w:after="60"/>
        <w:ind w:left="432"/>
      </w:pPr>
      <w:r>
        <w:rPr>
          <w:sz w:val="21"/>
        </w:rPr>
        <w:t>Client provides access to Oracle Fusion ERP (non-production for dev, production for go-live).</w:t>
      </w:r>
    </w:p>
    <w:p>
      <w:pPr>
        <w:pStyle w:val="ListBullet"/>
        <w:spacing w:after="60"/>
        <w:ind w:left="432"/>
      </w:pPr>
      <w:r>
        <w:rPr>
          <w:sz w:val="21"/>
        </w:rPr>
        <w:t>Oracle APEX REST services and BIP reports available and configured.</w:t>
      </w:r>
    </w:p>
    <w:p>
      <w:pPr>
        <w:pStyle w:val="ListBullet"/>
        <w:spacing w:after="60"/>
        <w:ind w:left="432"/>
      </w:pPr>
      <w:r>
        <w:rPr>
          <w:sz w:val="21"/>
        </w:rPr>
        <w:t>Windows 10/11 workstations available for the desktop WMS application.</w:t>
      </w:r>
    </w:p>
    <w:p>
      <w:pPr>
        <w:pStyle w:val="ListBullet"/>
        <w:spacing w:after="60"/>
        <w:ind w:left="432"/>
      </w:pPr>
      <w:r>
        <w:rPr>
          <w:sz w:val="21"/>
        </w:rPr>
        <w:t>Dedicated contact available for requirements clarification within 1 business day.</w:t>
      </w:r>
    </w:p>
    <w:p>
      <w:pPr>
        <w:pStyle w:val="ListBullet"/>
        <w:spacing w:after="60"/>
        <w:ind w:left="432"/>
      </w:pPr>
      <w:r>
        <w:rPr>
          <w:sz w:val="21"/>
        </w:rPr>
        <w:t>Existing WMS codebase (javeedin/graysWMSwebviewnew) continues as the base.</w:t>
      </w:r>
    </w:p>
    <w:p>
      <w:pPr>
        <w:spacing w:before="200" w:after="80"/>
      </w:pPr>
      <w:r>
        <w:rPr>
          <w:b/>
          <w:color w:val="2B6CB0"/>
          <w:sz w:val="26"/>
        </w:rPr>
        <w:t>Exclusions</w:t>
      </w:r>
    </w:p>
    <w:p>
      <w:pPr>
        <w:pStyle w:val="ListBullet"/>
        <w:spacing w:after="60"/>
        <w:ind w:left="432"/>
      </w:pPr>
      <w:r>
        <w:rPr>
          <w:sz w:val="21"/>
        </w:rPr>
        <w:t>Oracle Fusion ERP licencing, configuration, or administration.</w:t>
      </w:r>
    </w:p>
    <w:p>
      <w:pPr>
        <w:pStyle w:val="ListBullet"/>
        <w:spacing w:after="60"/>
        <w:ind w:left="432"/>
      </w:pPr>
      <w:r>
        <w:rPr>
          <w:sz w:val="21"/>
        </w:rPr>
        <w:t>Infrastructure, hosting, or cloud services.</w:t>
      </w:r>
    </w:p>
    <w:p>
      <w:pPr>
        <w:pStyle w:val="ListBullet"/>
        <w:spacing w:after="60"/>
        <w:ind w:left="432"/>
      </w:pPr>
      <w:r>
        <w:rPr>
          <w:sz w:val="21"/>
        </w:rPr>
        <w:t>Third-party integrations not listed in this proposal.</w:t>
      </w:r>
    </w:p>
    <w:p>
      <w:pPr>
        <w:pStyle w:val="ListBullet"/>
        <w:spacing w:after="60"/>
        <w:ind w:left="432"/>
      </w:pPr>
      <w:r>
        <w:rPr>
          <w:sz w:val="21"/>
        </w:rPr>
        <w:t>Data migration from legacy systems (quoted separately if required).</w:t>
      </w:r>
    </w:p>
    <w:p>
      <w:pPr>
        <w:spacing w:before="320" w:after="120"/>
      </w:pPr>
      <w:r>
        <w:rPr>
          <w:b/>
          <w:color w:val="1E3A5F"/>
          <w:sz w:val="34"/>
        </w:rPr>
        <w:t>7. Next Steps</w:t>
      </w:r>
    </w:p>
    <w:p>
      <w:pPr>
        <w:pStyle w:val="ListBullet"/>
        <w:spacing w:after="60"/>
        <w:ind w:left="432"/>
      </w:pPr>
      <w:r>
        <w:rPr>
          <w:sz w:val="21"/>
        </w:rPr>
        <w:t>Step 1: Review and approve this proposal.</w:t>
      </w:r>
    </w:p>
    <w:p>
      <w:pPr>
        <w:pStyle w:val="ListBullet"/>
        <w:spacing w:after="60"/>
        <w:ind w:left="432"/>
      </w:pPr>
      <w:r>
        <w:rPr>
          <w:sz w:val="21"/>
        </w:rPr>
        <w:t>Step 2: Sign engagement letter and confirm start date.</w:t>
      </w:r>
    </w:p>
    <w:p>
      <w:pPr>
        <w:pStyle w:val="ListBullet"/>
        <w:spacing w:after="60"/>
        <w:ind w:left="432"/>
      </w:pPr>
      <w:r>
        <w:rPr>
          <w:sz w:val="21"/>
        </w:rPr>
        <w:t>Step 3: Kick-off meeting (remote) — agree module priority order.</w:t>
      </w:r>
    </w:p>
    <w:p>
      <w:pPr>
        <w:pStyle w:val="ListBullet"/>
        <w:spacing w:after="60"/>
        <w:ind w:left="432"/>
      </w:pPr>
      <w:r>
        <w:rPr>
          <w:sz w:val="21"/>
        </w:rPr>
        <w:t>Step 4: Schedule on-site dates for Months 3 &amp; 4.</w:t>
      </w:r>
    </w:p>
    <w:p>
      <w:pPr>
        <w:pStyle w:val="ListBullet"/>
        <w:spacing w:after="60"/>
        <w:ind w:left="432"/>
      </w:pPr>
      <w:r>
        <w:rPr>
          <w:sz w:val="21"/>
        </w:rPr>
        <w:t>Step 5: Development begins — first module (Phase 1 completion + Warehouse Structure) delivered within 4 weeks of kick-off.</w:t>
      </w:r>
    </w:p>
    <w:p>
      <w:pPr>
        <w:spacing w:before="600"/>
        <w:jc w:val="center"/>
      </w:pPr>
      <w:r>
        <w:rPr>
          <w:i/>
          <w:color w:val="64748B"/>
          <w:sz w:val="17"/>
        </w:rPr>
        <w:t>This proposal is valid for 30 days from the date of issue.  |  Prepared by: WMS Development Team  |  June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