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Arial" w:cs="Arial" w:eastAsia="Arial" w:hAnsi="Arial"/>
          <w:b w:val="1"/>
          <w:color w:val="4a86e8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286125" cy="702497"/>
            <wp:effectExtent b="0" l="0" r="0" t="0"/>
            <wp:docPr descr="http://www.duoc.cl/normasgraficas/normasgraficas/marca-duoc/6logo-fondo-transparente/fondo-transparente.png" id="1" name="image1.png"/>
            <a:graphic>
              <a:graphicData uri="http://schemas.openxmlformats.org/drawingml/2006/picture">
                <pic:pic>
                  <pic:nvPicPr>
                    <pic:cNvPr descr="http://www.duoc.cl/normasgraficas/normasgraficas/marca-duoc/6logo-fondo-transparente/fondo-transparente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02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rtl w:val="0"/>
        </w:rPr>
        <w:t xml:space="preserve">Documento de Visión del Proyecto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rtl w:val="0"/>
        </w:rPr>
        <w:t xml:space="preserve">“Panorama”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  <w:sectPr>
          <w:footerReference r:id="rId8" w:type="default"/>
          <w:pgSz w:h="15840" w:w="12240" w:orient="portrait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2"/>
        </w:numPr>
        <w:spacing w:after="200" w:before="200" w:lineRule="auto"/>
        <w:ind w:left="720" w:hanging="360"/>
        <w:jc w:val="both"/>
        <w:rPr>
          <w:color w:val="4f81bd"/>
        </w:rPr>
      </w:pPr>
      <w:bookmarkStart w:colFirst="0" w:colLast="0" w:name="_heading=h.8gu9kvbl3avt" w:id="0"/>
      <w:bookmarkEnd w:id="0"/>
      <w:r w:rsidDel="00000000" w:rsidR="00000000" w:rsidRPr="00000000">
        <w:rPr>
          <w:color w:val="4f81bd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8gu9kvbl3av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4c6rmn75uba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jratpr9v45h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Objetivos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8csshmgb17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Alcance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1stbbf47it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Stakeholders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d0qxgmy3uv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Justificación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bulxoits3o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Anexos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ind w:left="0" w:firstLine="0"/>
        <w:rPr/>
        <w:sectPr>
          <w:type w:val="nextPage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2"/>
        </w:numPr>
        <w:spacing w:after="200" w:before="200" w:lineRule="auto"/>
        <w:ind w:left="720" w:hanging="360"/>
        <w:jc w:val="both"/>
        <w:rPr>
          <w:color w:val="4f81bd"/>
        </w:rPr>
      </w:pPr>
      <w:bookmarkStart w:colFirst="0" w:colLast="0" w:name="_heading=h.v4c6rmn75uba" w:id="1"/>
      <w:bookmarkEnd w:id="1"/>
      <w:r w:rsidDel="00000000" w:rsidR="00000000" w:rsidRPr="00000000">
        <w:rPr>
          <w:color w:val="4f81bd"/>
          <w:rtl w:val="0"/>
        </w:rPr>
        <w:t xml:space="preserve">Descripción General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Panorama es una plataforma web diseñada para centralizar, organizar y difundir eventos sociales, culturales y recreativos en la ciudad de Concepción. La solución busca resolver la falta de un espacio unificado que permita: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los organizadores: Publicar eventos con detalles completos (fechas, ubicación, categorías) y acceder a métricas de participación.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los usuarios: Descubrir actividades cercanas mediante filtros avanzados (geolocalización, categorías, fechas) e interactuar con ellas (comentarios, calificaciones).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2"/>
        </w:numPr>
        <w:spacing w:after="200" w:before="200" w:lineRule="auto"/>
        <w:ind w:left="720" w:hanging="360"/>
        <w:jc w:val="both"/>
        <w:rPr>
          <w:color w:val="4f81bd"/>
        </w:rPr>
      </w:pPr>
      <w:bookmarkStart w:colFirst="0" w:colLast="0" w:name="_heading=h.sjratpr9v45h" w:id="2"/>
      <w:bookmarkEnd w:id="2"/>
      <w:r w:rsidDel="00000000" w:rsidR="00000000" w:rsidRPr="00000000">
        <w:rPr>
          <w:color w:val="4f81bd"/>
          <w:rtl w:val="0"/>
        </w:rPr>
        <w:t xml:space="preserve">Objetivos del Proyecto</w:t>
      </w:r>
    </w:p>
    <w:p w:rsidR="00000000" w:rsidDel="00000000" w:rsidP="00000000" w:rsidRDefault="00000000" w:rsidRPr="00000000" w14:paraId="0000001A">
      <w:pPr>
        <w:keepNext w:val="0"/>
        <w:keepLines w:val="0"/>
        <w:shd w:fill="ffffff" w:val="clear"/>
        <w:spacing w:after="4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 General</w:t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ind w:left="720" w:firstLine="0"/>
        <w:jc w:val="both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Desarrollar una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plataforma web centralizada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para la difusión de eventos sociales, culturales y de ocio en Concepción, que mejore la visibilidad de los eventos y fomente la participación comunitaria.</w:t>
      </w:r>
    </w:p>
    <w:p w:rsidR="00000000" w:rsidDel="00000000" w:rsidP="00000000" w:rsidRDefault="00000000" w:rsidRPr="00000000" w14:paraId="0000001C">
      <w:pPr>
        <w:keepNext w:val="0"/>
        <w:keepLines w:val="0"/>
        <w:shd w:fill="ffffff" w:val="clear"/>
        <w:spacing w:after="40" w:before="24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Objetivos Específicos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Aumentar la asistencia a eventos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Incrementar en un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30%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la participación en eventos publicados en la plataforma, comparado con datos históricos de los organizadores, durante los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primeros 6 meses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de operación.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  <w:sz w:val="24"/>
          <w:szCs w:val="24"/>
          <w:rtl w:val="0"/>
        </w:rPr>
        <w:t xml:space="preserve">Indicador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Número de asistentes registrados por evento antes/después de usar Panorama.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Fomentar la interacción de usuarios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Lograr un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25% más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de interacciones (comentarios, valoraciones, eventos guardados/compartidos) en los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primeros 3 meses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  <w:sz w:val="24"/>
          <w:szCs w:val="24"/>
          <w:rtl w:val="0"/>
        </w:rPr>
        <w:t xml:space="preserve">Indicador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Promedio de interacciones por evento medido en analytics.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Impulsar ventas de entradas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(a largo plazo):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Aumentar en un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30%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las ventas de entradas de eventos asociados a la plataforma después de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1 año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before="0" w:beforeAutospacing="0" w:lineRule="auto"/>
        <w:ind w:left="2160" w:hanging="360"/>
        <w:rPr>
          <w:rFonts w:ascii="Calibri" w:cs="Calibri" w:eastAsia="Calibri" w:hAnsi="Calibri"/>
          <w:color w:val="404040"/>
          <w:sz w:val="24"/>
          <w:szCs w:val="24"/>
        </w:rPr>
        <w:sectPr>
          <w:type w:val="nextPage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  <w:sz w:val="24"/>
          <w:szCs w:val="24"/>
          <w:rtl w:val="0"/>
        </w:rPr>
        <w:t xml:space="preserve">Indicador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Reportes de ingresos proporcionados por organizadores.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2"/>
        </w:numPr>
        <w:spacing w:after="200" w:before="200" w:lineRule="auto"/>
        <w:ind w:left="720" w:hanging="360"/>
        <w:jc w:val="both"/>
        <w:rPr>
          <w:color w:val="4f81bd"/>
        </w:rPr>
      </w:pPr>
      <w:bookmarkStart w:colFirst="0" w:colLast="0" w:name="_heading=h.v8csshmgb17g" w:id="3"/>
      <w:bookmarkEnd w:id="3"/>
      <w:r w:rsidDel="00000000" w:rsidR="00000000" w:rsidRPr="00000000">
        <w:rPr>
          <w:color w:val="4f81bd"/>
          <w:rtl w:val="0"/>
        </w:rPr>
        <w:t xml:space="preserve">Alcance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spacing w:after="0" w:before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Módulos Principales Incluidos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before="0" w:line="240" w:lineRule="auto"/>
        <w:ind w:left="216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Gestión de usuarios (RF01-RF02, RF05)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spacing w:after="0" w:line="240" w:lineRule="auto"/>
        <w:ind w:left="28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Registro y autenticación de usuarios y organizadores.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spacing w:after="0" w:line="240" w:lineRule="auto"/>
        <w:ind w:left="28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Gestión de perfiles de usuario (actualización de datos).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line="240" w:lineRule="auto"/>
        <w:ind w:left="216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Publicación de eventos (RF06-RF07)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spacing w:after="0" w:line="240" w:lineRule="auto"/>
        <w:ind w:left="28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Creación, edición y visualización de eventos.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spacing w:after="0" w:line="240" w:lineRule="auto"/>
        <w:ind w:left="28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Asociación de eventos con categorías predefinidas.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line="240" w:lineRule="auto"/>
        <w:ind w:left="216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Interacción básica (RF14)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spacing w:after="0" w:line="240" w:lineRule="auto"/>
        <w:ind w:left="28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Calificación y comentarios en eventos publicados.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line="240" w:lineRule="auto"/>
        <w:ind w:left="216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Administración básica del sistema (RF16, RF18)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spacing w:after="0" w:line="240" w:lineRule="auto"/>
        <w:ind w:left="28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Moderación de contenido por parte de administradores.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spacing w:after="0" w:line="240" w:lineRule="auto"/>
        <w:ind w:left="28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Envío de alertas a usuarios sobre cambios en el estado del evento (cancelado, modificado, etc.).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hd w:fill="ffffff" w:val="clear"/>
        <w:spacing w:after="0" w:before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Tecnologías clave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Next.js (frontend), Bun.js (backend), Supabase en base 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PostgresSQL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(BD).</w:t>
      </w:r>
    </w:p>
    <w:p w:rsidR="00000000" w:rsidDel="00000000" w:rsidP="00000000" w:rsidRDefault="00000000" w:rsidRPr="00000000" w14:paraId="00000034">
      <w:pPr>
        <w:keepNext w:val="0"/>
        <w:keepLines w:val="0"/>
        <w:numPr>
          <w:ilvl w:val="0"/>
          <w:numId w:val="4"/>
        </w:numPr>
        <w:shd w:fill="ffffff" w:val="clear"/>
        <w:spacing w:after="0" w:before="0" w:line="240" w:lineRule="auto"/>
        <w:ind w:left="1440" w:hanging="36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Excluye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hd w:fill="ffffff" w:val="clear"/>
        <w:spacing w:after="0" w:before="0" w:line="240" w:lineRule="auto"/>
        <w:ind w:left="216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Venta de entradas (fuera del MVP).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hd w:fill="ffffff" w:val="clear"/>
        <w:spacing w:after="0" w:before="0" w:line="240" w:lineRule="auto"/>
        <w:ind w:left="216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Desarrollo de apps móviles nativas (solo web responsive).</w:t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2"/>
        </w:numPr>
        <w:spacing w:after="200" w:before="200" w:line="240" w:lineRule="auto"/>
        <w:ind w:left="720" w:hanging="360"/>
        <w:jc w:val="both"/>
        <w:rPr>
          <w:color w:val="4f81bd"/>
        </w:rPr>
      </w:pPr>
      <w:bookmarkStart w:colFirst="0" w:colLast="0" w:name="_heading=h.21stbbf47itb" w:id="4"/>
      <w:bookmarkEnd w:id="4"/>
      <w:r w:rsidDel="00000000" w:rsidR="00000000" w:rsidRPr="00000000">
        <w:rPr>
          <w:color w:val="4f81bd"/>
          <w:rtl w:val="0"/>
        </w:rPr>
        <w:t xml:space="preserve">Stakeholders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92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640"/>
            <w:gridCol w:w="2640"/>
            <w:gridCol w:w="2640"/>
            <w:tblGridChange w:id="0">
              <w:tblGrid>
                <w:gridCol w:w="2640"/>
                <w:gridCol w:w="2640"/>
                <w:gridCol w:w="2640"/>
              </w:tblGrid>
            </w:tblGridChange>
          </w:tblGrid>
          <w:tr>
            <w:trPr>
              <w:cantSplit w:val="0"/>
              <w:trHeight w:val="810.93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Rol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Interés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Requerimientos Asociados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Usuarios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Encontrar eventos relevantes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RF03, RF11-RF15, RNF.7 (Accesibilidad)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Organizadores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Promocionar eventos y medir impacto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RF06-RF07, RF19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Administradores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Moderar contenido y gestionar reportes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RF05, RF09-RF10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before="0" w:lineRule="auto"/>
        <w:ind w:left="720" w:hanging="360"/>
        <w:rPr>
          <w:color w:val="4f81bd"/>
        </w:rPr>
        <w:sectPr>
          <w:type w:val="nextPage"/>
          <w:pgSz w:h="15840" w:w="12240" w:orient="portrait"/>
          <w:pgMar w:bottom="1440" w:top="1440" w:left="1800" w:right="1800" w:header="720" w:footer="720"/>
        </w:sectPr>
      </w:pPr>
      <w:bookmarkStart w:colFirst="0" w:colLast="0" w:name="_heading=h.4hisuernnrz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2"/>
        </w:numPr>
        <w:spacing w:after="200" w:before="200" w:lineRule="auto"/>
        <w:ind w:left="720" w:hanging="360"/>
        <w:jc w:val="both"/>
        <w:rPr>
          <w:color w:val="4f81bd"/>
        </w:rPr>
      </w:pPr>
      <w:bookmarkStart w:colFirst="0" w:colLast="0" w:name="_heading=h.gd0qxgmy3uvj" w:id="6"/>
      <w:bookmarkEnd w:id="6"/>
      <w:r w:rsidDel="00000000" w:rsidR="00000000" w:rsidRPr="00000000">
        <w:rPr>
          <w:color w:val="4f81bd"/>
          <w:rtl w:val="0"/>
        </w:rPr>
        <w:t xml:space="preserve">Justificación</w:t>
      </w:r>
    </w:p>
    <w:p w:rsidR="00000000" w:rsidDel="00000000" w:rsidP="00000000" w:rsidRDefault="00000000" w:rsidRPr="00000000" w14:paraId="00000047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Problema Actual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Fragmentación de información: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eventos se anuncian en redes sociales o páginas dispersas (ej: Facebook, carteles físicos), lo que dificulta su descubrimiento.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Falta de métricas: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Los organizadores no pueden medir el interés real en sus eventos.</w:t>
      </w:r>
    </w:p>
    <w:p w:rsidR="00000000" w:rsidDel="00000000" w:rsidP="00000000" w:rsidRDefault="00000000" w:rsidRPr="00000000" w14:paraId="0000004A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Innovación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Primera plataforma unificada en Concepción con: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Geolocalización priorizada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(SYS-005)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Enfoque social: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Fomenta la participación comunitaria y el acceso a la cultura.</w:t>
      </w:r>
    </w:p>
    <w:p w:rsidR="00000000" w:rsidDel="00000000" w:rsidP="00000000" w:rsidRDefault="00000000" w:rsidRPr="00000000" w14:paraId="0000004E">
      <w:pPr>
        <w:spacing w:after="0" w:before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Ventaja Competitiva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Alineación con atributos de calidad ISO 25010: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Usabilidad (RNF.7), Escalabilidad (RNF.3), y Seguridad (RNF.4).</w:t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2"/>
        </w:numPr>
        <w:spacing w:after="200" w:before="200" w:lineRule="auto"/>
        <w:ind w:left="720" w:hanging="360"/>
        <w:jc w:val="both"/>
        <w:rPr>
          <w:b w:val="0"/>
          <w:color w:val="4f81bd"/>
          <w:sz w:val="28"/>
          <w:szCs w:val="28"/>
        </w:rPr>
      </w:pPr>
      <w:bookmarkStart w:colFirst="0" w:colLast="0" w:name="_heading=h.1bulxoits3ol" w:id="7"/>
      <w:bookmarkEnd w:id="7"/>
      <w:r w:rsidDel="00000000" w:rsidR="00000000" w:rsidRPr="00000000">
        <w:rPr>
          <w:color w:val="4f81bd"/>
          <w:rtl w:val="0"/>
        </w:rPr>
        <w:t xml:space="preserve">Anexos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/>
        <w:ind w:left="1440" w:hanging="360"/>
        <w:jc w:val="both"/>
        <w:rPr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Planilla de requerimientos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1440" w:hanging="360"/>
        <w:jc w:val="both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Definición del proyecto</w:t>
        </w:r>
      </w:hyperlink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jc w:val="right"/>
      <w:rPr>
        <w:rFonts w:ascii="Calibri" w:cs="Calibri" w:eastAsia="Calibri" w:hAnsi="Calibri"/>
        <w:b w:val="1"/>
        <w:color w:val="404040"/>
        <w:sz w:val="24"/>
        <w:szCs w:val="24"/>
        <w:highlight w:val="white"/>
      </w:rPr>
    </w:pPr>
    <w:r w:rsidDel="00000000" w:rsidR="00000000" w:rsidRPr="00000000">
      <w:rPr>
        <w:rFonts w:ascii="Calibri" w:cs="Calibri" w:eastAsia="Calibri" w:hAnsi="Calibri"/>
        <w:b w:val="1"/>
        <w:i w:val="1"/>
        <w:color w:val="404040"/>
        <w:sz w:val="24"/>
        <w:szCs w:val="24"/>
        <w:highlight w:val="white"/>
        <w:rtl w:val="0"/>
      </w:rPr>
      <w:t xml:space="preserve">Versión 1.0</w:t>
    </w:r>
    <w:r w:rsidDel="00000000" w:rsidR="00000000" w:rsidRPr="00000000">
      <w:rPr>
        <w:rFonts w:ascii="Calibri" w:cs="Calibri" w:eastAsia="Calibri" w:hAnsi="Calibri"/>
        <w:b w:val="1"/>
        <w:color w:val="404040"/>
        <w:sz w:val="24"/>
        <w:szCs w:val="24"/>
        <w:highlight w:val="white"/>
        <w:rtl w:val="0"/>
      </w:rPr>
      <w:t xml:space="preserve">  Página </w:t>
    </w:r>
    <w:r w:rsidDel="00000000" w:rsidR="00000000" w:rsidRPr="00000000">
      <w:rPr>
        <w:rFonts w:ascii="Calibri" w:cs="Calibri" w:eastAsia="Calibri" w:hAnsi="Calibri"/>
        <w:b w:val="1"/>
        <w:color w:val="404040"/>
        <w:sz w:val="24"/>
        <w:szCs w:val="24"/>
        <w:highlight w:val="whit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EMXEYKAtbJzGNrZGx4QN124K7JKKSceL/edit?usp=sharing&amp;ouid=118010842612824551850&amp;rtpof=true&amp;sd=true" TargetMode="External"/><Relationship Id="rId9" Type="http://schemas.openxmlformats.org/officeDocument/2006/relationships/hyperlink" Target="https://docs.google.com/spreadsheets/d/1IDemyGH0dX7Pkzy8Ph_Ch2Y1u5XTmOWX/edit?usp=sharing&amp;ouid=118010842612824551850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INSVeMHaSFcF6PBBS1xk3gAnAw==">CgMxLjAaHwoBMBIaChgICVIUChJ0YWJsZS5udWducjl5dzN1Y3YyDmguOGd1OWt2YmwzYXZ0Mg5oLnY0YzZybW43NXViYTIOaC5zanJhdHByOXY0NWgyDmgudjhjc3NobWdiMTdnMg5oLjIxc3RiYmY0N2l0YjIOaC40aGlzdWVybm5yejQyDmguZ2QwcXhnbXkzdXZqMg5oLjFidWx4b2l0czNvbDgAciExZm16NU5ueWVKV283YlFJZEtpdGNHdS1CV3VkNEIxUE8=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