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pBdr>
          <w:top w:color="000000" w:space="1" w:sz="24" w:val="single"/>
          <w:left w:color="000000" w:space="4" w:sz="24" w:val="single"/>
          <w:bottom w:color="000000" w:space="1" w:sz="24" w:val="single"/>
          <w:right w:color="000000" w:space="4" w:sz="24" w:val="single"/>
        </w:pBdr>
        <w:spacing w:after="160" w:before="480" w:line="259" w:lineRule="auto"/>
        <w:jc w:val="center"/>
        <w:rPr>
          <w:rFonts w:ascii="Calibri" w:cs="Calibri" w:eastAsia="Calibri" w:hAnsi="Calibri"/>
          <w:b w:val="1"/>
          <w:bCs w:val="1"/>
          <w:sz w:val="52"/>
          <w:szCs w:val="52"/>
        </w:rPr>
      </w:pPr>
      <w:r w:rsidDel="00000000" w:rsidR="00000000" w:rsidRPr="00000000">
        <w:rPr>
          <w:rFonts w:ascii="Calibri" w:cs="Calibri" w:eastAsia="Calibri" w:hAnsi="Calibri"/>
          <w:b w:val="1"/>
          <w:bCs w:val="1"/>
          <w:sz w:val="52"/>
          <w:szCs w:val="52"/>
          <w:rtl w:val="0"/>
        </w:rPr>
        <w:t xml:space="preserve">R1 UKSO University CC vs. West Windsor Plainsboro South DJ</w:t>
      </w:r>
    </w:p>
    <w:p w:rsidR="00000000" w:rsidDel="00000000" w:rsidP="00000000" w:rsidRDefault="00000000" w:rsidRPr="00000000" w14:paraId="00000002">
      <w:pPr>
        <w:pStyle w:val="Heading2"/>
        <w:pageBreakBefore w:val="1"/>
        <w:spacing w:after="160" w:before="480" w:line="259" w:lineRule="auto"/>
        <w:jc w:val="center"/>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sz w:val="44"/>
          <w:szCs w:val="44"/>
          <w:u w:val="single"/>
          <w:rtl w:val="0"/>
        </w:rPr>
        <w:t xml:space="preserve">1NC</w:t>
      </w:r>
      <w:r w:rsidDel="00000000" w:rsidR="00000000" w:rsidRPr="00000000">
        <w:rPr>
          <w:rtl w:val="0"/>
        </w:rPr>
      </w:r>
    </w:p>
    <w:p w:rsidR="00000000" w:rsidDel="00000000" w:rsidP="00000000" w:rsidRDefault="00000000" w:rsidRPr="00000000" w14:paraId="00000003">
      <w:pPr>
        <w:pStyle w:val="Heading2"/>
        <w:pageBreakBefore w:val="1"/>
        <w:spacing w:after="160" w:before="48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1NC---A Frozen Future</w:t>
      </w:r>
    </w:p>
    <w:p w:rsidR="00000000" w:rsidDel="00000000" w:rsidP="00000000" w:rsidRDefault="00000000" w:rsidRPr="00000000" w14:paraId="00000004">
      <w:pPr>
        <w:spacing w:before="24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While the affirmative wants you to fear the expansion of data centers,</w:t>
      </w:r>
      <w:r w:rsidDel="00000000" w:rsidR="00000000" w:rsidRPr="00000000">
        <w:rPr>
          <w:rtl w:val="0"/>
        </w:rPr>
      </w:r>
    </w:p>
    <w:p w:rsidR="00000000" w:rsidDel="00000000" w:rsidP="00000000" w:rsidRDefault="00000000" w:rsidRPr="00000000" w14:paraId="00000005">
      <w:pPr>
        <w:spacing w:after="24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Bloomberg 26</w:t>
      </w:r>
      <w:r w:rsidDel="00000000" w:rsidR="00000000" w:rsidRPr="00000000">
        <w:rPr>
          <w:rFonts w:ascii="Calibri" w:cs="Calibri" w:eastAsia="Calibri" w:hAnsi="Calibri"/>
          <w:rtl w:val="0"/>
        </w:rPr>
        <w:t xml:space="preserve"> [Bloomberg, Global Leader in Business and Financial Information, 5-5-2026, "Data Centers' Benefits for Economy, Innovation Outweigh Costs," Bloomberg, DOA: 08-29-2026, OG Evidence: https://www.bloomberg.com/opinion/articles/2026-05-05/data-centers-benefits-for-economy-innovation-outweigh-costs, Unpaywalled Evidence: https://archive.ph/tq4gq] //USNS</w:t>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a bunch of unremarkable warehouses, they’re generating a lot of controversy. Data centers — low-slung facilities that house the server racks and energy systems that underpin the digital economy — have become a heated issue on the campaign trail. Politicians from both parties are pushing bills to restrict them. Some want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nationwide “moratorium</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highlight w:val="cyan"/>
          <w:u w:val="single"/>
          <w:rtl w:val="0"/>
        </w:rPr>
        <w:t xml:space="preserve">would be a historic mistake</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About 4,000 </w:t>
      </w: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sz w:val="16"/>
          <w:szCs w:val="16"/>
          <w:rtl w:val="0"/>
        </w:rPr>
        <w:t xml:space="preserve"> now dot the US, according to one estimate, with 3,000 more on the way. </w:t>
      </w:r>
      <w:r w:rsidDel="00000000" w:rsidR="00000000" w:rsidRPr="00000000">
        <w:rPr>
          <w:rFonts w:ascii="Calibri" w:cs="Calibri" w:eastAsia="Calibri" w:hAnsi="Calibri"/>
          <w:u w:val="single"/>
          <w:rtl w:val="0"/>
        </w:rPr>
        <w:t xml:space="preserve">Global capital expenditure exceeded $450 billion in 2024.</w:t>
      </w:r>
      <w:r w:rsidDel="00000000" w:rsidR="00000000" w:rsidRPr="00000000">
        <w:rPr>
          <w:rFonts w:ascii="Calibri" w:cs="Calibri" w:eastAsia="Calibri" w:hAnsi="Calibri"/>
          <w:sz w:val="16"/>
          <w:szCs w:val="16"/>
          <w:rtl w:val="0"/>
        </w:rPr>
        <w:t xml:space="preserve"> Such facilities </w:t>
      </w:r>
      <w:r w:rsidDel="00000000" w:rsidR="00000000" w:rsidRPr="00000000">
        <w:rPr>
          <w:rFonts w:ascii="Calibri" w:cs="Calibri" w:eastAsia="Calibri" w:hAnsi="Calibri"/>
          <w:highlight w:val="cyan"/>
          <w:u w:val="single"/>
          <w:rtl w:val="0"/>
        </w:rPr>
        <w:t xml:space="preserve">sustain</w:t>
      </w:r>
      <w:r w:rsidDel="00000000" w:rsidR="00000000" w:rsidRPr="00000000">
        <w:rPr>
          <w:rFonts w:ascii="Calibri" w:cs="Calibri" w:eastAsia="Calibri" w:hAnsi="Calibri"/>
          <w:u w:val="single"/>
          <w:rtl w:val="0"/>
        </w:rPr>
        <w:t xml:space="preserve"> much of modern life: cloud computing for </w:t>
      </w:r>
      <w:r w:rsidDel="00000000" w:rsidR="00000000" w:rsidRPr="00000000">
        <w:rPr>
          <w:rFonts w:ascii="Calibri" w:cs="Calibri" w:eastAsia="Calibri" w:hAnsi="Calibri"/>
          <w:highlight w:val="cyan"/>
          <w:u w:val="single"/>
          <w:rtl w:val="0"/>
        </w:rPr>
        <w:t xml:space="preserve">communications, finance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health care; consumer services</w:t>
      </w:r>
      <w:r w:rsidDel="00000000" w:rsidR="00000000" w:rsidRPr="00000000">
        <w:rPr>
          <w:rFonts w:ascii="Calibri" w:cs="Calibri" w:eastAsia="Calibri" w:hAnsi="Calibri"/>
          <w:u w:val="single"/>
          <w:rtl w:val="0"/>
        </w:rPr>
        <w:t xml:space="preserve"> such as YouTube, TikTok and Zoom;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increasingly, the training, fine-tuning and inference processes used by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ntelligence models.</w:t>
      </w: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the areas hosting them, these centers can be a boon. For one thing, </w:t>
      </w:r>
      <w:r w:rsidDel="00000000" w:rsidR="00000000" w:rsidRPr="00000000">
        <w:rPr>
          <w:rFonts w:ascii="Calibri" w:cs="Calibri" w:eastAsia="Calibri" w:hAnsi="Calibri"/>
          <w:highlight w:val="cyan"/>
          <w:u w:val="single"/>
          <w:rtl w:val="0"/>
        </w:rPr>
        <w:t xml:space="preserve">they</w:t>
      </w:r>
      <w:r w:rsidDel="00000000" w:rsidR="00000000" w:rsidRPr="00000000">
        <w:rPr>
          <w:rFonts w:ascii="Calibri" w:cs="Calibri" w:eastAsia="Calibri" w:hAnsi="Calibri"/>
          <w:u w:val="single"/>
          <w:rtl w:val="0"/>
        </w:rPr>
        <w:t xml:space="preserve"> lure tax dollars without consuming much in services</w:t>
      </w:r>
      <w:r w:rsidDel="00000000" w:rsidR="00000000" w:rsidRPr="00000000">
        <w:rPr>
          <w:rFonts w:ascii="Calibri" w:cs="Calibri" w:eastAsia="Calibri" w:hAnsi="Calibri"/>
          <w:sz w:val="16"/>
          <w:szCs w:val="16"/>
          <w:rtl w:val="0"/>
        </w:rPr>
        <w:t xml:space="preserve">; in Virginia’s Loudoun County, they </w:t>
      </w:r>
      <w:r w:rsidDel="00000000" w:rsidR="00000000" w:rsidRPr="00000000">
        <w:rPr>
          <w:rFonts w:ascii="Calibri" w:cs="Calibri" w:eastAsia="Calibri" w:hAnsi="Calibri"/>
          <w:highlight w:val="cyan"/>
          <w:u w:val="single"/>
          <w:rtl w:val="0"/>
        </w:rPr>
        <w:t xml:space="preserve">generate </w:t>
      </w:r>
      <w:r w:rsidDel="00000000" w:rsidR="00000000" w:rsidRPr="00000000">
        <w:rPr>
          <w:rFonts w:ascii="Calibri" w:cs="Calibri" w:eastAsia="Calibri" w:hAnsi="Calibri"/>
          <w:u w:val="single"/>
          <w:rtl w:val="0"/>
        </w:rPr>
        <w:t xml:space="preserve">nearly</w:t>
      </w:r>
      <w:r w:rsidDel="00000000" w:rsidR="00000000" w:rsidRPr="00000000">
        <w:rPr>
          <w:rFonts w:ascii="Calibri" w:cs="Calibri" w:eastAsia="Calibri" w:hAnsi="Calibri"/>
          <w:highlight w:val="cyan"/>
          <w:u w:val="single"/>
          <w:rtl w:val="0"/>
        </w:rPr>
        <w:t xml:space="preserve"> half of</w:t>
      </w:r>
      <w:r w:rsidDel="00000000" w:rsidR="00000000" w:rsidRPr="00000000">
        <w:rPr>
          <w:rFonts w:ascii="Calibri" w:cs="Calibri" w:eastAsia="Calibri" w:hAnsi="Calibri"/>
          <w:u w:val="single"/>
          <w:rtl w:val="0"/>
        </w:rPr>
        <w:t xml:space="preserve"> total </w:t>
      </w:r>
      <w:r w:rsidDel="00000000" w:rsidR="00000000" w:rsidRPr="00000000">
        <w:rPr>
          <w:rFonts w:ascii="Calibri" w:cs="Calibri" w:eastAsia="Calibri" w:hAnsi="Calibri"/>
          <w:highlight w:val="cyan"/>
          <w:u w:val="single"/>
          <w:rtl w:val="0"/>
        </w:rPr>
        <w:t xml:space="preserve">revenue, funding schools, tax cuts and more.</w:t>
      </w:r>
      <w:r w:rsidDel="00000000" w:rsidR="00000000" w:rsidRPr="00000000">
        <w:rPr>
          <w:rFonts w:ascii="Calibri" w:cs="Calibri" w:eastAsia="Calibri" w:hAnsi="Calibri"/>
          <w:sz w:val="16"/>
          <w:szCs w:val="16"/>
          <w:rtl w:val="0"/>
        </w:rPr>
        <w:t xml:space="preserve"> To support them, utilities often expand substations, add transmission capacity and build out new fiber, all of which </w:t>
      </w:r>
      <w:r w:rsidDel="00000000" w:rsidR="00000000" w:rsidRPr="00000000">
        <w:rPr>
          <w:rFonts w:ascii="Calibri" w:cs="Calibri" w:eastAsia="Calibri" w:hAnsi="Calibri"/>
          <w:b w:val="1"/>
          <w:bCs w:val="1"/>
          <w:highlight w:val="cyan"/>
          <w:u w:val="single"/>
          <w:rtl w:val="0"/>
        </w:rPr>
        <w:t xml:space="preserve">benefits locals</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6"/>
          <w:szCs w:val="16"/>
          <w:rtl w:val="0"/>
        </w:rPr>
        <w:t xml:space="preserve"> Construction may be a pain, but it typically leads to </w:t>
      </w:r>
      <w:r w:rsidDel="00000000" w:rsidR="00000000" w:rsidRPr="00000000">
        <w:rPr>
          <w:rFonts w:ascii="Calibri" w:cs="Calibri" w:eastAsia="Calibri" w:hAnsi="Calibri"/>
          <w:highlight w:val="cyan"/>
          <w:u w:val="single"/>
          <w:rtl w:val="0"/>
        </w:rPr>
        <w:t xml:space="preserve">better roads, waterworks, renewable capacity</w:t>
      </w:r>
      <w:r w:rsidDel="00000000" w:rsidR="00000000" w:rsidRPr="00000000">
        <w:rPr>
          <w:rFonts w:ascii="Calibri" w:cs="Calibri" w:eastAsia="Calibri" w:hAnsi="Calibri"/>
          <w:u w:val="single"/>
          <w:rtl w:val="0"/>
        </w:rPr>
        <w:t xml:space="preserve"> and much else.</w:t>
      </w:r>
      <w:r w:rsidDel="00000000" w:rsidR="00000000" w:rsidRPr="00000000">
        <w:rPr>
          <w:rtl w:val="0"/>
        </w:rPr>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More crucially, </w:t>
      </w:r>
      <w:r w:rsidDel="00000000" w:rsidR="00000000" w:rsidRPr="00000000">
        <w:rPr>
          <w:rFonts w:ascii="Calibri" w:cs="Calibri" w:eastAsia="Calibri" w:hAnsi="Calibri"/>
          <w:highlight w:val="cyan"/>
          <w:u w:val="single"/>
          <w:rtl w:val="0"/>
        </w:rPr>
        <w:t xml:space="preserve">data centers increase growth</w:t>
      </w:r>
      <w:r w:rsidDel="00000000" w:rsidR="00000000" w:rsidRPr="00000000">
        <w:rPr>
          <w:rFonts w:ascii="Calibri" w:cs="Calibri" w:eastAsia="Calibri" w:hAnsi="Calibri"/>
          <w:u w:val="single"/>
          <w:rtl w:val="0"/>
        </w:rPr>
        <w:t xml:space="preserve"> and productivity </w:t>
      </w:r>
      <w:r w:rsidDel="00000000" w:rsidR="00000000" w:rsidRPr="00000000">
        <w:rPr>
          <w:rFonts w:ascii="Calibri" w:cs="Calibri" w:eastAsia="Calibri" w:hAnsi="Calibri"/>
          <w:highlight w:val="cyan"/>
          <w:u w:val="single"/>
          <w:rtl w:val="0"/>
        </w:rPr>
        <w:t xml:space="preserve">economywide</w:t>
      </w:r>
      <w:r w:rsidDel="00000000" w:rsidR="00000000" w:rsidRPr="00000000">
        <w:rPr>
          <w:rFonts w:ascii="Calibri" w:cs="Calibri" w:eastAsia="Calibri" w:hAnsi="Calibri"/>
          <w:sz w:val="16"/>
          <w:szCs w:val="16"/>
          <w:rtl w:val="0"/>
        </w:rPr>
        <w:t xml:space="preserve">. One study found that they </w:t>
      </w:r>
      <w:r w:rsidDel="00000000" w:rsidR="00000000" w:rsidRPr="00000000">
        <w:rPr>
          <w:rFonts w:ascii="Calibri" w:cs="Calibri" w:eastAsia="Calibri" w:hAnsi="Calibri"/>
          <w:highlight w:val="cyan"/>
          <w:u w:val="single"/>
          <w:rtl w:val="0"/>
        </w:rPr>
        <w:t xml:space="preserve">contributed $727 billion to US g</w:t>
      </w:r>
      <w:r w:rsidDel="00000000" w:rsidR="00000000" w:rsidRPr="00000000">
        <w:rPr>
          <w:rFonts w:ascii="Calibri" w:cs="Calibri" w:eastAsia="Calibri" w:hAnsi="Calibri"/>
          <w:u w:val="single"/>
          <w:rtl w:val="0"/>
        </w:rPr>
        <w:t xml:space="preserve">ross </w:t>
      </w:r>
      <w:r w:rsidDel="00000000" w:rsidR="00000000" w:rsidRPr="00000000">
        <w:rPr>
          <w:rFonts w:ascii="Calibri" w:cs="Calibri" w:eastAsia="Calibri" w:hAnsi="Calibri"/>
          <w:highlight w:val="cyan"/>
          <w:u w:val="single"/>
          <w:rtl w:val="0"/>
        </w:rPr>
        <w:t xml:space="preserve">d</w:t>
      </w:r>
      <w:r w:rsidDel="00000000" w:rsidR="00000000" w:rsidRPr="00000000">
        <w:rPr>
          <w:rFonts w:ascii="Calibri" w:cs="Calibri" w:eastAsia="Calibri" w:hAnsi="Calibri"/>
          <w:u w:val="single"/>
          <w:rtl w:val="0"/>
        </w:rPr>
        <w:t xml:space="preserve">omestic </w:t>
      </w:r>
      <w:r w:rsidDel="00000000" w:rsidR="00000000" w:rsidRPr="00000000">
        <w:rPr>
          <w:rFonts w:ascii="Calibri" w:cs="Calibri" w:eastAsia="Calibri" w:hAnsi="Calibri"/>
          <w:highlight w:val="cyan"/>
          <w:u w:val="single"/>
          <w:rtl w:val="0"/>
        </w:rPr>
        <w:t xml:space="preserve">p</w:t>
      </w:r>
      <w:r w:rsidDel="00000000" w:rsidR="00000000" w:rsidRPr="00000000">
        <w:rPr>
          <w:rFonts w:ascii="Calibri" w:cs="Calibri" w:eastAsia="Calibri" w:hAnsi="Calibri"/>
          <w:u w:val="single"/>
          <w:rtl w:val="0"/>
        </w:rPr>
        <w:t xml:space="preserve">roduct</w:t>
      </w:r>
      <w:r w:rsidDel="00000000" w:rsidR="00000000" w:rsidRPr="00000000">
        <w:rPr>
          <w:rFonts w:ascii="Calibri" w:cs="Calibri" w:eastAsia="Calibri" w:hAnsi="Calibri"/>
          <w:sz w:val="16"/>
          <w:szCs w:val="16"/>
          <w:rtl w:val="0"/>
        </w:rPr>
        <w:t xml:space="preserve"> in 2023, with each industry job supporting 6 1/2 elsewhere. They’ll </w:t>
      </w:r>
      <w:r w:rsidDel="00000000" w:rsidR="00000000" w:rsidRPr="00000000">
        <w:rPr>
          <w:rFonts w:ascii="Calibri" w:cs="Calibri" w:eastAsia="Calibri" w:hAnsi="Calibri"/>
          <w:b w:val="1"/>
          <w:bCs w:val="1"/>
          <w:highlight w:val="cyan"/>
          <w:u w:val="single"/>
          <w:rtl w:val="0"/>
        </w:rPr>
        <w:t xml:space="preserve">only get more important</w:t>
      </w:r>
      <w:r w:rsidDel="00000000" w:rsidR="00000000" w:rsidRPr="00000000">
        <w:rPr>
          <w:rFonts w:ascii="Calibri" w:cs="Calibri" w:eastAsia="Calibri" w:hAnsi="Calibri"/>
          <w:sz w:val="16"/>
          <w:szCs w:val="16"/>
          <w:rtl w:val="0"/>
        </w:rPr>
        <w:t xml:space="preserve"> with the advance of AI — which is highly dependent on centralized computing clusters and which may itself boost GDP by 1.5% by 2035.</w:t>
      </w:r>
      <w:r w:rsidDel="00000000" w:rsidR="00000000" w:rsidRPr="00000000">
        <w:rPr>
          <w:rtl w:val="0"/>
        </w:rPr>
      </w:r>
    </w:p>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&lt;&lt;&lt;FIGURE OMITTED&gt;&gt;&gt;</w:t>
      </w: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That said, data centers have drawbacks. They can be large, loud and ugly. They can consume a lot of water and electricity. They’ve also become something of a stand-in for broader anxieties about AI. As a result, many are facing protests or lawsuits, while about a dozen states are considering bills to restrict them. By one estimate, such opposition has impeded at least $156 billion in potential investment.</w:t>
      </w: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 what should be done?</w:t>
      </w: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First, do no harm.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 national </w:t>
      </w:r>
      <w:r w:rsidDel="00000000" w:rsidR="00000000" w:rsidRPr="00000000">
        <w:rPr>
          <w:rFonts w:ascii="Calibri" w:cs="Calibri" w:eastAsia="Calibri" w:hAnsi="Calibri"/>
          <w:highlight w:val="cyan"/>
          <w:u w:val="single"/>
          <w:rtl w:val="0"/>
        </w:rPr>
        <w:t xml:space="preserve">moratorium</w:t>
      </w:r>
      <w:r w:rsidDel="00000000" w:rsidR="00000000" w:rsidRPr="00000000">
        <w:rPr>
          <w:rFonts w:ascii="Calibri" w:cs="Calibri" w:eastAsia="Calibri" w:hAnsi="Calibri"/>
          <w:sz w:val="16"/>
          <w:szCs w:val="16"/>
          <w:rtl w:val="0"/>
        </w:rPr>
        <w:t xml:space="preserve"> — as several lawmakers have proposed — </w:t>
      </w:r>
      <w:r w:rsidDel="00000000" w:rsidR="00000000" w:rsidRPr="00000000">
        <w:rPr>
          <w:rFonts w:ascii="Calibri" w:cs="Calibri" w:eastAsia="Calibri" w:hAnsi="Calibri"/>
          <w:highlight w:val="cyan"/>
          <w:u w:val="single"/>
          <w:rtl w:val="0"/>
        </w:rPr>
        <w:t xml:space="preserve">would</w:t>
      </w:r>
      <w:r w:rsidDel="00000000" w:rsidR="00000000" w:rsidRPr="00000000">
        <w:rPr>
          <w:rFonts w:ascii="Calibri" w:cs="Calibri" w:eastAsia="Calibri" w:hAnsi="Calibri"/>
          <w:u w:val="single"/>
          <w:rtl w:val="0"/>
        </w:rPr>
        <w:t xml:space="preserve"> only </w:t>
      </w:r>
      <w:r w:rsidDel="00000000" w:rsidR="00000000" w:rsidRPr="00000000">
        <w:rPr>
          <w:rFonts w:ascii="Calibri" w:cs="Calibri" w:eastAsia="Calibri" w:hAnsi="Calibri"/>
          <w:highlight w:val="cyan"/>
          <w:u w:val="single"/>
          <w:rtl w:val="0"/>
        </w:rPr>
        <w:t xml:space="preserve">slow growth, hinder innovation</w:t>
      </w:r>
      <w:r w:rsidDel="00000000" w:rsidR="00000000" w:rsidRPr="00000000">
        <w:rPr>
          <w:rFonts w:ascii="Calibri" w:cs="Calibri" w:eastAsia="Calibri" w:hAnsi="Calibri"/>
          <w:u w:val="single"/>
          <w:rtl w:val="0"/>
        </w:rPr>
        <w:t xml:space="preserve"> and erode America’s lead in the AI race. </w:t>
      </w:r>
      <w:r w:rsidDel="00000000" w:rsidR="00000000" w:rsidRPr="00000000">
        <w:rPr>
          <w:rFonts w:ascii="Calibri" w:cs="Calibri" w:eastAsia="Calibri" w:hAnsi="Calibri"/>
          <w:b w:val="1"/>
          <w:bCs w:val="1"/>
          <w:u w:val="single"/>
          <w:rtl w:val="0"/>
        </w:rPr>
        <w:t xml:space="preserve">Better to reap the benefits</w:t>
      </w:r>
      <w:r w:rsidDel="00000000" w:rsidR="00000000" w:rsidRPr="00000000">
        <w:rPr>
          <w:rFonts w:ascii="Calibri" w:cs="Calibri" w:eastAsia="Calibri" w:hAnsi="Calibri"/>
          <w:sz w:val="16"/>
          <w:szCs w:val="16"/>
          <w:rtl w:val="0"/>
        </w:rPr>
        <w:t xml:space="preserve"> of data centers while mitigating the downsides.</w:t>
      </w: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Take water use. Many </w:t>
      </w: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sz w:val="16"/>
          <w:szCs w:val="16"/>
          <w:rtl w:val="0"/>
        </w:rPr>
        <w:t xml:space="preserve"> use liquid-based cooling to alleviate the intense heat produced by high-energy chips. In some areas, this may stress already-constrained water supplies. Yet this challenge shouldn’t be exaggerated: One analysis found that the </w:t>
      </w:r>
      <w:r w:rsidDel="00000000" w:rsidR="00000000" w:rsidRPr="00000000">
        <w:rPr>
          <w:rFonts w:ascii="Calibri" w:cs="Calibri" w:eastAsia="Calibri" w:hAnsi="Calibri"/>
          <w:b w:val="1"/>
          <w:bCs w:val="1"/>
          <w:highlight w:val="cyan"/>
          <w:u w:val="single"/>
          <w:rtl w:val="0"/>
        </w:rPr>
        <w:t xml:space="preserve">water footprint</w:t>
      </w:r>
      <w:r w:rsidDel="00000000" w:rsidR="00000000" w:rsidRPr="00000000">
        <w:rPr>
          <w:rFonts w:ascii="Calibri" w:cs="Calibri" w:eastAsia="Calibri" w:hAnsi="Calibri"/>
          <w:sz w:val="16"/>
          <w:szCs w:val="16"/>
          <w:rtl w:val="0"/>
        </w:rPr>
        <w:t xml:space="preserve"> of xAI Corp.’s Colossus 2 facility in Memphis — one of the largest data centers in the world — is </w:t>
      </w:r>
      <w:r w:rsidDel="00000000" w:rsidR="00000000" w:rsidRPr="00000000">
        <w:rPr>
          <w:rFonts w:ascii="Calibri" w:cs="Calibri" w:eastAsia="Calibri" w:hAnsi="Calibri"/>
          <w:highlight w:val="cyan"/>
          <w:u w:val="single"/>
          <w:rtl w:val="0"/>
        </w:rPr>
        <w:t xml:space="preserve">equivalent to</w:t>
      </w:r>
      <w:r w:rsidDel="00000000" w:rsidR="00000000" w:rsidRPr="00000000">
        <w:rPr>
          <w:rFonts w:ascii="Calibri" w:cs="Calibri" w:eastAsia="Calibri" w:hAnsi="Calibri"/>
          <w:u w:val="single"/>
          <w:rtl w:val="0"/>
        </w:rPr>
        <w:t xml:space="preserve"> about </w:t>
      </w:r>
      <w:r w:rsidDel="00000000" w:rsidR="00000000" w:rsidRPr="00000000">
        <w:rPr>
          <w:rFonts w:ascii="Calibri" w:cs="Calibri" w:eastAsia="Calibri" w:hAnsi="Calibri"/>
          <w:highlight w:val="cyan"/>
          <w:u w:val="single"/>
          <w:rtl w:val="0"/>
        </w:rPr>
        <w:t xml:space="preserve">2 1/2 fast-food restaurants</w:t>
      </w:r>
      <w:r w:rsidDel="00000000" w:rsidR="00000000" w:rsidRPr="00000000">
        <w:rPr>
          <w:rFonts w:ascii="Calibri" w:cs="Calibri" w:eastAsia="Calibri" w:hAnsi="Calibri"/>
          <w:sz w:val="16"/>
          <w:szCs w:val="16"/>
          <w:highlight w:val="cyan"/>
          <w:rtl w:val="0"/>
        </w:rPr>
        <w:t xml:space="preserve">.</w:t>
      </w: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objective, then, shouldn’t be obstructionism. Policymakers should instead require transparency about water use while encouraging data centers to use recycled wastewater, build on-site storage, experiment with “closed loop” designs and take other remedial steps. They should also prioritize infrastructure investments and replenishment schemes to offset consumption.</w:t>
      </w:r>
      <w:r w:rsidDel="00000000" w:rsidR="00000000" w:rsidRPr="00000000">
        <w:rPr>
          <w:rtl w:val="0"/>
        </w:rPr>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Another reasonable worry is </w:t>
      </w:r>
      <w:r w:rsidDel="00000000" w:rsidR="00000000" w:rsidRPr="00000000">
        <w:rPr>
          <w:rFonts w:ascii="Calibri" w:cs="Calibri" w:eastAsia="Calibri" w:hAnsi="Calibri"/>
          <w:highlight w:val="cyan"/>
          <w:u w:val="single"/>
          <w:rtl w:val="0"/>
        </w:rPr>
        <w:t xml:space="preserve">energy</w:t>
      </w:r>
      <w:r w:rsidDel="00000000" w:rsidR="00000000" w:rsidRPr="00000000">
        <w:rPr>
          <w:rFonts w:ascii="Calibri" w:cs="Calibri" w:eastAsia="Calibri" w:hAnsi="Calibri"/>
          <w:sz w:val="16"/>
          <w:szCs w:val="16"/>
          <w:rtl w:val="0"/>
        </w:rPr>
        <w:t xml:space="preserve">. Global electricity demand from data centers rose 17% in 2025, with AI-focused ones increasing fastest. Consumption could double by 2030. Meanwhile, supply is so constrained in some areas that big new facilities may need to wait seven years for a power hookup. Again, though, </w:t>
      </w:r>
      <w:r w:rsidDel="00000000" w:rsidR="00000000" w:rsidRPr="00000000">
        <w:rPr>
          <w:rFonts w:ascii="Calibri" w:cs="Calibri" w:eastAsia="Calibri" w:hAnsi="Calibri"/>
          <w:b w:val="1"/>
          <w:bCs w:val="1"/>
          <w:highlight w:val="cyan"/>
          <w:u w:val="single"/>
          <w:rtl w:val="0"/>
        </w:rPr>
        <w:t xml:space="preserve">fearmongering isn’t necessary</w:t>
      </w:r>
      <w:r w:rsidDel="00000000" w:rsidR="00000000" w:rsidRPr="00000000">
        <w:rPr>
          <w:rFonts w:ascii="Calibri" w:cs="Calibri" w:eastAsia="Calibri" w:hAnsi="Calibri"/>
          <w:sz w:val="16"/>
          <w:szCs w:val="16"/>
          <w:rtl w:val="0"/>
        </w:rPr>
        <w:t xml:space="preserve">. Meeting </w:t>
      </w:r>
      <w:r w:rsidDel="00000000" w:rsidR="00000000" w:rsidRPr="00000000">
        <w:rPr>
          <w:rFonts w:ascii="Calibri" w:cs="Calibri" w:eastAsia="Calibri" w:hAnsi="Calibri"/>
          <w:u w:val="single"/>
          <w:rtl w:val="0"/>
        </w:rPr>
        <w:t xml:space="preserve">America’s power needs will be a long-term project</w:t>
      </w:r>
      <w:r w:rsidDel="00000000" w:rsidR="00000000" w:rsidRPr="00000000">
        <w:rPr>
          <w:rFonts w:ascii="Calibri" w:cs="Calibri" w:eastAsia="Calibri" w:hAnsi="Calibri"/>
          <w:sz w:val="16"/>
          <w:szCs w:val="16"/>
          <w:rtl w:val="0"/>
        </w:rPr>
        <w:t xml:space="preserve"> — and </w:t>
      </w:r>
      <w:r w:rsidDel="00000000" w:rsidR="00000000" w:rsidRPr="00000000">
        <w:rPr>
          <w:rFonts w:ascii="Calibri" w:cs="Calibri" w:eastAsia="Calibri" w:hAnsi="Calibri"/>
          <w:highlight w:val="cyan"/>
          <w:u w:val="single"/>
          <w:rtl w:val="0"/>
        </w:rPr>
        <w:t xml:space="preserve">AI companies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highlight w:val="cyan"/>
          <w:u w:val="single"/>
          <w:rtl w:val="0"/>
        </w:rPr>
        <w:t xml:space="preserve">well-positioned to help.</w:t>
      </w: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policymakers, a few goals should be clear. They should require that companies building data centers pay for related infrastructure upgrades. They should ease the process of connecting to the grid, thereby allowing companies to generate more of their own power, and ensure that pricing reflects fluctuating demand. Not least: They should accelerate permitting reform, invest in transmission capacity and streamline regulation, to the benefit of the broader economy.</w:t>
      </w: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b w:val="1"/>
          <w:bCs w:val="1"/>
          <w:highlight w:val="cyan"/>
          <w:u w:val="single"/>
        </w:rPr>
      </w:pPr>
      <w:r w:rsidDel="00000000" w:rsidR="00000000" w:rsidRPr="00000000">
        <w:rPr>
          <w:rFonts w:ascii="Calibri" w:cs="Calibri" w:eastAsia="Calibri" w:hAnsi="Calibri"/>
          <w:sz w:val="16"/>
          <w:szCs w:val="16"/>
          <w:rtl w:val="0"/>
        </w:rPr>
        <w:t xml:space="preserve">Easier said than done, of course. But in time, as tech companies’ goals align with those of the broader public, more people should see the obvious: </w:t>
      </w:r>
      <w:r w:rsidDel="00000000" w:rsidR="00000000" w:rsidRPr="00000000">
        <w:rPr>
          <w:rFonts w:ascii="Calibri" w:cs="Calibri" w:eastAsia="Calibri" w:hAnsi="Calibri"/>
          <w:highlight w:val="cyan"/>
          <w:u w:val="single"/>
          <w:rtl w:val="0"/>
        </w:rPr>
        <w:t xml:space="preserve">Data centers aren’t the enemy. </w:t>
      </w:r>
      <w:r w:rsidDel="00000000" w:rsidR="00000000" w:rsidRPr="00000000">
        <w:rPr>
          <w:rFonts w:ascii="Calibri" w:cs="Calibri" w:eastAsia="Calibri" w:hAnsi="Calibri"/>
          <w:b w:val="1"/>
          <w:bCs w:val="1"/>
          <w:highlight w:val="cyan"/>
          <w:u w:val="single"/>
          <w:rtl w:val="0"/>
        </w:rPr>
        <w:t xml:space="preserve">They’re the future.</w:t>
      </w:r>
    </w:p>
    <w:p w:rsidR="00000000" w:rsidDel="00000000" w:rsidP="00000000" w:rsidRDefault="00000000" w:rsidRPr="00000000" w14:paraId="00000013">
      <w:pPr>
        <w:spacing w:before="24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Hyperscale data centers drive the most demand.  </w:t>
      </w:r>
      <w:r w:rsidDel="00000000" w:rsidR="00000000" w:rsidRPr="00000000">
        <w:rPr>
          <w:rtl w:val="0"/>
        </w:rPr>
      </w:r>
    </w:p>
    <w:p w:rsidR="00000000" w:rsidDel="00000000" w:rsidP="00000000" w:rsidRDefault="00000000" w:rsidRPr="00000000" w14:paraId="00000014">
      <w:pPr>
        <w:spacing w:after="24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Steele 8/11</w:t>
      </w:r>
      <w:r w:rsidDel="00000000" w:rsidR="00000000" w:rsidRPr="00000000">
        <w:rPr>
          <w:rFonts w:ascii="Calibri" w:cs="Calibri" w:eastAsia="Calibri" w:hAnsi="Calibri"/>
          <w:rtl w:val="0"/>
        </w:rPr>
        <w:t xml:space="preserve"> [Kimberely Steele, JLL Communications Director, 8-11-2026, "Data center demand exceeds expectations as H1 2026 absorption hits record 25 GW," JLL, DOA: 09-03-2026, https://www.jll.com/en-us/newsroom/data-center-demand-exceeds-expectations-in-h1-2026] //USNS</w:t>
      </w:r>
    </w:p>
    <w:p w:rsidR="00000000" w:rsidDel="00000000" w:rsidP="00000000" w:rsidRDefault="00000000" w:rsidRPr="00000000" w14:paraId="00000015">
      <w:pPr>
        <w:spacing w:after="240" w:before="24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cyan"/>
          <w:u w:val="single"/>
          <w:rtl w:val="0"/>
        </w:rPr>
        <w:t xml:space="preserve">Hyperscalers</w:t>
      </w:r>
      <w:r w:rsidDel="00000000" w:rsidR="00000000" w:rsidRPr="00000000">
        <w:rPr>
          <w:rFonts w:ascii="Calibri" w:cs="Calibri" w:eastAsia="Calibri" w:hAnsi="Calibri"/>
          <w:u w:val="single"/>
          <w:rtl w:val="0"/>
        </w:rPr>
        <w:t xml:space="preserve"> remain</w:t>
      </w:r>
      <w:r w:rsidDel="00000000" w:rsidR="00000000" w:rsidRPr="00000000">
        <w:rPr>
          <w:rFonts w:ascii="Calibri" w:cs="Calibri" w:eastAsia="Calibri" w:hAnsi="Calibri"/>
          <w:sz w:val="16"/>
          <w:szCs w:val="16"/>
          <w:rtl w:val="0"/>
        </w:rPr>
        <w:t xml:space="preserve"> the</w:t>
      </w:r>
      <w:r w:rsidDel="00000000" w:rsidR="00000000" w:rsidRPr="00000000">
        <w:rPr>
          <w:rFonts w:ascii="Calibri" w:cs="Calibri" w:eastAsia="Calibri" w:hAnsi="Calibri"/>
          <w:sz w:val="16"/>
          <w:szCs w:val="16"/>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dominant</w:t>
      </w:r>
      <w:r w:rsidDel="00000000" w:rsidR="00000000" w:rsidRPr="00000000">
        <w:rPr>
          <w:rFonts w:ascii="Calibri" w:cs="Calibri" w:eastAsia="Calibri" w:hAnsi="Calibri"/>
          <w:highlight w:val="cyan"/>
          <w:u w:val="single"/>
          <w:rtl w:val="0"/>
        </w:rPr>
        <w:t xml:space="preserve"> force</w:t>
      </w:r>
      <w:r w:rsidDel="00000000" w:rsidR="00000000" w:rsidRPr="00000000">
        <w:rPr>
          <w:rFonts w:ascii="Calibri" w:cs="Calibri" w:eastAsia="Calibri" w:hAnsi="Calibri"/>
          <w:u w:val="single"/>
          <w:rtl w:val="0"/>
        </w:rPr>
        <w:t xml:space="preserve">, accounting </w:t>
      </w:r>
      <w:r w:rsidDel="00000000" w:rsidR="00000000" w:rsidRPr="00000000">
        <w:rPr>
          <w:rFonts w:ascii="Calibri" w:cs="Calibri" w:eastAsia="Calibri" w:hAnsi="Calibri"/>
          <w:highlight w:val="cyan"/>
          <w:u w:val="single"/>
          <w:rtl w:val="0"/>
        </w:rPr>
        <w:t xml:space="preserve">for</w:t>
      </w:r>
      <w:r w:rsidDel="00000000" w:rsidR="00000000" w:rsidRPr="00000000">
        <w:rPr>
          <w:rFonts w:ascii="Calibri" w:cs="Calibri" w:eastAsia="Calibri" w:hAnsi="Calibri"/>
          <w:b w:val="1"/>
          <w:bCs w:val="1"/>
          <w:u w:val="single"/>
          <w:rtl w:val="0"/>
        </w:rPr>
        <w:t xml:space="preserve"> 59% of 2026 </w:t>
      </w:r>
      <w:r w:rsidDel="00000000" w:rsidR="00000000" w:rsidRPr="00000000">
        <w:rPr>
          <w:rFonts w:ascii="Calibri" w:cs="Calibri" w:eastAsia="Calibri" w:hAnsi="Calibri"/>
          <w:b w:val="1"/>
          <w:bCs w:val="1"/>
          <w:highlight w:val="cyan"/>
          <w:u w:val="single"/>
          <w:rtl w:val="0"/>
        </w:rPr>
        <w:t xml:space="preserve">data center</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tenant</w:t>
      </w:r>
      <w:r w:rsidDel="00000000" w:rsidR="00000000" w:rsidRPr="00000000">
        <w:rPr>
          <w:rFonts w:ascii="Calibri" w:cs="Calibri" w:eastAsia="Calibri" w:hAnsi="Calibri"/>
          <w:sz w:val="16"/>
          <w:szCs w:val="16"/>
          <w:highlight w:val="cyan"/>
          <w:u w:val="single"/>
          <w:rtl w:val="0"/>
        </w:rPr>
        <w:t xml:space="preserve"> </w:t>
      </w:r>
      <w:r w:rsidDel="00000000" w:rsidR="00000000" w:rsidRPr="00000000">
        <w:rPr>
          <w:rFonts w:ascii="Calibri" w:cs="Calibri" w:eastAsia="Calibri" w:hAnsi="Calibri"/>
          <w:highlight w:val="cyan"/>
          <w:u w:val="single"/>
          <w:rtl w:val="0"/>
        </w:rPr>
        <w:t xml:space="preserve">demand while meeting capacity</w:t>
      </w:r>
      <w:r w:rsidDel="00000000" w:rsidR="00000000" w:rsidRPr="00000000">
        <w:rPr>
          <w:rFonts w:ascii="Calibri" w:cs="Calibri" w:eastAsia="Calibri" w:hAnsi="Calibri"/>
          <w:u w:val="single"/>
          <w:rtl w:val="0"/>
        </w:rPr>
        <w:t xml:space="preserve"> needs</w:t>
      </w:r>
      <w:r w:rsidDel="00000000" w:rsidR="00000000" w:rsidRPr="00000000">
        <w:rPr>
          <w:rFonts w:ascii="Calibri" w:cs="Calibri" w:eastAsia="Calibri" w:hAnsi="Calibri"/>
          <w:highlight w:val="cyan"/>
          <w:u w:val="single"/>
          <w:rtl w:val="0"/>
        </w:rPr>
        <w:t xml:space="preserve"> through</w:t>
      </w:r>
      <w:r w:rsidDel="00000000" w:rsidR="00000000" w:rsidRPr="00000000">
        <w:rPr>
          <w:rFonts w:ascii="Calibri" w:cs="Calibri" w:eastAsia="Calibri" w:hAnsi="Calibri"/>
          <w:sz w:val="16"/>
          <w:szCs w:val="16"/>
          <w:rtl w:val="0"/>
        </w:rPr>
        <w:t xml:space="preserve"> both leasing and</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u w:val="single"/>
          <w:rtl w:val="0"/>
        </w:rPr>
        <w:t xml:space="preserve">self-</w:t>
      </w:r>
      <w:r w:rsidDel="00000000" w:rsidR="00000000" w:rsidRPr="00000000">
        <w:rPr>
          <w:rFonts w:ascii="Calibri" w:cs="Calibri" w:eastAsia="Calibri" w:hAnsi="Calibri"/>
          <w:b w:val="1"/>
          <w:bCs w:val="1"/>
          <w:highlight w:val="cyan"/>
          <w:u w:val="single"/>
          <w:rtl w:val="0"/>
        </w:rPr>
        <w:t xml:space="preserve">building</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sz w:val="16"/>
          <w:szCs w:val="16"/>
          <w:rtl w:val="0"/>
        </w:rPr>
        <w:t xml:space="preserve">with 28 GW of owner-occupied capacity currently under construction. However, the demand mix is diversifying rapidly, with neoclouds maturing into a meaningful component at 11% of demand and pure-play AI companies accounting for 7%.</w:t>
      </w:r>
    </w:p>
    <w:p w:rsidR="00000000" w:rsidDel="00000000" w:rsidP="00000000" w:rsidRDefault="00000000" w:rsidRPr="00000000" w14:paraId="00000016">
      <w:pPr>
        <w:keepLines w:val="1"/>
        <w:spacing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States are effective regulators.  </w:t>
      </w:r>
      <w:r w:rsidDel="00000000" w:rsidR="00000000" w:rsidRPr="00000000">
        <w:rPr>
          <w:rtl w:val="0"/>
        </w:rPr>
      </w:r>
    </w:p>
    <w:p w:rsidR="00000000" w:rsidDel="00000000" w:rsidP="00000000" w:rsidRDefault="00000000" w:rsidRPr="00000000" w14:paraId="00000017">
      <w:pPr>
        <w:keepLines w:val="1"/>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Numata 25 </w:t>
      </w:r>
      <w:r w:rsidDel="00000000" w:rsidR="00000000" w:rsidRPr="00000000">
        <w:rPr>
          <w:rFonts w:ascii="Calibri" w:cs="Calibri" w:eastAsia="Calibri" w:hAnsi="Calibri"/>
          <w:rtl w:val="0"/>
        </w:rPr>
        <w:t xml:space="preserve">[Yuki Numata et al., Senior Associate @ RMI – MA in Public Policy @ Harvard, 7-17-2025, "Fast, Flexible Solutions for Data Centers", RMI, DOA: 08-27-2026, </w:t>
      </w:r>
      <w:hyperlink r:id="rId6">
        <w:r w:rsidDel="00000000" w:rsidR="00000000" w:rsidRPr="00000000">
          <w:rPr>
            <w:rFonts w:ascii="Calibri" w:cs="Calibri" w:eastAsia="Calibri" w:hAnsi="Calibri"/>
            <w:rtl w:val="0"/>
          </w:rPr>
          <w:t xml:space="preserve">https://rmi.org/resources/fast-flexible-solutions-for-data-centers/</w:t>
        </w:r>
      </w:hyperlink>
      <w:r w:rsidDel="00000000" w:rsidR="00000000" w:rsidRPr="00000000">
        <w:rPr>
          <w:rFonts w:ascii="Calibri" w:cs="Calibri" w:eastAsia="Calibri" w:hAnsi="Calibri"/>
          <w:rtl w:val="0"/>
        </w:rPr>
        <w:t xml:space="preserve">] //USNS</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Fortunately, </w:t>
      </w:r>
      <w:r w:rsidDel="00000000" w:rsidR="00000000" w:rsidRPr="00000000">
        <w:rPr>
          <w:rFonts w:ascii="Calibri" w:cs="Calibri" w:eastAsia="Calibri" w:hAnsi="Calibri"/>
          <w:b w:val="1"/>
          <w:bCs w:val="1"/>
          <w:highlight w:val="cyan"/>
          <w:u w:val="single"/>
          <w:rtl w:val="0"/>
        </w:rPr>
        <w:t xml:space="preserve">local</w:t>
      </w:r>
      <w:r w:rsidDel="00000000" w:rsidR="00000000" w:rsidRPr="00000000">
        <w:rPr>
          <w:rFonts w:ascii="Calibri" w:cs="Calibri" w:eastAsia="Calibri" w:hAnsi="Calibri"/>
          <w:b w:val="1"/>
          <w:bCs w:val="1"/>
          <w:u w:val="single"/>
          <w:rtl w:val="0"/>
        </w:rPr>
        <w:t xml:space="preserve"> jurisdiction</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u w:val="single"/>
          <w:rtl w:val="0"/>
        </w:rPr>
        <w:t xml:space="preserve"> and utilities </w:t>
      </w:r>
      <w:r w:rsidDel="00000000" w:rsidR="00000000" w:rsidRPr="00000000">
        <w:rPr>
          <w:rFonts w:ascii="Calibri" w:cs="Calibri" w:eastAsia="Calibri" w:hAnsi="Calibri"/>
          <w:highlight w:val="cyan"/>
          <w:u w:val="single"/>
          <w:rtl w:val="0"/>
        </w:rPr>
        <w:t xml:space="preserve">have a </w:t>
      </w:r>
      <w:r w:rsidDel="00000000" w:rsidR="00000000" w:rsidRPr="00000000">
        <w:rPr>
          <w:rFonts w:ascii="Calibri" w:cs="Calibri" w:eastAsia="Calibri" w:hAnsi="Calibri"/>
          <w:b w:val="1"/>
          <w:bCs w:val="1"/>
          <w:highlight w:val="cyan"/>
          <w:u w:val="single"/>
          <w:rtl w:val="0"/>
        </w:rPr>
        <w:t xml:space="preserve">range of options</w:t>
      </w:r>
      <w:r w:rsidDel="00000000" w:rsidR="00000000" w:rsidRPr="00000000">
        <w:rPr>
          <w:rFonts w:ascii="Calibri" w:cs="Calibri" w:eastAsia="Calibri" w:hAnsi="Calibri"/>
          <w:u w:val="single"/>
          <w:rtl w:val="0"/>
        </w:rPr>
        <w:t xml:space="preserve"> available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meet and </w:t>
      </w:r>
      <w:r w:rsidDel="00000000" w:rsidR="00000000" w:rsidRPr="00000000">
        <w:rPr>
          <w:rFonts w:ascii="Calibri" w:cs="Calibri" w:eastAsia="Calibri" w:hAnsi="Calibri"/>
          <w:b w:val="1"/>
          <w:bCs w:val="1"/>
          <w:highlight w:val="cyan"/>
          <w:u w:val="single"/>
          <w:rtl w:val="0"/>
        </w:rPr>
        <w:t xml:space="preserve">manage</w:t>
      </w:r>
      <w:r w:rsidDel="00000000" w:rsidR="00000000" w:rsidRPr="00000000">
        <w:rPr>
          <w:rFonts w:ascii="Calibri" w:cs="Calibri" w:eastAsia="Calibri" w:hAnsi="Calibri"/>
          <w:b w:val="1"/>
          <w:bCs w:val="1"/>
          <w:u w:val="single"/>
          <w:rtl w:val="0"/>
        </w:rPr>
        <w:t xml:space="preserve"> load </w:t>
      </w:r>
      <w:r w:rsidDel="00000000" w:rsidR="00000000" w:rsidRPr="00000000">
        <w:rPr>
          <w:rFonts w:ascii="Calibri" w:cs="Calibri" w:eastAsia="Calibri" w:hAnsi="Calibri"/>
          <w:b w:val="1"/>
          <w:bCs w:val="1"/>
          <w:highlight w:val="cyan"/>
          <w:u w:val="single"/>
          <w:rtl w:val="0"/>
        </w:rPr>
        <w:t xml:space="preserve">growth</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includes </w:t>
      </w:r>
      <w:r w:rsidDel="00000000" w:rsidR="00000000" w:rsidRPr="00000000">
        <w:rPr>
          <w:rFonts w:ascii="Calibri" w:cs="Calibri" w:eastAsia="Calibri" w:hAnsi="Calibri"/>
          <w:highlight w:val="cyan"/>
          <w:u w:val="single"/>
          <w:rtl w:val="0"/>
        </w:rPr>
        <w:t xml:space="preserve">building new</w:t>
      </w:r>
      <w:r w:rsidDel="00000000" w:rsidR="00000000" w:rsidRPr="00000000">
        <w:rPr>
          <w:rFonts w:ascii="Calibri" w:cs="Calibri" w:eastAsia="Calibri" w:hAnsi="Calibri"/>
          <w:u w:val="single"/>
          <w:rtl w:val="0"/>
        </w:rPr>
        <w:t xml:space="preserve"> generation </w:t>
      </w:r>
      <w:r w:rsidDel="00000000" w:rsidR="00000000" w:rsidRPr="00000000">
        <w:rPr>
          <w:rFonts w:ascii="Calibri" w:cs="Calibri" w:eastAsia="Calibri" w:hAnsi="Calibri"/>
          <w:highlight w:val="cyan"/>
          <w:u w:val="single"/>
          <w:rtl w:val="0"/>
        </w:rPr>
        <w:t xml:space="preserve">capacity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deploying grid enhancing technologies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implementing</w:t>
      </w:r>
      <w:r w:rsidDel="00000000" w:rsidR="00000000" w:rsidRPr="00000000">
        <w:rPr>
          <w:rFonts w:ascii="Calibri" w:cs="Calibri" w:eastAsia="Calibri" w:hAnsi="Calibri"/>
          <w:u w:val="single"/>
          <w:rtl w:val="0"/>
        </w:rPr>
        <w:t xml:space="preserve"> energy </w:t>
      </w:r>
      <w:r w:rsidDel="00000000" w:rsidR="00000000" w:rsidRPr="00000000">
        <w:rPr>
          <w:rFonts w:ascii="Calibri" w:cs="Calibri" w:eastAsia="Calibri" w:hAnsi="Calibri"/>
          <w:highlight w:val="cyan"/>
          <w:u w:val="single"/>
          <w:rtl w:val="0"/>
        </w:rPr>
        <w:t xml:space="preserve">efficiency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demand response</w:t>
      </w:r>
      <w:r w:rsidDel="00000000" w:rsidR="00000000" w:rsidRPr="00000000">
        <w:rPr>
          <w:rFonts w:ascii="Calibri" w:cs="Calibri" w:eastAsia="Calibri" w:hAnsi="Calibri"/>
          <w:sz w:val="16"/>
          <w:szCs w:val="16"/>
          <w:rtl w:val="0"/>
        </w:rPr>
        <w:t xml:space="preserve">, or </w:t>
      </w:r>
      <w:r w:rsidDel="00000000" w:rsidR="00000000" w:rsidRPr="00000000">
        <w:rPr>
          <w:rFonts w:ascii="Calibri" w:cs="Calibri" w:eastAsia="Calibri" w:hAnsi="Calibri"/>
          <w:highlight w:val="cyan"/>
          <w:u w:val="single"/>
          <w:rtl w:val="0"/>
        </w:rPr>
        <w:t xml:space="preserve">bring-your-own-power</w:t>
      </w:r>
      <w:r w:rsidDel="00000000" w:rsidR="00000000" w:rsidRPr="00000000">
        <w:rPr>
          <w:rFonts w:ascii="Calibri" w:cs="Calibri" w:eastAsia="Calibri" w:hAnsi="Calibri"/>
          <w:sz w:val="16"/>
          <w:szCs w:val="16"/>
          <w:rtl w:val="0"/>
        </w:rPr>
        <w:t xml:space="preserve"> (BYOP) requirements; requiring capital commitments; and even placing moratoriums on new data center requests. Data centers have also been proactive — shifting facility construction to new geographic markets,</w:t>
      </w:r>
      <w:r w:rsidDel="00000000" w:rsidR="00000000" w:rsidRPr="00000000">
        <w:rPr>
          <w:rFonts w:ascii="Calibri" w:cs="Calibri" w:eastAsia="Calibri" w:hAnsi="Calibri"/>
          <w:u w:val="single"/>
          <w:rtl w:val="0"/>
        </w:rPr>
        <w:t xml:space="preserve"> investing in flexibility and energy efficiency research and development, installing their own generation and storage sources, and more.</w:t>
      </w:r>
      <w:r w:rsidDel="00000000" w:rsidR="00000000" w:rsidRPr="00000000">
        <w:rPr>
          <w:rtl w:val="0"/>
        </w:rPr>
      </w:r>
    </w:p>
    <w:p w:rsidR="00000000" w:rsidDel="00000000" w:rsidP="00000000" w:rsidRDefault="00000000" w:rsidRPr="00000000" w14:paraId="00000019">
      <w:pPr>
        <w:spacing w:before="200" w:line="259" w:lineRule="auto"/>
        <w:ind w:right="600"/>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However, with an aff ballot, hyperscalers won't wait for the moratorium to lift. They'll move somewhere that doesn't ban them, and that's exactly where the affirmative's problems show up.</w:t>
      </w: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Buck 26</w:t>
      </w:r>
      <w:r w:rsidDel="00000000" w:rsidR="00000000" w:rsidRPr="00000000">
        <w:rPr>
          <w:rFonts w:ascii="Calibri" w:cs="Calibri" w:eastAsia="Calibri" w:hAnsi="Calibri"/>
          <w:rtl w:val="0"/>
        </w:rPr>
        <w:t xml:space="preserve"> [Holly Buck, Professor of Environment and Sustainability @ University of Buffalo, 4-26-2026, "Democratic Governance of AI Is the Real Solution", Jacobin, DOA: 08-28-2026, </w:t>
      </w:r>
      <w:hyperlink r:id="rId7">
        <w:r w:rsidDel="00000000" w:rsidR="00000000" w:rsidRPr="00000000">
          <w:rPr>
            <w:rFonts w:ascii="Calibri" w:cs="Calibri" w:eastAsia="Calibri" w:hAnsi="Calibri"/>
            <w:rtl w:val="0"/>
          </w:rPr>
          <w:t xml:space="preserve">https://jacobin.com/2026/04/ai-data-center-moratorium-democracy</w:t>
        </w:r>
      </w:hyperlink>
      <w:r w:rsidDel="00000000" w:rsidR="00000000" w:rsidRPr="00000000">
        <w:rPr>
          <w:rFonts w:ascii="Calibri" w:cs="Calibri" w:eastAsia="Calibri" w:hAnsi="Calibri"/>
          <w:rtl w:val="0"/>
        </w:rPr>
        <w:t xml:space="preserve">] //USNS</w:t>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Should we just stop building data centers? Or at least pause for a little while? The intuitive answer seems to be yes, let’s take a breather. The Artificial Intelligence Data Center Moratorium Act, proposed by Bernie Sanders and Alexandria Ocasio-Cortez a few weeks ago, proposes a “reasonable pause.” Slowing down has also been the focus of state-level organizing, with at least twelve states introducing proposals for moratoria; Maine’s LD 307 passed both chambers and was set to be the first state-level pause until the governor vetoed it.</w:t>
      </w:r>
      <w:r w:rsidDel="00000000" w:rsidR="00000000" w:rsidRPr="00000000">
        <w:rPr>
          <w:rtl w:val="0"/>
        </w:rPr>
      </w:r>
    </w:p>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These efforts seek to use the power and machinery of familiar NIMBY (“not in my backyard”) politics — local opposition, tying up projects in red tape, and so on — to confront the multiple perceived threats of galloping energy demand, carbon emissions, and job loss. Successful moratoria will curb digital growth by starving it of the physical energy needed to train and operate AI models.</w:t>
      </w:r>
      <w:r w:rsidDel="00000000" w:rsidR="00000000" w:rsidRPr="00000000">
        <w:rPr>
          <w:rtl w:val="0"/>
        </w:rPr>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Counterintuitively, a </w:t>
      </w:r>
      <w:r w:rsidDel="00000000" w:rsidR="00000000" w:rsidRPr="00000000">
        <w:rPr>
          <w:rFonts w:ascii="Calibri" w:cs="Calibri" w:eastAsia="Calibri" w:hAnsi="Calibri"/>
          <w:b w:val="1"/>
          <w:bCs w:val="1"/>
          <w:highlight w:val="cyan"/>
          <w:u w:val="single"/>
          <w:rtl w:val="0"/>
        </w:rPr>
        <w:t xml:space="preserve">moratorium</w:t>
      </w:r>
      <w:r w:rsidDel="00000000" w:rsidR="00000000" w:rsidRPr="00000000">
        <w:rPr>
          <w:rFonts w:ascii="Calibri" w:cs="Calibri" w:eastAsia="Calibri" w:hAnsi="Calibri"/>
          <w:b w:val="1"/>
          <w:bCs w:val="1"/>
          <w:u w:val="single"/>
          <w:rtl w:val="0"/>
        </w:rPr>
        <w:t xml:space="preserve"> on AI data centers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terrible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idea</w:t>
      </w:r>
      <w:r w:rsidDel="00000000" w:rsidR="00000000" w:rsidRPr="00000000">
        <w:rPr>
          <w:rFonts w:ascii="Calibri" w:cs="Calibri" w:eastAsia="Calibri" w:hAnsi="Calibri"/>
          <w:u w:val="single"/>
          <w:rtl w:val="0"/>
        </w:rPr>
        <w:t xml:space="preserve"> — one that poses serious equity concerns. A moratorium springs from the desire to stop the concentration of wealth, but ironically, it is likely to exacerbate it. It’s a massive strategic blunder for the Left, and we should think through the </w:t>
      </w:r>
      <w:r w:rsidDel="00000000" w:rsidR="00000000" w:rsidRPr="00000000">
        <w:rPr>
          <w:rFonts w:ascii="Calibri" w:cs="Calibri" w:eastAsia="Calibri" w:hAnsi="Calibri"/>
          <w:b w:val="1"/>
          <w:bCs w:val="1"/>
          <w:u w:val="single"/>
          <w:rtl w:val="0"/>
        </w:rPr>
        <w:t xml:space="preserve">global justice implications</w:t>
      </w:r>
      <w:r w:rsidDel="00000000" w:rsidR="00000000" w:rsidRPr="00000000">
        <w:rPr>
          <w:rFonts w:ascii="Calibri" w:cs="Calibri" w:eastAsia="Calibri" w:hAnsi="Calibri"/>
          <w:u w:val="single"/>
          <w:rtl w:val="0"/>
        </w:rPr>
        <w:t xml:space="preserve"> and follow-on effects.</w:t>
      </w:r>
      <w:r w:rsidDel="00000000" w:rsidR="00000000" w:rsidRPr="00000000">
        <w:rPr>
          <w:rFonts w:ascii="Calibri" w:cs="Calibri" w:eastAsia="Calibri" w:hAnsi="Calibri"/>
          <w:sz w:val="16"/>
          <w:szCs w:val="16"/>
          <w:rtl w:val="0"/>
        </w:rPr>
        <w:t xml:space="preserve"> What would happen if these moratoria moved forward?</w:t>
      </w:r>
      <w:r w:rsidDel="00000000" w:rsidR="00000000" w:rsidRPr="00000000">
        <w:rPr>
          <w:rtl w:val="0"/>
        </w:rPr>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Offshoring Burdens and Cementing Digital Divides</w:t>
      </w:r>
      <w:r w:rsidDel="00000000" w:rsidR="00000000" w:rsidRPr="00000000">
        <w:rPr>
          <w:rtl w:val="0"/>
        </w:rPr>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To begin, it’s clear that </w:t>
      </w:r>
      <w:r w:rsidDel="00000000" w:rsidR="00000000" w:rsidRPr="00000000">
        <w:rPr>
          <w:rFonts w:ascii="Calibri" w:cs="Calibri" w:eastAsia="Calibri" w:hAnsi="Calibri"/>
          <w:b w:val="1"/>
          <w:bCs w:val="1"/>
          <w:u w:val="single"/>
          <w:rtl w:val="0"/>
        </w:rPr>
        <w:t xml:space="preserve">AI development would not be effectively paused</w:t>
      </w:r>
      <w:r w:rsidDel="00000000" w:rsidR="00000000" w:rsidRPr="00000000">
        <w:rPr>
          <w:rFonts w:ascii="Calibri" w:cs="Calibri" w:eastAsia="Calibri" w:hAnsi="Calibri"/>
          <w:u w:val="single"/>
          <w:rtl w:val="0"/>
        </w:rPr>
        <w:t xml:space="preserve"> by a moratorium. It will not halt development; it will simply </w:t>
      </w:r>
      <w:r w:rsidDel="00000000" w:rsidR="00000000" w:rsidRPr="00000000">
        <w:rPr>
          <w:rFonts w:ascii="Calibri" w:cs="Calibri" w:eastAsia="Calibri" w:hAnsi="Calibri"/>
          <w:b w:val="1"/>
          <w:bCs w:val="1"/>
          <w:u w:val="single"/>
          <w:rtl w:val="0"/>
        </w:rPr>
        <w:t xml:space="preserve">change the geopolitics of its development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strategies of AI companies</w:t>
      </w:r>
      <w:r w:rsidDel="00000000" w:rsidR="00000000" w:rsidRPr="00000000">
        <w:rPr>
          <w:rFonts w:ascii="Calibri" w:cs="Calibri" w:eastAsia="Calibri" w:hAnsi="Calibri"/>
          <w:u w:val="single"/>
          <w:rtl w:val="0"/>
        </w:rPr>
        <w:t xml:space="preserve">, and who is able to access AI services.</w:t>
      </w: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should be wary of proposals that would send burdens elsewhere. </w:t>
      </w:r>
      <w:r w:rsidDel="00000000" w:rsidR="00000000" w:rsidRPr="00000000">
        <w:rPr>
          <w:rFonts w:ascii="Calibri" w:cs="Calibri" w:eastAsia="Calibri" w:hAnsi="Calibri"/>
          <w:u w:val="single"/>
          <w:rtl w:val="0"/>
        </w:rPr>
        <w:t xml:space="preserve">Under neoliberal capitalism, </w:t>
      </w:r>
      <w:r w:rsidDel="00000000" w:rsidR="00000000" w:rsidRPr="00000000">
        <w:rPr>
          <w:rFonts w:ascii="Calibri" w:cs="Calibri" w:eastAsia="Calibri" w:hAnsi="Calibri"/>
          <w:highlight w:val="cyan"/>
          <w:u w:val="single"/>
          <w:rtl w:val="0"/>
        </w:rPr>
        <w:t xml:space="preserve">industries offshore</w:t>
      </w:r>
      <w:r w:rsidDel="00000000" w:rsidR="00000000" w:rsidRPr="00000000">
        <w:rPr>
          <w:rFonts w:ascii="Calibri" w:cs="Calibri" w:eastAsia="Calibri" w:hAnsi="Calibri"/>
          <w:u w:val="single"/>
          <w:rtl w:val="0"/>
        </w:rPr>
        <w:t xml:space="preserve"> environmental harms </w:t>
      </w:r>
      <w:r w:rsidDel="00000000" w:rsidR="00000000" w:rsidRPr="00000000">
        <w:rPr>
          <w:rFonts w:ascii="Calibri" w:cs="Calibri" w:eastAsia="Calibri" w:hAnsi="Calibri"/>
          <w:highlight w:val="cyan"/>
          <w:u w:val="single"/>
          <w:rtl w:val="0"/>
        </w:rPr>
        <w:t xml:space="preserve">to places with</w:t>
      </w:r>
      <w:r w:rsidDel="00000000" w:rsidR="00000000" w:rsidRPr="00000000">
        <w:rPr>
          <w:rFonts w:ascii="Calibri" w:cs="Calibri" w:eastAsia="Calibri" w:hAnsi="Calibri"/>
          <w:u w:val="single"/>
          <w:rtl w:val="0"/>
        </w:rPr>
        <w:t xml:space="preserve"> weaker governance, cheaper labor costs, </w:t>
      </w:r>
      <w:r w:rsidDel="00000000" w:rsidR="00000000" w:rsidRPr="00000000">
        <w:rPr>
          <w:rFonts w:ascii="Calibri" w:cs="Calibri" w:eastAsia="Calibri" w:hAnsi="Calibri"/>
          <w:highlight w:val="cyan"/>
          <w:u w:val="single"/>
          <w:rtl w:val="0"/>
        </w:rPr>
        <w:t xml:space="preserve">and fewer</w:t>
      </w:r>
      <w:r w:rsidDel="00000000" w:rsidR="00000000" w:rsidRPr="00000000">
        <w:rPr>
          <w:rFonts w:ascii="Calibri" w:cs="Calibri" w:eastAsia="Calibri" w:hAnsi="Calibri"/>
          <w:u w:val="single"/>
          <w:rtl w:val="0"/>
        </w:rPr>
        <w:t xml:space="preserve"> environmental </w:t>
      </w:r>
      <w:r w:rsidDel="00000000" w:rsidR="00000000" w:rsidRPr="00000000">
        <w:rPr>
          <w:rFonts w:ascii="Calibri" w:cs="Calibri" w:eastAsia="Calibri" w:hAnsi="Calibri"/>
          <w:highlight w:val="cyan"/>
          <w:u w:val="single"/>
          <w:rtl w:val="0"/>
        </w:rPr>
        <w:t xml:space="preserve">safeguards.</w:t>
      </w:r>
      <w:r w:rsidDel="00000000" w:rsidR="00000000" w:rsidRPr="00000000">
        <w:rPr>
          <w:rFonts w:ascii="Calibri" w:cs="Calibri" w:eastAsia="Calibri" w:hAnsi="Calibri"/>
          <w:sz w:val="16"/>
          <w:szCs w:val="16"/>
          <w:rtl w:val="0"/>
        </w:rPr>
        <w:t xml:space="preserve"> Compared to factories, AI data centers are going to be more difficult to offshore because of weaker power grids overseas and restrictions on chip exports. </w:t>
      </w:r>
      <w:r w:rsidDel="00000000" w:rsidR="00000000" w:rsidRPr="00000000">
        <w:rPr>
          <w:rFonts w:ascii="Calibri" w:cs="Calibri" w:eastAsia="Calibri" w:hAnsi="Calibri"/>
          <w:u w:val="single"/>
          <w:rtl w:val="0"/>
        </w:rPr>
        <w:t xml:space="preserve">But those </w:t>
      </w:r>
      <w:r w:rsidDel="00000000" w:rsidR="00000000" w:rsidRPr="00000000">
        <w:rPr>
          <w:rFonts w:ascii="Calibri" w:cs="Calibri" w:eastAsia="Calibri" w:hAnsi="Calibri"/>
          <w:highlight w:val="cyan"/>
          <w:u w:val="single"/>
          <w:rtl w:val="0"/>
        </w:rPr>
        <w:t xml:space="preserve">constraints on offshoring are not set</w:t>
      </w:r>
      <w:r w:rsidDel="00000000" w:rsidR="00000000" w:rsidRPr="00000000">
        <w:rPr>
          <w:rFonts w:ascii="Calibri" w:cs="Calibri" w:eastAsia="Calibri" w:hAnsi="Calibri"/>
          <w:u w:val="single"/>
          <w:rtl w:val="0"/>
        </w:rPr>
        <w:t xml:space="preserve"> in stone — companies may just influence chip export rules and ink bilateral deals to expand AI infrastructure abroad, as in the US–UAE partnership, or bring their own behind-the-meter power, as they are already doing in the United States.</w:t>
      </w: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If a better world is the goal, the answer is not merely shifting the geopolitics of AI development but reshaping it. </w:t>
      </w:r>
      <w:r w:rsidDel="00000000" w:rsidR="00000000" w:rsidRPr="00000000">
        <w:rPr>
          <w:rFonts w:ascii="Calibri" w:cs="Calibri" w:eastAsia="Calibri" w:hAnsi="Calibri"/>
          <w:highlight w:val="cyan"/>
          <w:u w:val="single"/>
          <w:rtl w:val="0"/>
        </w:rPr>
        <w:t xml:space="preserve">Offshoring</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cyan"/>
          <w:u w:val="single"/>
          <w:rtl w:val="0"/>
        </w:rPr>
        <w:t xml:space="preserve">put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limit</w:t>
      </w:r>
      <w:r w:rsidDel="00000000" w:rsidR="00000000" w:rsidRPr="00000000">
        <w:rPr>
          <w:rFonts w:ascii="Calibri" w:cs="Calibri" w:eastAsia="Calibri" w:hAnsi="Calibri"/>
          <w:b w:val="1"/>
          <w:bCs w:val="1"/>
          <w:u w:val="single"/>
          <w:rtl w:val="0"/>
        </w:rPr>
        <w:t xml:space="preserve">ation</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on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compute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that</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cyan"/>
          <w:u w:val="single"/>
          <w:rtl w:val="0"/>
        </w:rPr>
        <w:t xml:space="preserve">induce</w:t>
      </w:r>
      <w:r w:rsidDel="00000000" w:rsidR="00000000" w:rsidRPr="00000000">
        <w:rPr>
          <w:rFonts w:ascii="Calibri" w:cs="Calibri" w:eastAsia="Calibri" w:hAnsi="Calibri"/>
          <w:u w:val="single"/>
          <w:rtl w:val="0"/>
        </w:rPr>
        <w:t xml:space="preserve"> tech </w:t>
      </w:r>
      <w:r w:rsidDel="00000000" w:rsidR="00000000" w:rsidRPr="00000000">
        <w:rPr>
          <w:rFonts w:ascii="Calibri" w:cs="Calibri" w:eastAsia="Calibri" w:hAnsi="Calibri"/>
          <w:highlight w:val="cyan"/>
          <w:u w:val="single"/>
          <w:rtl w:val="0"/>
        </w:rPr>
        <w:t xml:space="preserve">companies to </w:t>
      </w:r>
      <w:r w:rsidDel="00000000" w:rsidR="00000000" w:rsidRPr="00000000">
        <w:rPr>
          <w:rFonts w:ascii="Calibri" w:cs="Calibri" w:eastAsia="Calibri" w:hAnsi="Calibri"/>
          <w:b w:val="1"/>
          <w:bCs w:val="1"/>
          <w:highlight w:val="cyan"/>
          <w:u w:val="single"/>
          <w:rtl w:val="0"/>
        </w:rPr>
        <w:t xml:space="preserve">raise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prices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small businesses, academic and nonprofit researchers, and individuals</w:t>
      </w:r>
      <w:r w:rsidDel="00000000" w:rsidR="00000000" w:rsidRPr="00000000">
        <w:rPr>
          <w:rFonts w:ascii="Calibri" w:cs="Calibri" w:eastAsia="Calibri" w:hAnsi="Calibri"/>
          <w:u w:val="single"/>
          <w:rtl w:val="0"/>
        </w:rPr>
        <w:t xml:space="preserve"> would be the </w:t>
      </w:r>
      <w:r w:rsidDel="00000000" w:rsidR="00000000" w:rsidRPr="00000000">
        <w:rPr>
          <w:rFonts w:ascii="Calibri" w:cs="Calibri" w:eastAsia="Calibri" w:hAnsi="Calibri"/>
          <w:b w:val="1"/>
          <w:bCs w:val="1"/>
          <w:highlight w:val="cyan"/>
          <w:u w:val="single"/>
          <w:rtl w:val="0"/>
        </w:rPr>
        <w:t xml:space="preserve">first to lose access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Larger companies would just buy access to the top-tier AI.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moratorium</w:t>
      </w:r>
      <w:r w:rsidDel="00000000" w:rsidR="00000000" w:rsidRPr="00000000">
        <w:rPr>
          <w:rFonts w:ascii="Calibri" w:cs="Calibri" w:eastAsia="Calibri" w:hAnsi="Calibri"/>
          <w:u w:val="single"/>
          <w:rtl w:val="0"/>
        </w:rPr>
        <w:t xml:space="preserve"> will result in a business landscape that </w:t>
      </w:r>
      <w:r w:rsidDel="00000000" w:rsidR="00000000" w:rsidRPr="00000000">
        <w:rPr>
          <w:rFonts w:ascii="Calibri" w:cs="Calibri" w:eastAsia="Calibri" w:hAnsi="Calibri"/>
          <w:b w:val="1"/>
          <w:bCs w:val="1"/>
          <w:u w:val="single"/>
          <w:rtl w:val="0"/>
        </w:rPr>
        <w:t xml:space="preserve">favors incumbents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has global implications for students, small business owners, and first-generation professionals in emerging economies.</w:t>
      </w:r>
      <w:r w:rsidDel="00000000" w:rsidR="00000000" w:rsidRPr="00000000">
        <w:rPr>
          <w:rtl w:val="0"/>
        </w:rPr>
      </w:r>
    </w:p>
    <w:p w:rsidR="00000000" w:rsidDel="00000000" w:rsidP="00000000" w:rsidRDefault="00000000" w:rsidRPr="00000000" w14:paraId="00000022">
      <w:pPr>
        <w:pStyle w:val="Heading4"/>
        <w:spacing w:after="160" w:before="200" w:line="259" w:lineRule="auto"/>
        <w:rPr>
          <w:rFonts w:ascii="Calibri" w:cs="Calibri" w:eastAsia="Calibri" w:hAnsi="Calibri"/>
          <w:b w:val="1"/>
          <w:bCs w:val="1"/>
          <w:color w:val="000000"/>
          <w:sz w:val="26"/>
          <w:szCs w:val="26"/>
        </w:rPr>
      </w:pPr>
      <w:bookmarkStart w:colFirst="0" w:colLast="0" w:name="_qr0quiiml2s5" w:id="0"/>
      <w:bookmarkEnd w:id="0"/>
      <w:r w:rsidDel="00000000" w:rsidR="00000000" w:rsidRPr="00000000">
        <w:rPr>
          <w:rFonts w:ascii="Calibri" w:cs="Calibri" w:eastAsia="Calibri" w:hAnsi="Calibri"/>
          <w:b w:val="1"/>
          <w:bCs w:val="1"/>
          <w:color w:val="000000"/>
          <w:sz w:val="26"/>
          <w:szCs w:val="26"/>
          <w:rtl w:val="0"/>
        </w:rPr>
        <w:t xml:space="preserve">The aff freezes two parts of America’s future.</w:t>
      </w:r>
    </w:p>
    <w:p w:rsidR="00000000" w:rsidDel="00000000" w:rsidP="00000000" w:rsidRDefault="00000000" w:rsidRPr="00000000" w14:paraId="00000023">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4">
      <w:pPr>
        <w:pStyle w:val="Heading2"/>
        <w:pageBreakBefore w:val="1"/>
        <w:spacing w:after="160" w:before="48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1NC---Livelihoods</w:t>
      </w:r>
    </w:p>
    <w:p w:rsidR="00000000" w:rsidDel="00000000" w:rsidP="00000000" w:rsidRDefault="00000000" w:rsidRPr="00000000" w14:paraId="00000025">
      <w:pPr>
        <w:pStyle w:val="Heading4"/>
        <w:spacing w:after="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first is </w:t>
      </w:r>
      <w:r w:rsidDel="00000000" w:rsidR="00000000" w:rsidRPr="00000000">
        <w:rPr>
          <w:rFonts w:ascii="Calibri" w:cs="Calibri" w:eastAsia="Calibri" w:hAnsi="Calibri"/>
          <w:b w:val="1"/>
          <w:bCs w:val="1"/>
          <w:color w:val="000000"/>
          <w:sz w:val="26"/>
          <w:szCs w:val="26"/>
          <w:u w:val="single"/>
          <w:rtl w:val="0"/>
        </w:rPr>
        <w:t xml:space="preserve">LIVELIHOODS.</w:t>
      </w:r>
      <w:r w:rsidDel="00000000" w:rsidR="00000000" w:rsidRPr="00000000">
        <w:rPr>
          <w:rtl w:val="0"/>
        </w:rPr>
      </w:r>
    </w:p>
    <w:p w:rsidR="00000000" w:rsidDel="00000000" w:rsidP="00000000" w:rsidRDefault="00000000" w:rsidRPr="00000000" w14:paraId="00000026">
      <w:pPr>
        <w:spacing w:line="259" w:lineRule="auto"/>
        <w:ind w:right="600"/>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The US economy is teetering on the edge, and we need all the help we can get. </w:t>
      </w:r>
      <w:r w:rsidDel="00000000" w:rsidR="00000000" w:rsidRPr="00000000">
        <w:rPr>
          <w:rtl w:val="0"/>
        </w:rPr>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Wiseman 8/26</w:t>
      </w:r>
      <w:r w:rsidDel="00000000" w:rsidR="00000000" w:rsidRPr="00000000">
        <w:rPr>
          <w:rFonts w:ascii="Calibri" w:cs="Calibri" w:eastAsia="Calibri" w:hAnsi="Calibri"/>
          <w:rtl w:val="0"/>
        </w:rPr>
        <w:t xml:space="preserve"> [Paul Wiseman, Economics Writer @ Associated Press, 8-26-2026, "U.S. economy expanded at sluggish 1.5% pace in second quarter, on par with earlier estimate," PBS News, DOA: 08-30-2026, https://www.pbs.org/newshour/economy/u-s-economy-expanded-at-sluggish-1-5-pace-in-second-quarter-on-par-with-earlier-estimate] //USNS</w:t>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WASHINGTON (AP) —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U.S. economy </w:t>
      </w:r>
      <w:r w:rsidDel="00000000" w:rsidR="00000000" w:rsidRPr="00000000">
        <w:rPr>
          <w:rFonts w:ascii="Calibri" w:cs="Calibri" w:eastAsia="Calibri" w:hAnsi="Calibri"/>
          <w:b w:val="1"/>
          <w:bCs w:val="1"/>
          <w:highlight w:val="cyan"/>
          <w:u w:val="single"/>
          <w:rtl w:val="0"/>
        </w:rPr>
        <w:t xml:space="preserve">grew at a sluggish</w:t>
      </w:r>
      <w:r w:rsidDel="00000000" w:rsidR="00000000" w:rsidRPr="00000000">
        <w:rPr>
          <w:rFonts w:ascii="Calibri" w:cs="Calibri" w:eastAsia="Calibri" w:hAnsi="Calibri"/>
          <w:highlight w:val="cyan"/>
          <w:u w:val="single"/>
          <w:rtl w:val="0"/>
        </w:rPr>
        <w:t xml:space="preserve"> 1.5% pace</w:t>
      </w:r>
      <w:r w:rsidDel="00000000" w:rsidR="00000000" w:rsidRPr="00000000">
        <w:rPr>
          <w:rFonts w:ascii="Calibri" w:cs="Calibri" w:eastAsia="Calibri" w:hAnsi="Calibri"/>
          <w:sz w:val="16"/>
          <w:szCs w:val="16"/>
          <w:rtl w:val="0"/>
        </w:rPr>
        <w:t xml:space="preserve"> from </w:t>
      </w:r>
      <w:r w:rsidDel="00000000" w:rsidR="00000000" w:rsidRPr="00000000">
        <w:rPr>
          <w:rFonts w:ascii="Calibri" w:cs="Calibri" w:eastAsia="Calibri" w:hAnsi="Calibri"/>
          <w:u w:val="single"/>
          <w:rtl w:val="0"/>
        </w:rPr>
        <w:t xml:space="preserve">April through June</w:t>
      </w:r>
      <w:r w:rsidDel="00000000" w:rsidR="00000000" w:rsidRPr="00000000">
        <w:rPr>
          <w:rFonts w:ascii="Calibri" w:cs="Calibri" w:eastAsia="Calibri" w:hAnsi="Calibri"/>
          <w:sz w:val="16"/>
          <w:szCs w:val="16"/>
          <w:rtl w:val="0"/>
        </w:rPr>
        <w:t xml:space="preserve">. But consumer spending stayed strong.</w:t>
      </w: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Growth in g</w:t>
      </w:r>
      <w:r w:rsidDel="00000000" w:rsidR="00000000" w:rsidRPr="00000000">
        <w:rPr>
          <w:rFonts w:ascii="Calibri" w:cs="Calibri" w:eastAsia="Calibri" w:hAnsi="Calibri"/>
          <w:u w:val="single"/>
          <w:rtl w:val="0"/>
        </w:rPr>
        <w:t xml:space="preserve">ross </w:t>
      </w:r>
      <w:r w:rsidDel="00000000" w:rsidR="00000000" w:rsidRPr="00000000">
        <w:rPr>
          <w:rFonts w:ascii="Calibri" w:cs="Calibri" w:eastAsia="Calibri" w:hAnsi="Calibri"/>
          <w:highlight w:val="cyan"/>
          <w:u w:val="single"/>
          <w:rtl w:val="0"/>
        </w:rPr>
        <w:t xml:space="preserve">d</w:t>
      </w:r>
      <w:r w:rsidDel="00000000" w:rsidR="00000000" w:rsidRPr="00000000">
        <w:rPr>
          <w:rFonts w:ascii="Calibri" w:cs="Calibri" w:eastAsia="Calibri" w:hAnsi="Calibri"/>
          <w:u w:val="single"/>
          <w:rtl w:val="0"/>
        </w:rPr>
        <w:t xml:space="preserve">omestic </w:t>
      </w:r>
      <w:r w:rsidDel="00000000" w:rsidR="00000000" w:rsidRPr="00000000">
        <w:rPr>
          <w:rFonts w:ascii="Calibri" w:cs="Calibri" w:eastAsia="Calibri" w:hAnsi="Calibri"/>
          <w:highlight w:val="cyan"/>
          <w:u w:val="single"/>
          <w:rtl w:val="0"/>
        </w:rPr>
        <w:t xml:space="preserve">p</w:t>
      </w:r>
      <w:r w:rsidDel="00000000" w:rsidR="00000000" w:rsidRPr="00000000">
        <w:rPr>
          <w:rFonts w:ascii="Calibri" w:cs="Calibri" w:eastAsia="Calibri" w:hAnsi="Calibri"/>
          <w:u w:val="single"/>
          <w:rtl w:val="0"/>
        </w:rPr>
        <w:t xml:space="preserve">roduct</w:t>
      </w:r>
      <w:r w:rsidDel="00000000" w:rsidR="00000000" w:rsidRPr="00000000">
        <w:rPr>
          <w:rFonts w:ascii="Calibri" w:cs="Calibri" w:eastAsia="Calibri" w:hAnsi="Calibri"/>
          <w:sz w:val="16"/>
          <w:szCs w:val="16"/>
          <w:rtl w:val="0"/>
        </w:rPr>
        <w:t xml:space="preserve"> — the nation's output of a goods and services — </w:t>
      </w:r>
      <w:r w:rsidDel="00000000" w:rsidR="00000000" w:rsidRPr="00000000">
        <w:rPr>
          <w:rFonts w:ascii="Calibri" w:cs="Calibri" w:eastAsia="Calibri" w:hAnsi="Calibri"/>
          <w:b w:val="1"/>
          <w:bCs w:val="1"/>
          <w:highlight w:val="cyan"/>
          <w:u w:val="single"/>
          <w:rtl w:val="0"/>
        </w:rPr>
        <w:t xml:space="preserve">decelerated</w:t>
      </w:r>
      <w:r w:rsidDel="00000000" w:rsidR="00000000" w:rsidRPr="00000000">
        <w:rPr>
          <w:rFonts w:ascii="Calibri" w:cs="Calibri" w:eastAsia="Calibri" w:hAnsi="Calibri"/>
          <w:highlight w:val="cyan"/>
          <w:u w:val="single"/>
          <w:rtl w:val="0"/>
        </w:rPr>
        <w:t xml:space="preserve"> from</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2.1%</w:t>
      </w:r>
      <w:r w:rsidDel="00000000" w:rsidR="00000000" w:rsidRPr="00000000">
        <w:rPr>
          <w:rFonts w:ascii="Calibri" w:cs="Calibri" w:eastAsia="Calibri" w:hAnsi="Calibri"/>
          <w:b w:val="1"/>
          <w:bCs w:val="1"/>
          <w:u w:val="single"/>
          <w:rtl w:val="0"/>
        </w:rPr>
        <w:t xml:space="preserve"> pace</w:t>
      </w:r>
      <w:r w:rsidDel="00000000" w:rsidR="00000000" w:rsidRPr="00000000">
        <w:rPr>
          <w:rFonts w:ascii="Calibri" w:cs="Calibri" w:eastAsia="Calibri" w:hAnsi="Calibri"/>
          <w:sz w:val="16"/>
          <w:szCs w:val="16"/>
          <w:rtl w:val="0"/>
        </w:rPr>
        <w:t xml:space="preserve"> from January through March, the Commerce Department reported Wednesday. The second-quarter growth number was unchanged from the department's first estimate.</w:t>
      </w:r>
      <w:r w:rsidDel="00000000" w:rsidR="00000000" w:rsidRPr="00000000">
        <w:rPr>
          <w:rtl w:val="0"/>
        </w:rPr>
      </w:r>
    </w:p>
    <w:p w:rsidR="00000000" w:rsidDel="00000000" w:rsidP="00000000" w:rsidRDefault="00000000" w:rsidRPr="00000000" w14:paraId="0000002A">
      <w:pPr>
        <w:spacing w:before="240" w:line="259" w:lineRule="auto"/>
        <w:ind w:right="600"/>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Fortunately, hyperscale data centers are what's keeping that economy afloat. </w:t>
      </w:r>
      <w:r w:rsidDel="00000000" w:rsidR="00000000" w:rsidRPr="00000000">
        <w:rPr>
          <w:rtl w:val="0"/>
        </w:rPr>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Lichtenberg 25</w:t>
      </w:r>
      <w:r w:rsidDel="00000000" w:rsidR="00000000" w:rsidRPr="00000000">
        <w:rPr>
          <w:rFonts w:ascii="Calibri" w:cs="Calibri" w:eastAsia="Calibri" w:hAnsi="Calibri"/>
          <w:rtl w:val="0"/>
        </w:rPr>
        <w:t xml:space="preserve"> [Nick Lichtenberg, Business Editor @ Fortune, 10-7-2025, "Without data centers, GDP growth was 0.1% in the first half of 2025, Harvard economist says," Fortune, DOA: 08-30-2026, https://fortune.com/2025/10/07/data-centers-gdp-growth-zero-first-half-2025-jason-furman-harvard-economist/] //USNS</w:t>
      </w:r>
    </w:p>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U.S. GDP growth</w:t>
      </w:r>
      <w:r w:rsidDel="00000000" w:rsidR="00000000" w:rsidRPr="00000000">
        <w:rPr>
          <w:rFonts w:ascii="Calibri" w:cs="Calibri" w:eastAsia="Calibri" w:hAnsi="Calibri"/>
          <w:sz w:val="16"/>
          <w:szCs w:val="16"/>
          <w:rtl w:val="0"/>
        </w:rPr>
        <w:t xml:space="preserve"> in the first half of 2025 was </w:t>
      </w:r>
      <w:r w:rsidDel="00000000" w:rsidR="00000000" w:rsidRPr="00000000">
        <w:rPr>
          <w:rFonts w:ascii="Calibri" w:cs="Calibri" w:eastAsia="Calibri" w:hAnsi="Calibri"/>
          <w:u w:val="single"/>
          <w:rtl w:val="0"/>
        </w:rPr>
        <w:t xml:space="preserve">almost </w:t>
      </w:r>
      <w:r w:rsidDel="00000000" w:rsidR="00000000" w:rsidRPr="00000000">
        <w:rPr>
          <w:rFonts w:ascii="Calibri" w:cs="Calibri" w:eastAsia="Calibri" w:hAnsi="Calibri"/>
          <w:b w:val="1"/>
          <w:bCs w:val="1"/>
          <w:u w:val="single"/>
          <w:rtl w:val="0"/>
        </w:rPr>
        <w:t xml:space="preserve">entirely </w:t>
      </w:r>
      <w:r w:rsidDel="00000000" w:rsidR="00000000" w:rsidRPr="00000000">
        <w:rPr>
          <w:rFonts w:ascii="Calibri" w:cs="Calibri" w:eastAsia="Calibri" w:hAnsi="Calibri"/>
          <w:b w:val="1"/>
          <w:bCs w:val="1"/>
          <w:highlight w:val="cyan"/>
          <w:u w:val="single"/>
          <w:rtl w:val="0"/>
        </w:rPr>
        <w:t xml:space="preserve">driven</w:t>
      </w:r>
      <w:r w:rsidDel="00000000" w:rsidR="00000000" w:rsidRPr="00000000">
        <w:rPr>
          <w:rFonts w:ascii="Calibri" w:cs="Calibri" w:eastAsia="Calibri" w:hAnsi="Calibri"/>
          <w:highlight w:val="cyan"/>
          <w:u w:val="single"/>
          <w:rtl w:val="0"/>
        </w:rPr>
        <w:t xml:space="preserve"> by</w:t>
      </w:r>
      <w:r w:rsidDel="00000000" w:rsidR="00000000" w:rsidRPr="00000000">
        <w:rPr>
          <w:rFonts w:ascii="Calibri" w:cs="Calibri" w:eastAsia="Calibri" w:hAnsi="Calibri"/>
          <w:u w:val="single"/>
          <w:rtl w:val="0"/>
        </w:rPr>
        <w:t xml:space="preserve"> investment in </w:t>
      </w:r>
      <w:r w:rsidDel="00000000" w:rsidR="00000000" w:rsidRPr="00000000">
        <w:rPr>
          <w:rFonts w:ascii="Calibri" w:cs="Calibri" w:eastAsia="Calibri" w:hAnsi="Calibri"/>
          <w:b w:val="1"/>
          <w:bCs w:val="1"/>
          <w:highlight w:val="cyan"/>
          <w:u w:val="single"/>
          <w:rtl w:val="0"/>
        </w:rPr>
        <w:t xml:space="preserve">data centers</w:t>
      </w:r>
      <w:r w:rsidDel="00000000" w:rsidR="00000000" w:rsidRPr="00000000">
        <w:rPr>
          <w:rFonts w:ascii="Calibri" w:cs="Calibri" w:eastAsia="Calibri" w:hAnsi="Calibri"/>
          <w:u w:val="single"/>
          <w:rtl w:val="0"/>
        </w:rPr>
        <w:t xml:space="preserve"> and information processing technology,</w:t>
      </w:r>
      <w:r w:rsidDel="00000000" w:rsidR="00000000" w:rsidRPr="00000000">
        <w:rPr>
          <w:rFonts w:ascii="Calibri" w:cs="Calibri" w:eastAsia="Calibri" w:hAnsi="Calibri"/>
          <w:sz w:val="16"/>
          <w:szCs w:val="16"/>
          <w:rtl w:val="0"/>
        </w:rPr>
        <w:t xml:space="preserve"> according to Harvard economist Jason Furman. </w:t>
      </w:r>
      <w:r w:rsidDel="00000000" w:rsidR="00000000" w:rsidRPr="00000000">
        <w:rPr>
          <w:rFonts w:ascii="Calibri" w:cs="Calibri" w:eastAsia="Calibri" w:hAnsi="Calibri"/>
          <w:highlight w:val="cyan"/>
          <w:u w:val="single"/>
          <w:rtl w:val="0"/>
        </w:rPr>
        <w:t xml:space="preserve">Excluding these</w:t>
      </w:r>
      <w:r w:rsidDel="00000000" w:rsidR="00000000" w:rsidRPr="00000000">
        <w:rPr>
          <w:rFonts w:ascii="Calibri" w:cs="Calibri" w:eastAsia="Calibri" w:hAnsi="Calibri"/>
          <w:u w:val="single"/>
          <w:rtl w:val="0"/>
        </w:rPr>
        <w:t xml:space="preserve"> technology-related categories,</w:t>
      </w:r>
      <w:r w:rsidDel="00000000" w:rsidR="00000000" w:rsidRPr="00000000">
        <w:rPr>
          <w:rFonts w:ascii="Calibri" w:cs="Calibri" w:eastAsia="Calibri" w:hAnsi="Calibri"/>
          <w:sz w:val="16"/>
          <w:szCs w:val="16"/>
          <w:rtl w:val="0"/>
        </w:rPr>
        <w:t xml:space="preserve"> Furman calculated in a Sept. 27 post on X.com </w:t>
      </w:r>
      <w:r w:rsidDel="00000000" w:rsidR="00000000" w:rsidRPr="00000000">
        <w:rPr>
          <w:rFonts w:ascii="Calibri" w:cs="Calibri" w:eastAsia="Calibri" w:hAnsi="Calibri"/>
          <w:highlight w:val="cyan"/>
          <w:u w:val="single"/>
          <w:rtl w:val="0"/>
        </w:rPr>
        <w:t xml:space="preserve">GDP growth would</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cyan"/>
          <w:u w:val="single"/>
          <w:rtl w:val="0"/>
        </w:rPr>
        <w:t xml:space="preserve">be</w:t>
      </w:r>
      <w:r w:rsidDel="00000000" w:rsidR="00000000" w:rsidRPr="00000000">
        <w:rPr>
          <w:rFonts w:ascii="Calibri" w:cs="Calibri" w:eastAsia="Calibri" w:hAnsi="Calibri"/>
          <w:u w:val="single"/>
          <w:rtl w:val="0"/>
        </w:rPr>
        <w:t xml:space="preserve">en just </w:t>
      </w:r>
      <w:r w:rsidDel="00000000" w:rsidR="00000000" w:rsidRPr="00000000">
        <w:rPr>
          <w:rFonts w:ascii="Calibri" w:cs="Calibri" w:eastAsia="Calibri" w:hAnsi="Calibri"/>
          <w:b w:val="1"/>
          <w:bCs w:val="1"/>
          <w:highlight w:val="cyan"/>
          <w:u w:val="single"/>
          <w:rtl w:val="0"/>
        </w:rPr>
        <w:t xml:space="preserve">0.1</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on an annualized basis</w:t>
      </w:r>
      <w:r w:rsidDel="00000000" w:rsidR="00000000" w:rsidRPr="00000000">
        <w:rPr>
          <w:rFonts w:ascii="Calibri" w:cs="Calibri" w:eastAsia="Calibri" w:hAnsi="Calibri"/>
          <w:sz w:val="16"/>
          <w:szCs w:val="16"/>
          <w:rtl w:val="0"/>
        </w:rPr>
        <w:t xml:space="preserve">, a near standstill that underlines the increasingly pivotal role of high-tech infrastructure in shaping macroeconomic outcomes.</w:t>
      </w: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Furman’s findings, shared online and echoed by financial analysts including Robert Armstrong of the Financial Times‘ Unhedged (the same writer who coined the term “TACO trade’), echo several months of observations on the remarkable surge in data-center infrastructure. In August, Renaissance Macro Research estimated, to date in 2025, the dollar value contributed to </w:t>
      </w:r>
      <w:r w:rsidDel="00000000" w:rsidR="00000000" w:rsidRPr="00000000">
        <w:rPr>
          <w:rFonts w:ascii="Calibri" w:cs="Calibri" w:eastAsia="Calibri" w:hAnsi="Calibri"/>
          <w:highlight w:val="cyan"/>
          <w:u w:val="single"/>
          <w:rtl w:val="0"/>
        </w:rPr>
        <w:t xml:space="preserve">GDP growth by</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b w:val="1"/>
          <w:bCs w:val="1"/>
          <w:highlight w:val="cyan"/>
          <w:u w:val="single"/>
          <w:rtl w:val="0"/>
        </w:rPr>
        <w:t xml:space="preserve">data-center buildout</w:t>
      </w:r>
      <w:r w:rsidDel="00000000" w:rsidR="00000000" w:rsidRPr="00000000">
        <w:rPr>
          <w:rFonts w:ascii="Calibri" w:cs="Calibri" w:eastAsia="Calibri" w:hAnsi="Calibri"/>
          <w:u w:val="single"/>
          <w:rtl w:val="0"/>
        </w:rPr>
        <w:t xml:space="preserve"> had </w:t>
      </w:r>
      <w:r w:rsidDel="00000000" w:rsidR="00000000" w:rsidRPr="00000000">
        <w:rPr>
          <w:rFonts w:ascii="Calibri" w:cs="Calibri" w:eastAsia="Calibri" w:hAnsi="Calibri"/>
          <w:highlight w:val="cyan"/>
          <w:u w:val="single"/>
          <w:rtl w:val="0"/>
        </w:rPr>
        <w:t xml:space="preserve">surpassed</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highlight w:val="cyan"/>
          <w:u w:val="single"/>
          <w:rtl w:val="0"/>
        </w:rPr>
        <w:t xml:space="preserve">consumer spending for the </w:t>
      </w:r>
      <w:r w:rsidDel="00000000" w:rsidR="00000000" w:rsidRPr="00000000">
        <w:rPr>
          <w:rFonts w:ascii="Calibri" w:cs="Calibri" w:eastAsia="Calibri" w:hAnsi="Calibri"/>
          <w:b w:val="1"/>
          <w:bCs w:val="1"/>
          <w:highlight w:val="cyan"/>
          <w:u w:val="single"/>
          <w:rtl w:val="0"/>
        </w:rPr>
        <w:t xml:space="preserve">first time</w:t>
      </w:r>
      <w:r w:rsidDel="00000000" w:rsidR="00000000" w:rsidRPr="00000000">
        <w:rPr>
          <w:rFonts w:ascii="Calibri" w:cs="Calibri" w:eastAsia="Calibri" w:hAnsi="Calibri"/>
          <w:b w:val="1"/>
          <w:bCs w:val="1"/>
          <w:u w:val="single"/>
          <w:rtl w:val="0"/>
        </w:rPr>
        <w:t xml:space="preserve"> ever.</w:t>
      </w:r>
      <w:r w:rsidDel="00000000" w:rsidR="00000000" w:rsidRPr="00000000">
        <w:rPr>
          <w:rFonts w:ascii="Calibri" w:cs="Calibri" w:eastAsia="Calibri" w:hAnsi="Calibri"/>
          <w:sz w:val="16"/>
          <w:szCs w:val="16"/>
          <w:rtl w:val="0"/>
        </w:rPr>
        <w:t xml:space="preserve"> That’s remarkable considering </w:t>
      </w:r>
      <w:r w:rsidDel="00000000" w:rsidR="00000000" w:rsidRPr="00000000">
        <w:rPr>
          <w:rFonts w:ascii="Calibri" w:cs="Calibri" w:eastAsia="Calibri" w:hAnsi="Calibri"/>
          <w:b w:val="1"/>
          <w:bCs w:val="1"/>
          <w:u w:val="single"/>
          <w:rtl w:val="0"/>
        </w:rPr>
        <w:t xml:space="preserve">consumer spending is two-thirds of GDP.</w:t>
      </w: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Technically, as Furman notes, investment in information-processing equipment and software was only 4% of U.S. GDP for the first half of 2025, yet it also accounted for fully 92% of GDP growth over that period. Furman added it’s probably not the case the U.S. economy would have recorded almost no expansion at all absent this buildout, reasoning that “absent the AI boom we would probably have lower interest rates [and] electricity prices, thus some additional growth in other sectors. In very rough terms that could maybe make up about half of what we got from the AI boom.” But still, it’s big.</w:t>
      </w: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Tech giants</w:t>
      </w:r>
      <w:r w:rsidDel="00000000" w:rsidR="00000000" w:rsidRPr="00000000">
        <w:rPr>
          <w:rFonts w:ascii="Calibri" w:cs="Calibri" w:eastAsia="Calibri" w:hAnsi="Calibri"/>
          <w:sz w:val="16"/>
          <w:szCs w:val="16"/>
          <w:rtl w:val="0"/>
        </w:rPr>
        <w:t xml:space="preserve"> such as Microsoft, Google, Amazon, Meta, and Nvidia have </w:t>
      </w:r>
      <w:r w:rsidDel="00000000" w:rsidR="00000000" w:rsidRPr="00000000">
        <w:rPr>
          <w:rFonts w:ascii="Calibri" w:cs="Calibri" w:eastAsia="Calibri" w:hAnsi="Calibri"/>
          <w:u w:val="single"/>
          <w:rtl w:val="0"/>
        </w:rPr>
        <w:t xml:space="preserve">poured tens of billions of dollars into building and upgrading data ce</w:t>
      </w:r>
      <w:r w:rsidDel="00000000" w:rsidR="00000000" w:rsidRPr="00000000">
        <w:rPr>
          <w:rFonts w:ascii="Calibri" w:cs="Calibri" w:eastAsia="Calibri" w:hAnsi="Calibri"/>
          <w:sz w:val="16"/>
          <w:szCs w:val="16"/>
          <w:rtl w:val="0"/>
        </w:rPr>
        <w:t xml:space="preserve">nters, responding to explosive demand for artificial intelligence and large language models that require massive computing resources.</w:t>
      </w: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Lisa Shallet, chief investment officer for Morgan Stanley Wealth Management, flagged on Sept. 29 that </w:t>
      </w:r>
      <w:r w:rsidDel="00000000" w:rsidR="00000000" w:rsidRPr="00000000">
        <w:rPr>
          <w:rFonts w:ascii="Calibri" w:cs="Calibri" w:eastAsia="Calibri" w:hAnsi="Calibri"/>
          <w:u w:val="single"/>
          <w:rtl w:val="0"/>
        </w:rPr>
        <w:t xml:space="preserve">spending was truly massive among the so-called “hyperscalers</w:t>
      </w:r>
      <w:r w:rsidDel="00000000" w:rsidR="00000000" w:rsidRPr="00000000">
        <w:rPr>
          <w:rFonts w:ascii="Calibri" w:cs="Calibri" w:eastAsia="Calibri" w:hAnsi="Calibri"/>
          <w:sz w:val="16"/>
          <w:szCs w:val="16"/>
          <w:rtl w:val="0"/>
        </w:rPr>
        <w:t xml:space="preserve">” who are striving for huge computing, storage and networking capacity.</w:t>
      </w: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recent years, </w:t>
      </w:r>
      <w:r w:rsidDel="00000000" w:rsidR="00000000" w:rsidRPr="00000000">
        <w:rPr>
          <w:rFonts w:ascii="Calibri" w:cs="Calibri" w:eastAsia="Calibri" w:hAnsi="Calibri"/>
          <w:b w:val="1"/>
          <w:bCs w:val="1"/>
          <w:highlight w:val="cyan"/>
          <w:u w:val="single"/>
          <w:rtl w:val="0"/>
        </w:rPr>
        <w:t xml:space="preserve">hyperscaler capex</w:t>
      </w:r>
      <w:r w:rsidDel="00000000" w:rsidR="00000000" w:rsidRPr="00000000">
        <w:rPr>
          <w:rFonts w:ascii="Calibri" w:cs="Calibri" w:eastAsia="Calibri" w:hAnsi="Calibri"/>
          <w:sz w:val="16"/>
          <w:szCs w:val="16"/>
          <w:rtl w:val="0"/>
        </w:rPr>
        <w:t xml:space="preserve"> on data center and related items has </w:t>
      </w:r>
      <w:r w:rsidDel="00000000" w:rsidR="00000000" w:rsidRPr="00000000">
        <w:rPr>
          <w:rFonts w:ascii="Calibri" w:cs="Calibri" w:eastAsia="Calibri" w:hAnsi="Calibri"/>
          <w:b w:val="1"/>
          <w:bCs w:val="1"/>
          <w:highlight w:val="cyan"/>
          <w:u w:val="single"/>
          <w:rtl w:val="0"/>
        </w:rPr>
        <w:t xml:space="preserve">risen fourfold and is</w:t>
      </w:r>
      <w:r w:rsidDel="00000000" w:rsidR="00000000" w:rsidRPr="00000000">
        <w:rPr>
          <w:rFonts w:ascii="Calibri" w:cs="Calibri" w:eastAsia="Calibri" w:hAnsi="Calibri"/>
          <w:b w:val="1"/>
          <w:bCs w:val="1"/>
          <w:u w:val="single"/>
          <w:rtl w:val="0"/>
        </w:rPr>
        <w:t xml:space="preserve"> nearing</w:t>
      </w:r>
      <w:r w:rsidDel="00000000" w:rsidR="00000000" w:rsidRPr="00000000">
        <w:rPr>
          <w:rFonts w:ascii="Calibri" w:cs="Calibri" w:eastAsia="Calibri" w:hAnsi="Calibri"/>
          <w:b w:val="1"/>
          <w:bCs w:val="1"/>
          <w:highlight w:val="cyan"/>
          <w:u w:val="single"/>
          <w:rtl w:val="0"/>
        </w:rPr>
        <w:t xml:space="preserve"> $400 billion annually</w:t>
      </w:r>
      <w:r w:rsidDel="00000000" w:rsidR="00000000" w:rsidRPr="00000000">
        <w:rPr>
          <w:rFonts w:ascii="Calibri" w:cs="Calibri" w:eastAsia="Calibri" w:hAnsi="Calibri"/>
          <w:sz w:val="16"/>
          <w:szCs w:val="16"/>
          <w:rtl w:val="0"/>
        </w:rPr>
        <w:t xml:space="preserve">,” she wrote. “The </w:t>
      </w:r>
      <w:r w:rsidDel="00000000" w:rsidR="00000000" w:rsidRPr="00000000">
        <w:rPr>
          <w:rFonts w:ascii="Calibri" w:cs="Calibri" w:eastAsia="Calibri" w:hAnsi="Calibri"/>
          <w:u w:val="single"/>
          <w:rtl w:val="0"/>
        </w:rPr>
        <w:t xml:space="preserve">speed of growth</w:t>
      </w:r>
      <w:r w:rsidDel="00000000" w:rsidR="00000000" w:rsidRPr="00000000">
        <w:rPr>
          <w:rFonts w:ascii="Calibri" w:cs="Calibri" w:eastAsia="Calibri" w:hAnsi="Calibri"/>
          <w:sz w:val="16"/>
          <w:szCs w:val="16"/>
          <w:rtl w:val="0"/>
        </w:rPr>
        <w:t xml:space="preserve"> and size of the investment are skewing its aggregate economic impact, with the </w:t>
      </w:r>
      <w:r w:rsidDel="00000000" w:rsidR="00000000" w:rsidRPr="00000000">
        <w:rPr>
          <w:rFonts w:ascii="Calibri" w:cs="Calibri" w:eastAsia="Calibri" w:hAnsi="Calibri"/>
          <w:highlight w:val="cyan"/>
          <w:u w:val="single"/>
          <w:rtl w:val="0"/>
        </w:rPr>
        <w:t xml:space="preserve">top 10 spenders accounting for</w:t>
      </w:r>
      <w:r w:rsidDel="00000000" w:rsidR="00000000" w:rsidRPr="00000000">
        <w:rPr>
          <w:rFonts w:ascii="Calibri" w:cs="Calibri" w:eastAsia="Calibri" w:hAnsi="Calibri"/>
          <w:u w:val="single"/>
          <w:rtl w:val="0"/>
        </w:rPr>
        <w:t xml:space="preserve"> nearly </w:t>
      </w:r>
      <w:r w:rsidDel="00000000" w:rsidR="00000000" w:rsidRPr="00000000">
        <w:rPr>
          <w:rFonts w:ascii="Calibri" w:cs="Calibri" w:eastAsia="Calibri" w:hAnsi="Calibri"/>
          <w:highlight w:val="cyan"/>
          <w:u w:val="single"/>
          <w:rtl w:val="0"/>
        </w:rPr>
        <w:t xml:space="preserve">a third of all spending</w:t>
      </w:r>
      <w:r w:rsidDel="00000000" w:rsidR="00000000" w:rsidRPr="00000000">
        <w:rPr>
          <w:rFonts w:ascii="Calibri" w:cs="Calibri" w:eastAsia="Calibri" w:hAnsi="Calibri"/>
          <w:sz w:val="16"/>
          <w:szCs w:val="16"/>
          <w:rtl w:val="0"/>
        </w:rPr>
        <w:t xml:space="preserve"> … For perspective, it’s estimated that data center-linked spending is adding roughly 100 basis points to U.S. real GDP growth.”</w:t>
      </w:r>
      <w:r w:rsidDel="00000000" w:rsidR="00000000" w:rsidRPr="00000000">
        <w:rPr>
          <w:rtl w:val="0"/>
        </w:rPr>
      </w:r>
    </w:p>
    <w:p w:rsidR="00000000" w:rsidDel="00000000" w:rsidP="00000000" w:rsidRDefault="00000000" w:rsidRPr="00000000" w14:paraId="00000032">
      <w:pPr>
        <w:spacing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And without that buildout, growth stalls out. </w:t>
      </w:r>
      <w:r w:rsidDel="00000000" w:rsidR="00000000" w:rsidRPr="00000000">
        <w:rPr>
          <w:rtl w:val="0"/>
        </w:rPr>
      </w:r>
    </w:p>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Batson 8/11</w:t>
      </w:r>
      <w:r w:rsidDel="00000000" w:rsidR="00000000" w:rsidRPr="00000000">
        <w:rPr>
          <w:rFonts w:ascii="Calibri" w:cs="Calibri" w:eastAsia="Calibri" w:hAnsi="Calibri"/>
          <w:rtl w:val="0"/>
        </w:rPr>
        <w:t xml:space="preserve"> [Andrew Batson, Global Head of Data Center Market Intelligence @ JLL, 8-11-2026, "North America Data Center Report Midyear 2026," JLL, DOA: 08-30-2026, https://www.jll.com/en-us/insights/market-dynamics/north-america-data-centers] //USNS</w:t>
      </w:r>
    </w:p>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Vacancy remains at 1% for the third consecutive year, despite unprecedented construction. This reflects structural demand driven by our </w:t>
      </w:r>
      <w:r w:rsidDel="00000000" w:rsidR="00000000" w:rsidRPr="00000000">
        <w:rPr>
          <w:rFonts w:ascii="Calibri" w:cs="Calibri" w:eastAsia="Calibri" w:hAnsi="Calibri"/>
          <w:highlight w:val="cyan"/>
          <w:u w:val="single"/>
          <w:rtl w:val="0"/>
        </w:rPr>
        <w:t xml:space="preserve">growing reliance on</w:t>
      </w:r>
      <w:r w:rsidDel="00000000" w:rsidR="00000000" w:rsidRPr="00000000">
        <w:rPr>
          <w:rFonts w:ascii="Calibri" w:cs="Calibri" w:eastAsia="Calibri" w:hAnsi="Calibri"/>
          <w:u w:val="single"/>
          <w:rtl w:val="0"/>
        </w:rPr>
        <w:t xml:space="preserve"> digital services and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adoption</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Available capacity is limited to small, fragmented blocks. Most tenants securing space today are contracting for 2028 deliveries, underscoring the depth and durability of forward demand.</w:t>
      </w:r>
      <w:r w:rsidDel="00000000" w:rsidR="00000000" w:rsidRPr="00000000">
        <w:rPr>
          <w:rtl w:val="0"/>
        </w:rPr>
      </w:r>
    </w:p>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Limited data center capacity</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b w:val="1"/>
          <w:bCs w:val="1"/>
          <w:highlight w:val="cyan"/>
          <w:u w:val="single"/>
          <w:rtl w:val="0"/>
        </w:rPr>
        <w:t xml:space="preserve">constrain business growth</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digital </w:t>
      </w:r>
      <w:r w:rsidDel="00000000" w:rsidR="00000000" w:rsidRPr="00000000">
        <w:rPr>
          <w:rFonts w:ascii="Calibri" w:cs="Calibri" w:eastAsia="Calibri" w:hAnsi="Calibri"/>
          <w:b w:val="1"/>
          <w:bCs w:val="1"/>
          <w:highlight w:val="cyan"/>
          <w:u w:val="single"/>
          <w:rtl w:val="0"/>
        </w:rPr>
        <w:t xml:space="preserve">innovation</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economic competitiveness</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It also </w:t>
      </w:r>
      <w:r w:rsidDel="00000000" w:rsidR="00000000" w:rsidRPr="00000000">
        <w:rPr>
          <w:rFonts w:ascii="Calibri" w:cs="Calibri" w:eastAsia="Calibri" w:hAnsi="Calibri"/>
          <w:b w:val="1"/>
          <w:bCs w:val="1"/>
          <w:u w:val="single"/>
          <w:rtl w:val="0"/>
        </w:rPr>
        <w:t xml:space="preserve">threatens AI leadership</w:t>
      </w:r>
      <w:r w:rsidDel="00000000" w:rsidR="00000000" w:rsidRPr="00000000">
        <w:rPr>
          <w:rFonts w:ascii="Calibri" w:cs="Calibri" w:eastAsia="Calibri" w:hAnsi="Calibri"/>
          <w:u w:val="single"/>
          <w:rtl w:val="0"/>
        </w:rPr>
        <w:t xml:space="preserve"> and the </w:t>
      </w:r>
      <w:r w:rsidDel="00000000" w:rsidR="00000000" w:rsidRPr="00000000">
        <w:rPr>
          <w:rFonts w:ascii="Calibri" w:cs="Calibri" w:eastAsia="Calibri" w:hAnsi="Calibri"/>
          <w:b w:val="1"/>
          <w:bCs w:val="1"/>
          <w:u w:val="single"/>
          <w:rtl w:val="0"/>
        </w:rPr>
        <w:t xml:space="preserve">digital infrastructure</w:t>
      </w:r>
      <w:r w:rsidDel="00000000" w:rsidR="00000000" w:rsidRPr="00000000">
        <w:rPr>
          <w:rFonts w:ascii="Calibri" w:cs="Calibri" w:eastAsia="Calibri" w:hAnsi="Calibri"/>
          <w:u w:val="single"/>
          <w:rtl w:val="0"/>
        </w:rPr>
        <w:t xml:space="preserve"> supporting critical services and national security.</w:t>
      </w:r>
      <w:r w:rsidDel="00000000" w:rsidR="00000000" w:rsidRPr="00000000">
        <w:rPr>
          <w:rtl w:val="0"/>
        </w:rPr>
      </w:r>
    </w:p>
    <w:p w:rsidR="00000000" w:rsidDel="00000000" w:rsidP="00000000" w:rsidRDefault="00000000" w:rsidRPr="00000000" w14:paraId="00000037">
      <w:pPr>
        <w:pStyle w:val="Heading4"/>
        <w:spacing w:after="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Because of this, Palmer from Columbia this year concludes that</w:t>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Palmer 26</w:t>
      </w:r>
      <w:r w:rsidDel="00000000" w:rsidR="00000000" w:rsidRPr="00000000">
        <w:rPr>
          <w:rFonts w:ascii="Calibri" w:cs="Calibri" w:eastAsia="Calibri" w:hAnsi="Calibri"/>
          <w:rtl w:val="0"/>
        </w:rPr>
        <w:t xml:space="preserve"> [Andrew Palmer, Executive Editor @ Columbia Business School News, 7-14-2026, "The data center dilemma: The U.S. could 'be in a recession' without them, but they pose a significant risk to the financial system," Columbia Business School, DOA: 08-30-2026, https://business.columbia.edu/insights/financial-risk-hiding-inside-ai-boom] //USNS</w:t>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According to a new paper by Stijn Van Nieuwerburgh, the Earle W. Kazis and Benjamin Schore Professor of Real Estate at Columbia Business School, </w:t>
      </w:r>
      <w:r w:rsidDel="00000000" w:rsidR="00000000" w:rsidRPr="00000000">
        <w:rPr>
          <w:rFonts w:ascii="Calibri" w:cs="Calibri" w:eastAsia="Calibri" w:hAnsi="Calibri"/>
          <w:u w:val="single"/>
          <w:rtl w:val="0"/>
        </w:rPr>
        <w:t xml:space="preserve">the scale of that buildout is booming. By late 2025, AI-related infrastructure investment was already </w:t>
      </w:r>
      <w:r w:rsidDel="00000000" w:rsidR="00000000" w:rsidRPr="00000000">
        <w:rPr>
          <w:rFonts w:ascii="Calibri" w:cs="Calibri" w:eastAsia="Calibri" w:hAnsi="Calibri"/>
          <w:b w:val="1"/>
          <w:bCs w:val="1"/>
          <w:u w:val="single"/>
          <w:rtl w:val="0"/>
        </w:rPr>
        <w:t xml:space="preserve">driving nearly all observed U.S. GDP growth.</w:t>
      </w:r>
      <w:r w:rsidDel="00000000" w:rsidR="00000000" w:rsidRPr="00000000">
        <w:rPr>
          <w:rFonts w:ascii="Calibri" w:cs="Calibri" w:eastAsia="Calibri" w:hAnsi="Calibri"/>
          <w:u w:val="single"/>
          <w:rtl w:val="0"/>
        </w:rPr>
        <w:t xml:space="preserve"> </w:t>
      </w: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cyan"/>
          <w:u w:val="single"/>
          <w:rtl w:val="0"/>
        </w:rPr>
        <w:t xml:space="preserve">We’d</w:t>
      </w:r>
      <w:r w:rsidDel="00000000" w:rsidR="00000000" w:rsidRPr="00000000">
        <w:rPr>
          <w:rFonts w:ascii="Calibri" w:cs="Calibri" w:eastAsia="Calibri" w:hAnsi="Calibri"/>
          <w:u w:val="single"/>
          <w:rtl w:val="0"/>
        </w:rPr>
        <w:t xml:space="preserve"> basically </w:t>
      </w:r>
      <w:r w:rsidDel="00000000" w:rsidR="00000000" w:rsidRPr="00000000">
        <w:rPr>
          <w:rFonts w:ascii="Calibri" w:cs="Calibri" w:eastAsia="Calibri" w:hAnsi="Calibri"/>
          <w:b w:val="1"/>
          <w:bCs w:val="1"/>
          <w:highlight w:val="cyan"/>
          <w:u w:val="single"/>
          <w:rtl w:val="0"/>
        </w:rPr>
        <w:t xml:space="preserve">be in a recession</w:t>
      </w:r>
      <w:r w:rsidDel="00000000" w:rsidR="00000000" w:rsidRPr="00000000">
        <w:rPr>
          <w:rFonts w:ascii="Calibri" w:cs="Calibri" w:eastAsia="Calibri" w:hAnsi="Calibri"/>
          <w:u w:val="single"/>
          <w:rtl w:val="0"/>
        </w:rPr>
        <w:t xml:space="preserve"> right now </w:t>
      </w:r>
      <w:r w:rsidDel="00000000" w:rsidR="00000000" w:rsidRPr="00000000">
        <w:rPr>
          <w:rFonts w:ascii="Calibri" w:cs="Calibri" w:eastAsia="Calibri" w:hAnsi="Calibri"/>
          <w:b w:val="1"/>
          <w:bCs w:val="1"/>
          <w:highlight w:val="cyan"/>
          <w:u w:val="single"/>
          <w:rtl w:val="0"/>
        </w:rPr>
        <w:t xml:space="preserve">without data centers</w:t>
      </w:r>
      <w:r w:rsidDel="00000000" w:rsidR="00000000" w:rsidRPr="00000000">
        <w:rPr>
          <w:rFonts w:ascii="Calibri" w:cs="Calibri" w:eastAsia="Calibri" w:hAnsi="Calibri"/>
          <w:sz w:val="16"/>
          <w:szCs w:val="16"/>
          <w:rtl w:val="0"/>
        </w:rPr>
        <w:t xml:space="preserve">,” Van Nieuwerburgh says. “That’s how big AI is.”</w:t>
      </w:r>
      <w:r w:rsidDel="00000000" w:rsidR="00000000" w:rsidRPr="00000000">
        <w:rPr>
          <w:rtl w:val="0"/>
        </w:rPr>
      </w:r>
    </w:p>
    <w:p w:rsidR="00000000" w:rsidDel="00000000" w:rsidP="00000000" w:rsidRDefault="00000000" w:rsidRPr="00000000" w14:paraId="0000003B">
      <w:pPr>
        <w:pStyle w:val="Heading4"/>
        <w:spacing w:after="0" w:before="40" w:line="259" w:lineRule="auto"/>
        <w:rPr>
          <w:rFonts w:ascii="Calibri" w:cs="Calibri" w:eastAsia="Calibri" w:hAnsi="Calibri"/>
          <w:b w:val="1"/>
          <w:bCs w:val="1"/>
          <w:color w:val="000000"/>
          <w:sz w:val="26"/>
          <w:szCs w:val="26"/>
          <w:u w:val="single"/>
        </w:rPr>
      </w:pPr>
      <w:bookmarkStart w:colFirst="0" w:colLast="0" w:name="_ld7ab4vrpzhe" w:id="1"/>
      <w:bookmarkEnd w:id="1"/>
      <w:r w:rsidDel="00000000" w:rsidR="00000000" w:rsidRPr="00000000">
        <w:rPr>
          <w:rFonts w:ascii="Calibri" w:cs="Calibri" w:eastAsia="Calibri" w:hAnsi="Calibri"/>
          <w:b w:val="1"/>
          <w:bCs w:val="1"/>
          <w:color w:val="000000"/>
          <w:sz w:val="26"/>
          <w:szCs w:val="26"/>
          <w:rtl w:val="0"/>
        </w:rPr>
        <w:t xml:space="preserve">Else, a collapse threatens </w:t>
      </w:r>
      <w:r w:rsidDel="00000000" w:rsidR="00000000" w:rsidRPr="00000000">
        <w:rPr>
          <w:rFonts w:ascii="Calibri" w:cs="Calibri" w:eastAsia="Calibri" w:hAnsi="Calibri"/>
          <w:b w:val="1"/>
          <w:bCs w:val="1"/>
          <w:color w:val="000000"/>
          <w:sz w:val="26"/>
          <w:szCs w:val="26"/>
          <w:u w:val="single"/>
          <w:rtl w:val="0"/>
        </w:rPr>
        <w:t xml:space="preserve">millions</w:t>
      </w:r>
      <w:r w:rsidDel="00000000" w:rsidR="00000000" w:rsidRPr="00000000">
        <w:rPr>
          <w:rFonts w:ascii="Calibri" w:cs="Calibri" w:eastAsia="Calibri" w:hAnsi="Calibri"/>
          <w:b w:val="1"/>
          <w:bCs w:val="1"/>
          <w:color w:val="000000"/>
          <w:sz w:val="26"/>
          <w:szCs w:val="26"/>
          <w:rtl w:val="0"/>
        </w:rPr>
        <w:t xml:space="preserve"> of </w:t>
      </w:r>
      <w:r w:rsidDel="00000000" w:rsidR="00000000" w:rsidRPr="00000000">
        <w:rPr>
          <w:rFonts w:ascii="Calibri" w:cs="Calibri" w:eastAsia="Calibri" w:hAnsi="Calibri"/>
          <w:b w:val="1"/>
          <w:bCs w:val="1"/>
          <w:color w:val="000000"/>
          <w:sz w:val="26"/>
          <w:szCs w:val="26"/>
          <w:u w:val="single"/>
          <w:rtl w:val="0"/>
        </w:rPr>
        <w:t xml:space="preserve">vulnerable people. </w:t>
      </w:r>
    </w:p>
    <w:p w:rsidR="00000000" w:rsidDel="00000000" w:rsidP="00000000" w:rsidRDefault="00000000" w:rsidRPr="00000000" w14:paraId="0000003C">
      <w:pPr>
        <w:shd w:fill="ffffff" w:val="clea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Goodwin et al. 14</w:t>
      </w:r>
      <w:r w:rsidDel="00000000" w:rsidR="00000000" w:rsidRPr="00000000">
        <w:rPr>
          <w:rFonts w:ascii="Calibri" w:cs="Calibri" w:eastAsia="Calibri" w:hAnsi="Calibri"/>
          <w:rtl w:val="0"/>
        </w:rPr>
        <w:t xml:space="preserve"> [Neva Goodwin et al, Co-Director, Global Development and Environment Institute, Tufts University, "The Financial Crisis and the Great Recession," </w:t>
      </w:r>
      <w:r w:rsidDel="00000000" w:rsidR="00000000" w:rsidRPr="00000000">
        <w:rPr>
          <w:rFonts w:ascii="Calibri" w:cs="Calibri" w:eastAsia="Calibri" w:hAnsi="Calibri"/>
          <w:i w:val="1"/>
          <w:iCs w:val="1"/>
          <w:rtl w:val="0"/>
        </w:rPr>
        <w:t xml:space="preserve">Macroeconomics in Context</w:t>
      </w:r>
      <w:r w:rsidDel="00000000" w:rsidR="00000000" w:rsidRPr="00000000">
        <w:rPr>
          <w:rFonts w:ascii="Calibri" w:cs="Calibri" w:eastAsia="Calibri" w:hAnsi="Calibri"/>
          <w:rtl w:val="0"/>
        </w:rPr>
        <w:t xml:space="preserve">, 2nd ed., Ch. 15, M.E. Sharpe/Routledge. DOA: 1/8/2026 </w:t>
      </w:r>
      <w:hyperlink r:id="rId8">
        <w:r w:rsidDel="00000000" w:rsidR="00000000" w:rsidRPr="00000000">
          <w:rPr>
            <w:rFonts w:ascii="Calibri" w:cs="Calibri" w:eastAsia="Calibri" w:hAnsi="Calibri"/>
            <w:color w:val="1155cc"/>
            <w:u w:val="single"/>
            <w:rtl w:val="0"/>
          </w:rPr>
          <w:t xml:space="preserve">https://www.bu.edu/eci/files/2019/06/MAC_2e_Chapter_15.pdf</w:t>
        </w:r>
      </w:hyperlink>
      <w:r w:rsidDel="00000000" w:rsidR="00000000" w:rsidRPr="00000000">
        <w:rPr>
          <w:rFonts w:ascii="Calibri" w:cs="Calibri" w:eastAsia="Calibri" w:hAnsi="Calibri"/>
          <w:rtl w:val="0"/>
        </w:rPr>
        <w:t xml:space="preserve"> //recut goniichan]</w:t>
      </w:r>
    </w:p>
    <w:p w:rsidR="00000000" w:rsidDel="00000000" w:rsidP="00000000" w:rsidRDefault="00000000" w:rsidRPr="00000000" w14:paraId="0000003D">
      <w:pP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crisis also spread beyond U.S. borders. As consumption and income declined in the United States, many countries experienced a significant reduction in exports as well as a decline in the investments that they held in the United States. </w:t>
      </w:r>
      <w:r w:rsidDel="00000000" w:rsidR="00000000" w:rsidRPr="00000000">
        <w:rPr>
          <w:rFonts w:ascii="Calibri" w:cs="Calibri" w:eastAsia="Calibri" w:hAnsi="Calibri"/>
          <w:u w:val="single"/>
          <w:rtl w:val="0"/>
        </w:rPr>
        <w:t xml:space="preserve">As a result, </w:t>
      </w:r>
      <w:r w:rsidDel="00000000" w:rsidR="00000000" w:rsidRPr="00000000">
        <w:rPr>
          <w:rFonts w:ascii="Calibri" w:cs="Calibri" w:eastAsia="Calibri" w:hAnsi="Calibri"/>
          <w:highlight w:val="cyan"/>
          <w:u w:val="single"/>
          <w:rtl w:val="0"/>
        </w:rPr>
        <w:t xml:space="preserve">global GDP declined</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highlight w:val="cyan"/>
          <w:u w:val="single"/>
          <w:rtl w:val="0"/>
        </w:rPr>
        <w:t xml:space="preserve">2 percent</w:t>
      </w:r>
      <w:r w:rsidDel="00000000" w:rsidR="00000000" w:rsidRPr="00000000">
        <w:rPr>
          <w:rFonts w:ascii="Calibri" w:cs="Calibri" w:eastAsia="Calibri" w:hAnsi="Calibri"/>
          <w:u w:val="single"/>
          <w:rtl w:val="0"/>
        </w:rPr>
        <w:t xml:space="preserve"> in 2009. It has been estimated that between </w:t>
      </w:r>
      <w:r w:rsidDel="00000000" w:rsidR="00000000" w:rsidRPr="00000000">
        <w:rPr>
          <w:rFonts w:ascii="Calibri" w:cs="Calibri" w:eastAsia="Calibri" w:hAnsi="Calibri"/>
          <w:b w:val="1"/>
          <w:bCs w:val="1"/>
          <w:u w:val="single"/>
          <w:rtl w:val="0"/>
        </w:rPr>
        <w:t xml:space="preserve">50 million and </w:t>
      </w:r>
      <w:r w:rsidDel="00000000" w:rsidR="00000000" w:rsidRPr="00000000">
        <w:rPr>
          <w:rFonts w:ascii="Calibri" w:cs="Calibri" w:eastAsia="Calibri" w:hAnsi="Calibri"/>
          <w:b w:val="1"/>
          <w:bCs w:val="1"/>
          <w:highlight w:val="cyan"/>
          <w:u w:val="single"/>
          <w:rtl w:val="0"/>
        </w:rPr>
        <w:t xml:space="preserve">100 million people around the world </w:t>
      </w:r>
      <w:r w:rsidDel="00000000" w:rsidR="00000000" w:rsidRPr="00000000">
        <w:rPr>
          <w:rFonts w:ascii="Calibri" w:cs="Calibri" w:eastAsia="Calibri" w:hAnsi="Calibri"/>
          <w:b w:val="1"/>
          <w:bCs w:val="1"/>
          <w:u w:val="single"/>
          <w:rtl w:val="0"/>
        </w:rPr>
        <w:t xml:space="preserve">either fell </w:t>
      </w:r>
      <w:r w:rsidDel="00000000" w:rsidR="00000000" w:rsidRPr="00000000">
        <w:rPr>
          <w:rFonts w:ascii="Calibri" w:cs="Calibri" w:eastAsia="Calibri" w:hAnsi="Calibri"/>
          <w:b w:val="1"/>
          <w:bCs w:val="1"/>
          <w:highlight w:val="cyan"/>
          <w:u w:val="single"/>
          <w:rtl w:val="0"/>
        </w:rPr>
        <w:t xml:space="preserve">into</w:t>
      </w:r>
      <w:r w:rsidDel="00000000" w:rsidR="00000000" w:rsidRPr="00000000">
        <w:rPr>
          <w:rFonts w:ascii="Calibri" w:cs="Calibri" w:eastAsia="Calibri" w:hAnsi="Calibri"/>
          <w:b w:val="1"/>
          <w:bCs w:val="1"/>
          <w:u w:val="single"/>
          <w:rtl w:val="0"/>
        </w:rPr>
        <w:t xml:space="preserve">, or were prevented from escaping, </w:t>
      </w:r>
      <w:r w:rsidDel="00000000" w:rsidR="00000000" w:rsidRPr="00000000">
        <w:rPr>
          <w:rFonts w:ascii="Calibri" w:cs="Calibri" w:eastAsia="Calibri" w:hAnsi="Calibri"/>
          <w:b w:val="1"/>
          <w:bCs w:val="1"/>
          <w:highlight w:val="cyan"/>
          <w:u w:val="single"/>
          <w:rtl w:val="0"/>
        </w:rPr>
        <w:t xml:space="preserve">extreme poverty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due to the crisis. Why did this happen? Why were its effects so long-lasting? What lessons can be learned for the future? These</w:t>
      </w:r>
    </w:p>
    <w:p w:rsidR="00000000" w:rsidDel="00000000" w:rsidP="00000000" w:rsidRDefault="00000000" w:rsidRPr="00000000" w14:paraId="0000003E">
      <w:pPr>
        <w:shd w:fill="ffffff" w:val="clea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are complicated questions to which this chapter provides some answers.</w:t>
      </w:r>
      <w:r w:rsidDel="00000000" w:rsidR="00000000" w:rsidRPr="00000000">
        <w:rPr>
          <w:rtl w:val="0"/>
        </w:rPr>
      </w:r>
    </w:p>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pStyle w:val="Heading2"/>
        <w:pageBreakBefore w:val="1"/>
        <w:spacing w:after="160" w:before="48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1NC---Breakthroughs</w:t>
      </w:r>
    </w:p>
    <w:p w:rsidR="00000000" w:rsidDel="00000000" w:rsidP="00000000" w:rsidRDefault="00000000" w:rsidRPr="00000000" w14:paraId="00000041">
      <w:pPr>
        <w:pStyle w:val="Heading4"/>
        <w:spacing w:after="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second way is through </w:t>
      </w:r>
      <w:r w:rsidDel="00000000" w:rsidR="00000000" w:rsidRPr="00000000">
        <w:rPr>
          <w:rFonts w:ascii="Calibri" w:cs="Calibri" w:eastAsia="Calibri" w:hAnsi="Calibri"/>
          <w:b w:val="1"/>
          <w:bCs w:val="1"/>
          <w:color w:val="000000"/>
          <w:sz w:val="26"/>
          <w:szCs w:val="26"/>
          <w:u w:val="single"/>
          <w:rtl w:val="0"/>
        </w:rPr>
        <w:t xml:space="preserve">BREAKTHROUGHS.</w:t>
      </w:r>
      <w:r w:rsidDel="00000000" w:rsidR="00000000" w:rsidRPr="00000000">
        <w:rPr>
          <w:rtl w:val="0"/>
        </w:rPr>
      </w:r>
    </w:p>
    <w:p w:rsidR="00000000" w:rsidDel="00000000" w:rsidP="00000000" w:rsidRDefault="00000000" w:rsidRPr="00000000" w14:paraId="00000042">
      <w:pPr>
        <w:pStyle w:val="Heading4"/>
        <w:spacing w:after="0" w:before="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AI is the crux of new healthcare innovations.</w:t>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NVIDIA n.d.</w:t>
      </w:r>
      <w:r w:rsidDel="00000000" w:rsidR="00000000" w:rsidRPr="00000000">
        <w:rPr>
          <w:rFonts w:ascii="Calibri" w:cs="Calibri" w:eastAsia="Calibri" w:hAnsi="Calibri"/>
          <w:rtl w:val="0"/>
        </w:rPr>
        <w:t xml:space="preserve"> [NVIDIA, Technology Publication Focusing on Computing and AI, xx-xx-xxxx, "AI-Driven Discovery in Life Sciences with NVIDIA Biomolecular Models," DOA: 08-30-2026, https://www.nvidia.com/en-us/use-cases/biomolecular-foundation-models-for-discovery-in-life-science/] //USNS</w:t>
      </w:r>
    </w:p>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Foundation </w:t>
      </w:r>
      <w:r w:rsidDel="00000000" w:rsidR="00000000" w:rsidRPr="00000000">
        <w:rPr>
          <w:rFonts w:ascii="Calibri" w:cs="Calibri" w:eastAsia="Calibri" w:hAnsi="Calibri"/>
          <w:highlight w:val="cyan"/>
          <w:u w:val="single"/>
          <w:rtl w:val="0"/>
        </w:rPr>
        <w:t xml:space="preserve">models are </w:t>
      </w:r>
      <w:r w:rsidDel="00000000" w:rsidR="00000000" w:rsidRPr="00000000">
        <w:rPr>
          <w:rFonts w:ascii="Calibri" w:cs="Calibri" w:eastAsia="Calibri" w:hAnsi="Calibri"/>
          <w:b w:val="1"/>
          <w:bCs w:val="1"/>
          <w:highlight w:val="cyan"/>
          <w:u w:val="single"/>
          <w:rtl w:val="0"/>
        </w:rPr>
        <w:t xml:space="preserve">transformative for research</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discovery in life science</w:t>
      </w:r>
      <w:r w:rsidDel="00000000" w:rsidR="00000000" w:rsidRPr="00000000">
        <w:rPr>
          <w:rFonts w:ascii="Calibri" w:cs="Calibri" w:eastAsia="Calibri" w:hAnsi="Calibri"/>
          <w:u w:val="single"/>
          <w:rtl w:val="0"/>
        </w:rPr>
        <w:t xml:space="preserve"> because </w:t>
      </w:r>
      <w:r w:rsidDel="00000000" w:rsidR="00000000" w:rsidRPr="00000000">
        <w:rPr>
          <w:rFonts w:ascii="Calibri" w:cs="Calibri" w:eastAsia="Calibri" w:hAnsi="Calibri"/>
          <w:highlight w:val="cyan"/>
          <w:u w:val="single"/>
          <w:rtl w:val="0"/>
        </w:rPr>
        <w:t xml:space="preserve">they can learn biology</w:t>
      </w:r>
      <w:r w:rsidDel="00000000" w:rsidR="00000000" w:rsidRPr="00000000">
        <w:rPr>
          <w:rFonts w:ascii="Calibri" w:cs="Calibri" w:eastAsia="Calibri" w:hAnsi="Calibri"/>
          <w:u w:val="single"/>
          <w:rtl w:val="0"/>
        </w:rPr>
        <w:t xml:space="preserve"> and chemistry's underlying structure, rules, and relationships directly </w:t>
      </w:r>
      <w:r w:rsidDel="00000000" w:rsidR="00000000" w:rsidRPr="00000000">
        <w:rPr>
          <w:rFonts w:ascii="Calibri" w:cs="Calibri" w:eastAsia="Calibri" w:hAnsi="Calibri"/>
          <w:highlight w:val="cyan"/>
          <w:u w:val="single"/>
          <w:rtl w:val="0"/>
        </w:rPr>
        <w:t xml:space="preserve">from data across multiple sequences, structures, functions, and modalities.</w:t>
      </w:r>
      <w:r w:rsidDel="00000000" w:rsidR="00000000" w:rsidRPr="00000000">
        <w:rPr>
          <w:rFonts w:ascii="Calibri" w:cs="Calibri" w:eastAsia="Calibri" w:hAnsi="Calibri"/>
          <w:sz w:val="16"/>
          <w:szCs w:val="16"/>
          <w:highlight w:val="cyan"/>
          <w:rtl w:val="0"/>
        </w:rPr>
        <w:t xml:space="preserve"> </w:t>
      </w:r>
      <w:r w:rsidDel="00000000" w:rsidR="00000000" w:rsidRPr="00000000">
        <w:rPr>
          <w:rtl w:val="0"/>
        </w:rPr>
      </w:r>
    </w:p>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Unlike traditional statistical models built for narrow tasks, </w:t>
      </w:r>
      <w:r w:rsidDel="00000000" w:rsidR="00000000" w:rsidRPr="00000000">
        <w:rPr>
          <w:rFonts w:ascii="Calibri" w:cs="Calibri" w:eastAsia="Calibri" w:hAnsi="Calibri"/>
          <w:u w:val="single"/>
          <w:rtl w:val="0"/>
        </w:rPr>
        <w:t xml:space="preserve">these </w:t>
      </w:r>
      <w:r w:rsidDel="00000000" w:rsidR="00000000" w:rsidRPr="00000000">
        <w:rPr>
          <w:rFonts w:ascii="Calibri" w:cs="Calibri" w:eastAsia="Calibri" w:hAnsi="Calibri"/>
          <w:highlight w:val="cyan"/>
          <w:u w:val="single"/>
          <w:rtl w:val="0"/>
        </w:rPr>
        <w:t xml:space="preserve">models generalize across multiple</w:t>
      </w:r>
      <w:r w:rsidDel="00000000" w:rsidR="00000000" w:rsidRPr="00000000">
        <w:rPr>
          <w:rFonts w:ascii="Calibri" w:cs="Calibri" w:eastAsia="Calibri" w:hAnsi="Calibri"/>
          <w:u w:val="single"/>
          <w:rtl w:val="0"/>
        </w:rPr>
        <w:t xml:space="preserve"> biomolecular </w:t>
      </w:r>
      <w:r w:rsidDel="00000000" w:rsidR="00000000" w:rsidRPr="00000000">
        <w:rPr>
          <w:rFonts w:ascii="Calibri" w:cs="Calibri" w:eastAsia="Calibri" w:hAnsi="Calibri"/>
          <w:highlight w:val="cyan"/>
          <w:u w:val="single"/>
          <w:rtl w:val="0"/>
        </w:rPr>
        <w:t xml:space="preserve">tasks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for example, protein folding, DNA editing, molecular docking, and even cellular phenotypes. By encoding biological complexity into rich, learned representations, </w:t>
      </w:r>
      <w:r w:rsidDel="00000000" w:rsidR="00000000" w:rsidRPr="00000000">
        <w:rPr>
          <w:rFonts w:ascii="Calibri" w:cs="Calibri" w:eastAsia="Calibri" w:hAnsi="Calibri"/>
          <w:u w:val="single"/>
          <w:rtl w:val="0"/>
        </w:rPr>
        <w:t xml:space="preserve">they can predict interactions, generate novel molecules, and guide experiments—</w:t>
      </w:r>
      <w:r w:rsidDel="00000000" w:rsidR="00000000" w:rsidRPr="00000000">
        <w:rPr>
          <w:rFonts w:ascii="Calibri" w:cs="Calibri" w:eastAsia="Calibri" w:hAnsi="Calibri"/>
          <w:sz w:val="16"/>
          <w:szCs w:val="16"/>
          <w:rtl w:val="0"/>
        </w:rPr>
        <w:t xml:space="preserve">even in data-scarce or previously intractable domains. </w:t>
      </w:r>
      <w:r w:rsidDel="00000000" w:rsidR="00000000" w:rsidRPr="00000000">
        <w:rPr>
          <w:rFonts w:ascii="Calibri" w:cs="Calibri" w:eastAsia="Calibri" w:hAnsi="Calibri"/>
          <w:u w:val="single"/>
          <w:rtl w:val="0"/>
        </w:rPr>
        <w:t xml:space="preserve">This </w:t>
      </w:r>
      <w:r w:rsidDel="00000000" w:rsidR="00000000" w:rsidRPr="00000000">
        <w:rPr>
          <w:rFonts w:ascii="Calibri" w:cs="Calibri" w:eastAsia="Calibri" w:hAnsi="Calibri"/>
          <w:b w:val="1"/>
          <w:bCs w:val="1"/>
          <w:highlight w:val="cyan"/>
          <w:u w:val="single"/>
          <w:rtl w:val="0"/>
        </w:rPr>
        <w:t xml:space="preserve">unlocks new capabilities</w:t>
      </w:r>
      <w:r w:rsidDel="00000000" w:rsidR="00000000" w:rsidRPr="00000000">
        <w:rPr>
          <w:rFonts w:ascii="Calibri" w:cs="Calibri" w:eastAsia="Calibri" w:hAnsi="Calibri"/>
          <w:u w:val="single"/>
          <w:rtl w:val="0"/>
        </w:rPr>
        <w:t xml:space="preserve"> in therapeutic design, functional genomics, and biomolecular engineering, shifting science from slow, brute-force workflows to fast, feedback-driven design loops</w:t>
      </w:r>
      <w:r w:rsidDel="00000000" w:rsidR="00000000" w:rsidRPr="00000000">
        <w:rPr>
          <w:rFonts w:ascii="Calibri" w:cs="Calibri" w:eastAsia="Calibri" w:hAnsi="Calibri"/>
          <w:sz w:val="16"/>
          <w:szCs w:val="16"/>
          <w:rtl w:val="0"/>
        </w:rPr>
        <w:t xml:space="preserve">. In short: </w:t>
      </w:r>
      <w:r w:rsidDel="00000000" w:rsidR="00000000" w:rsidRPr="00000000">
        <w:rPr>
          <w:rFonts w:ascii="Calibri" w:cs="Calibri" w:eastAsia="Calibri" w:hAnsi="Calibri"/>
          <w:u w:val="single"/>
          <w:rtl w:val="0"/>
        </w:rPr>
        <w:t xml:space="preserve">AI can now learn biology and chemistry and </w:t>
      </w:r>
      <w:r w:rsidDel="00000000" w:rsidR="00000000" w:rsidRPr="00000000">
        <w:rPr>
          <w:rFonts w:ascii="Calibri" w:cs="Calibri" w:eastAsia="Calibri" w:hAnsi="Calibri"/>
          <w:b w:val="1"/>
          <w:bCs w:val="1"/>
          <w:highlight w:val="cyan"/>
          <w:u w:val="single"/>
          <w:rtl w:val="0"/>
        </w:rPr>
        <w:t xml:space="preserve">help design what’s next.</w:t>
      </w:r>
      <w:r w:rsidDel="00000000" w:rsidR="00000000" w:rsidRPr="00000000">
        <w:rPr>
          <w:rtl w:val="0"/>
        </w:rPr>
      </w:r>
    </w:p>
    <w:p w:rsidR="00000000" w:rsidDel="00000000" w:rsidP="00000000" w:rsidRDefault="00000000" w:rsidRPr="00000000" w14:paraId="0000004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Protein foundation models—billions-parameter transformers like AlphaFold 3, ESM-3, Proteína, and Pallatom—collapse separate pipelines for fold prediction, mutational scanning, docking, and de-novo design into one promptable engine. Driven by scale (massive data/params), multimodality (joint sequence-structure-ligand embeddings), and controllability (prompting or quick fine-tunes), </w:t>
      </w:r>
      <w:r w:rsidDel="00000000" w:rsidR="00000000" w:rsidRPr="00000000">
        <w:rPr>
          <w:rFonts w:ascii="Calibri" w:cs="Calibri" w:eastAsia="Calibri" w:hAnsi="Calibri"/>
          <w:highlight w:val="cyan"/>
          <w:u w:val="single"/>
          <w:rtl w:val="0"/>
        </w:rPr>
        <w:t xml:space="preserve">they</w:t>
      </w:r>
      <w:r w:rsidDel="00000000" w:rsidR="00000000" w:rsidRPr="00000000">
        <w:rPr>
          <w:rFonts w:ascii="Calibri" w:cs="Calibri" w:eastAsia="Calibri" w:hAnsi="Calibri"/>
          <w:u w:val="single"/>
          <w:rtl w:val="0"/>
        </w:rPr>
        <w:t xml:space="preserve"> have the potential to </w:t>
      </w:r>
      <w:r w:rsidDel="00000000" w:rsidR="00000000" w:rsidRPr="00000000">
        <w:rPr>
          <w:rFonts w:ascii="Calibri" w:cs="Calibri" w:eastAsia="Calibri" w:hAnsi="Calibri"/>
          <w:b w:val="1"/>
          <w:bCs w:val="1"/>
          <w:highlight w:val="cyan"/>
          <w:u w:val="single"/>
          <w:rtl w:val="0"/>
        </w:rPr>
        <w:t xml:space="preserve">turn weeks of labwork</w:t>
      </w:r>
      <w:r w:rsidDel="00000000" w:rsidR="00000000" w:rsidRPr="00000000">
        <w:rPr>
          <w:rFonts w:ascii="Calibri" w:cs="Calibri" w:eastAsia="Calibri" w:hAnsi="Calibri"/>
          <w:b w:val="1"/>
          <w:bCs w:val="1"/>
          <w:u w:val="single"/>
          <w:rtl w:val="0"/>
        </w:rPr>
        <w:t xml:space="preserve"> or code </w:t>
      </w:r>
      <w:r w:rsidDel="00000000" w:rsidR="00000000" w:rsidRPr="00000000">
        <w:rPr>
          <w:rFonts w:ascii="Calibri" w:cs="Calibri" w:eastAsia="Calibri" w:hAnsi="Calibri"/>
          <w:b w:val="1"/>
          <w:bCs w:val="1"/>
          <w:highlight w:val="cyan"/>
          <w:u w:val="single"/>
          <w:rtl w:val="0"/>
        </w:rPr>
        <w:t xml:space="preserve">into minutes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rtl w:val="0"/>
        </w:rPr>
        <w:t xml:space="preserve">of inference,</w:t>
      </w:r>
      <w:r w:rsidDel="00000000" w:rsidR="00000000" w:rsidRPr="00000000">
        <w:rPr>
          <w:rFonts w:ascii="Calibri" w:cs="Calibri" w:eastAsia="Calibri" w:hAnsi="Calibri"/>
          <w:sz w:val="16"/>
          <w:szCs w:val="16"/>
          <w:rtl w:val="0"/>
        </w:rPr>
        <w:t xml:space="preserve"> reshaping protein R&amp;D into a software-first workflow.</w:t>
      </w:r>
    </w:p>
    <w:p w:rsidR="00000000" w:rsidDel="00000000" w:rsidP="00000000" w:rsidRDefault="00000000" w:rsidRPr="00000000" w14:paraId="00000047">
      <w:pPr>
        <w:pStyle w:val="Heading4"/>
        <w:spacing w:after="0" w:before="200" w:line="256.8" w:lineRule="auto"/>
        <w:rPr>
          <w:rFonts w:ascii="Calibri" w:cs="Calibri" w:eastAsia="Calibri" w:hAnsi="Calibri"/>
          <w:b w:val="1"/>
          <w:bCs w:val="1"/>
          <w:color w:val="000000"/>
          <w:sz w:val="26"/>
          <w:szCs w:val="26"/>
        </w:rPr>
      </w:pPr>
      <w:bookmarkStart w:colFirst="0" w:colLast="0" w:name="_f8j552c6ji8o" w:id="2"/>
      <w:bookmarkEnd w:id="2"/>
      <w:r w:rsidDel="00000000" w:rsidR="00000000" w:rsidRPr="00000000">
        <w:rPr>
          <w:rFonts w:ascii="Calibri" w:cs="Calibri" w:eastAsia="Calibri" w:hAnsi="Calibri"/>
          <w:b w:val="1"/>
          <w:bCs w:val="1"/>
          <w:color w:val="000000"/>
          <w:sz w:val="26"/>
          <w:szCs w:val="26"/>
          <w:rtl w:val="0"/>
        </w:rPr>
        <w:t xml:space="preserve">New AI models are key for developing lifesaving cancer therapies—identifying compounds and driving clinical success.</w:t>
      </w:r>
    </w:p>
    <w:p w:rsidR="00000000" w:rsidDel="00000000" w:rsidP="00000000" w:rsidRDefault="00000000" w:rsidRPr="00000000" w14:paraId="00000048">
      <w:pPr>
        <w:spacing w:after="160" w:line="256.8"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Najafi 25</w:t>
      </w:r>
      <w:r w:rsidDel="00000000" w:rsidR="00000000" w:rsidRPr="00000000">
        <w:rPr>
          <w:rFonts w:ascii="Calibri" w:cs="Calibri" w:eastAsia="Calibri" w:hAnsi="Calibri"/>
          <w:rtl w:val="0"/>
        </w:rPr>
        <w:t xml:space="preserve">, [Niki Najar Najafi, 9/19/25, Author for PubMed Central (PMC), "Abstract The complexity of cancer has long challenged the medical community, driving the need for improved early detection and treatment," PubMed Central (PMC). DOA: 9/10/2026</w:t>
      </w:r>
      <w:hyperlink r:id="rId9">
        <w:r w:rsidDel="00000000" w:rsidR="00000000" w:rsidRPr="00000000">
          <w:rPr>
            <w:rFonts w:ascii="Calibri" w:cs="Calibri" w:eastAsia="Calibri" w:hAnsi="Calibri"/>
            <w:rtl w:val="0"/>
          </w:rPr>
          <w:t xml:space="preserve"> </w:t>
        </w:r>
      </w:hyperlink>
      <w:hyperlink r:id="rId10">
        <w:r w:rsidDel="00000000" w:rsidR="00000000" w:rsidRPr="00000000">
          <w:rPr>
            <w:rFonts w:ascii="Calibri" w:cs="Calibri" w:eastAsia="Calibri" w:hAnsi="Calibri"/>
            <w:color w:val="0000ff"/>
            <w:u w:val="single"/>
            <w:rtl w:val="0"/>
          </w:rPr>
          <w:t xml:space="preserve">https://pmc.ncbi.nlm.nih.gov/articles/PMC12449654/</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49">
      <w:pPr>
        <w:spacing w:after="160" w:line="256.8" w:lineRule="auto"/>
        <w:rPr>
          <w:rFonts w:ascii="Calibri" w:cs="Calibri" w:eastAsia="Calibri" w:hAnsi="Calibri"/>
        </w:rPr>
      </w:pPr>
      <w:r w:rsidDel="00000000" w:rsidR="00000000" w:rsidRPr="00000000">
        <w:rPr>
          <w:rFonts w:ascii="Calibri" w:cs="Calibri" w:eastAsia="Calibri" w:hAnsi="Calibri"/>
          <w:rtl w:val="0"/>
        </w:rPr>
        <w:t xml:space="preserve">**BRACKETS IN ORIGINAL**</w:t>
      </w:r>
    </w:p>
    <w:p w:rsidR="00000000" w:rsidDel="00000000" w:rsidP="00000000" w:rsidRDefault="00000000" w:rsidRPr="00000000" w14:paraId="0000004A">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Abstract The complexity of cancer has long challenged the medical community, driving the need for improved early detection and treatment. Artificial intelligence (AI) has profoundly impacted oncology research in recent decades, resulting in innovative diagnostic and therapeutic approaches. This review synthesizes the critical applications of AI in oncology, focusing on 4 key areas: medical imaging, digital pathology, robotic surgery, and drug discovery. We highlight the role of AI in cancer diagnosis and treatment by reviewing key studies and machine learning methods, and we address the field’s current technical and ethical challenges. AI models have significantly enhanced the accuracy of medical imaging by efficiently detecting lesions and disease sites, leading to earlier and more precise diagnoses. In digital pathology, AI tools aid in risk prediction and facilitate the examination of extensive tissue sample sets for patterns and markers, simplifying the pathologists’ tasks. AI-powered robotic surgery provides different levels of automation, leading to precise and minimally invasive procedures that not only improve surgical outcomes but also lower readmission rates, hospital stays, and infection risks. Moreover,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expedites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 process of </w:t>
      </w:r>
      <w:r w:rsidDel="00000000" w:rsidR="00000000" w:rsidRPr="00000000">
        <w:rPr>
          <w:rFonts w:ascii="Calibri" w:cs="Calibri" w:eastAsia="Calibri" w:hAnsi="Calibri"/>
          <w:highlight w:val="cyan"/>
          <w:u w:val="single"/>
          <w:rtl w:val="0"/>
        </w:rPr>
        <w:t xml:space="preserve">discovering cancer therapies</w:t>
      </w:r>
      <w:r w:rsidDel="00000000" w:rsidR="00000000" w:rsidRPr="00000000">
        <w:rPr>
          <w:rFonts w:ascii="Calibri" w:cs="Calibri" w:eastAsia="Calibri" w:hAnsi="Calibri"/>
          <w:sz w:val="16"/>
          <w:szCs w:val="16"/>
          <w:rtl w:val="0"/>
        </w:rPr>
        <w:t xml:space="preserve"> by </w:t>
      </w:r>
      <w:r w:rsidDel="00000000" w:rsidR="00000000" w:rsidRPr="00000000">
        <w:rPr>
          <w:rFonts w:ascii="Calibri" w:cs="Calibri" w:eastAsia="Calibri" w:hAnsi="Calibri"/>
          <w:highlight w:val="cyan"/>
          <w:u w:val="single"/>
          <w:rtl w:val="0"/>
        </w:rPr>
        <w:t xml:space="preserve">identifying</w:t>
      </w:r>
      <w:r w:rsidDel="00000000" w:rsidR="00000000" w:rsidRPr="00000000">
        <w:rPr>
          <w:rFonts w:ascii="Calibri" w:cs="Calibri" w:eastAsia="Calibri" w:hAnsi="Calibri"/>
          <w:u w:val="single"/>
          <w:rtl w:val="0"/>
        </w:rPr>
        <w:t xml:space="preserve"> potential </w:t>
      </w:r>
      <w:r w:rsidDel="00000000" w:rsidR="00000000" w:rsidRPr="00000000">
        <w:rPr>
          <w:rFonts w:ascii="Calibri" w:cs="Calibri" w:eastAsia="Calibri" w:hAnsi="Calibri"/>
          <w:highlight w:val="cyan"/>
          <w:u w:val="single"/>
          <w:rtl w:val="0"/>
        </w:rPr>
        <w:t xml:space="preserve">lead compounds</w:t>
      </w:r>
      <w:r w:rsidDel="00000000" w:rsidR="00000000" w:rsidRPr="00000000">
        <w:rPr>
          <w:rFonts w:ascii="Calibri" w:cs="Calibri" w:eastAsia="Calibri" w:hAnsi="Calibri"/>
          <w:sz w:val="16"/>
          <w:szCs w:val="16"/>
          <w:rtl w:val="0"/>
        </w:rPr>
        <w:t xml:space="preserve">, predicting drug reactions, and repurposing current medications. </w:t>
      </w:r>
      <w:r w:rsidDel="00000000" w:rsidR="00000000" w:rsidRPr="00000000">
        <w:rPr>
          <w:rFonts w:ascii="Calibri" w:cs="Calibri" w:eastAsia="Calibri" w:hAnsi="Calibri"/>
          <w:u w:val="single"/>
          <w:rtl w:val="0"/>
        </w:rPr>
        <w:t xml:space="preserve">In the past decade, several </w:t>
      </w:r>
      <w:r w:rsidDel="00000000" w:rsidR="00000000" w:rsidRPr="00000000">
        <w:rPr>
          <w:rFonts w:ascii="Calibri" w:cs="Calibri" w:eastAsia="Calibri" w:hAnsi="Calibri"/>
          <w:b w:val="1"/>
          <w:bCs w:val="1"/>
          <w:highlight w:val="cyan"/>
          <w:u w:val="single"/>
          <w:rtl w:val="0"/>
        </w:rPr>
        <w:t xml:space="preserve">AI-developed drugs</w:t>
      </w:r>
      <w:r w:rsidDel="00000000" w:rsidR="00000000" w:rsidRPr="00000000">
        <w:rPr>
          <w:rFonts w:ascii="Calibri" w:cs="Calibri" w:eastAsia="Calibri" w:hAnsi="Calibri"/>
          <w:u w:val="single"/>
          <w:rtl w:val="0"/>
        </w:rPr>
        <w:t xml:space="preserve"> have successfully </w:t>
      </w:r>
      <w:r w:rsidDel="00000000" w:rsidR="00000000" w:rsidRPr="00000000">
        <w:rPr>
          <w:rFonts w:ascii="Calibri" w:cs="Calibri" w:eastAsia="Calibri" w:hAnsi="Calibri"/>
          <w:b w:val="1"/>
          <w:bCs w:val="1"/>
          <w:highlight w:val="cyan"/>
          <w:u w:val="single"/>
          <w:rtl w:val="0"/>
        </w:rPr>
        <w:t xml:space="preserve">entered clinical trials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These significant advancements underscore the expanding role of AI in shaping the future of cancer diagnosis and treatment. Although standardization, transparency, and equitable implementation must be addressed, AI brings hope for more personalized and effective therapies. Keywords: artificial intelligence, cancer, diagnosis, treatment, precision medicineGraphical Abstract This review examines the role of AI in cancer care, focusing on its applications in medical imaging, digital pathology, robotic surgery, and drug discovery.Introduction to AI in the Field of Medicine The integration of artificial intelligence (AI) in medicine marks a significant shift toward more accurate, personalized, and efficient healthcare practices, especially in cancer care. 1 AI refers to machines that perform tasks traditionally requiring human intelligence, such as understanding language, recognizing patterns, solving problems, learning from data, and improving performance over time. Key AI techniques include machine learning (ML) and deep learning (DL). ML uses algorithms to identify patterns and make predictions, while DL, a subset of ML, employs multi-layered neural networks inspired by the human brain, such as convolutional neural networks (CNNs). Other essential ML techniques include support vector machines (SVMs), decision trees, and K-means clustering algorithms. 2 In healthcare, AI is applied in diagnostic algorithms, treatment recommendation systems, patient monitoring, and care management tools. 3 AI can process and analyze vast amounts of healthcare data more efficiently than humans, leading to improved diagnostic accuracy, therapeutic interventions, and patient outcomes. 4 AI-Powered Precision Medicine: Advancing Personalized Treatment Precision medicine categorizes patients in clinical trials utilizing personal data. 5 The objective is to enhance efficacy and safety outcomes, ultimately increasing the likelihood of clinical success and drug approval. 6 This approach acknowledges that individuals have unique genetic, molecular, and clinical characteristics influencing their treatment responses. Precision medicine aims to enhance treatment outcomes and minimize side effects by tailoring therapies to these individual differences. 7 AI is vital in precision medicine, as seen in the genomic profiling of tumors that assists in making targeted therapy decisions for patients with breast or lung cancer. 8 AI-driven tools can also facilitate the rapid and accurate interpretation of genomic data, providing real-time recommendations for personalized treatments. 9 AI has been instrumental in genetic analysis by identifying transcription start sites, modeling regulatory elements, and accurately predicting gene expression from genotype data. These developments are crucial in understanding the relationship between genomic variations, disease presentation, treatment efficacy, and prognosis.10,11 In medulloblastoma, AI analysis of numerous exomes has enabled the administration of precise and optimal treatments for pediatric patients. 12 </w:t>
      </w:r>
      <w:r w:rsidDel="00000000" w:rsidR="00000000" w:rsidRPr="00000000">
        <w:rPr>
          <w:rFonts w:ascii="Calibri" w:cs="Calibri" w:eastAsia="Calibri" w:hAnsi="Calibri"/>
          <w:u w:val="single"/>
          <w:rtl w:val="0"/>
        </w:rPr>
        <w:t xml:space="preserve">AI-driven </w:t>
      </w:r>
      <w:r w:rsidDel="00000000" w:rsidR="00000000" w:rsidRPr="00000000">
        <w:rPr>
          <w:rFonts w:ascii="Calibri" w:cs="Calibri" w:eastAsia="Calibri" w:hAnsi="Calibri"/>
          <w:highlight w:val="cyan"/>
          <w:u w:val="single"/>
          <w:rtl w:val="0"/>
        </w:rPr>
        <w:t xml:space="preserve">precision medicine</w:t>
      </w:r>
      <w:r w:rsidDel="00000000" w:rsidR="00000000" w:rsidRPr="00000000">
        <w:rPr>
          <w:rFonts w:ascii="Calibri" w:cs="Calibri" w:eastAsia="Calibri" w:hAnsi="Calibri"/>
          <w:u w:val="single"/>
          <w:rtl w:val="0"/>
        </w:rPr>
        <w:t xml:space="preserve"> holds the potential to </w:t>
      </w:r>
      <w:r w:rsidDel="00000000" w:rsidR="00000000" w:rsidRPr="00000000">
        <w:rPr>
          <w:rFonts w:ascii="Calibri" w:cs="Calibri" w:eastAsia="Calibri" w:hAnsi="Calibri"/>
          <w:highlight w:val="cyan"/>
          <w:u w:val="single"/>
          <w:rtl w:val="0"/>
        </w:rPr>
        <w:t xml:space="preserve">change</w:t>
      </w:r>
      <w:r w:rsidDel="00000000" w:rsidR="00000000" w:rsidRPr="00000000">
        <w:rPr>
          <w:rFonts w:ascii="Calibri" w:cs="Calibri" w:eastAsia="Calibri" w:hAnsi="Calibri"/>
          <w:u w:val="single"/>
          <w:rtl w:val="0"/>
        </w:rPr>
        <w:t xml:space="preserve"> cancer care by </w:t>
      </w:r>
      <w:r w:rsidDel="00000000" w:rsidR="00000000" w:rsidRPr="00000000">
        <w:rPr>
          <w:rFonts w:ascii="Calibri" w:cs="Calibri" w:eastAsia="Calibri" w:hAnsi="Calibri"/>
          <w:highlight w:val="cyan"/>
          <w:u w:val="single"/>
          <w:rtl w:val="0"/>
        </w:rPr>
        <w:t xml:space="preserve">offering more</w:t>
      </w:r>
      <w:r w:rsidDel="00000000" w:rsidR="00000000" w:rsidRPr="00000000">
        <w:rPr>
          <w:rFonts w:ascii="Calibri" w:cs="Calibri" w:eastAsia="Calibri" w:hAnsi="Calibri"/>
          <w:sz w:val="16"/>
          <w:szCs w:val="16"/>
          <w:rtl w:val="0"/>
        </w:rPr>
        <w:t xml:space="preserve"> accurate diagnoses, predicting disease risks before symptoms manifest, and </w:t>
      </w:r>
      <w:r w:rsidDel="00000000" w:rsidR="00000000" w:rsidRPr="00000000">
        <w:rPr>
          <w:rFonts w:ascii="Calibri" w:cs="Calibri" w:eastAsia="Calibri" w:hAnsi="Calibri"/>
          <w:highlight w:val="cyan"/>
          <w:u w:val="single"/>
          <w:rtl w:val="0"/>
        </w:rPr>
        <w:t xml:space="preserve">designing tailored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treatment plans</w:t>
      </w:r>
      <w:r w:rsidDel="00000000" w:rsidR="00000000" w:rsidRPr="00000000">
        <w:rPr>
          <w:rFonts w:ascii="Calibri" w:cs="Calibri" w:eastAsia="Calibri" w:hAnsi="Calibri"/>
          <w:sz w:val="16"/>
          <w:szCs w:val="16"/>
          <w:rtl w:val="0"/>
        </w:rPr>
        <w:t xml:space="preserve"> that prioritize safety and efficiency. 13 Integrating AI into clinical practice is expected to become more widespread as research advances, leading to even more significant advancements in cancer care. 14 Figure 1 illustrates the process of precision oncology. 15 Figure 1. The precision oncology process. Where AI plays a crucial role in each stage. 16 Firstly, AI will analyze patient data, including molecular tests and medical images. 17 Secondly, AI algorithms scrutinize vast amounts of molecular data to identify genetic mutations and tumor biomarkers. 18 Thirdly, AI stores and uncovers new insights about personalized data. 19 Fourthly, AI algorithms create predictive calculators to determine disease risk and recommend the most effective treatment targets and practices. 20 Finally, AI can access medical records to aid in monitoring patients. 21 The Historical Background of AI in Cancer Research The exploration of AI in cancer research began in the 1970s, with early attempts at computer-aided diagnosis and the development of expert systems. These early AI programs primarily concentrated on diagnosing blood infections, which ultimately laid the groundwork for future medical applications. 22 Over the years, advancements in computational power, complex algorithms, and the availability of extensive biomedical datasets have propelled AI from essential pattern recognition to sophisticated ML and DL. 23 These models can identify subtle diagnostic signals in imaging, genomic, and clinical data, significantly advancing cancer diagnosis, prognosis, and treatment planning. 24 This study aims to review recent advancements and provide future directions for AI-driven oncology, focusing on 4 major fields: medical imaging, pathology, surgery, and drug discovery.</w:t>
      </w:r>
    </w:p>
    <w:p w:rsidR="00000000" w:rsidDel="00000000" w:rsidP="00000000" w:rsidRDefault="00000000" w:rsidRPr="00000000" w14:paraId="0000004B">
      <w:pPr>
        <w:spacing w:after="160" w:line="256.8"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4C">
      <w:pPr>
        <w:spacing w:after="160" w:line="256.8"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Methodology Protocol Registration and PRISMA Adherence This article comprehensively analyzes AI applications in oncology using a structured methodology incorporating PRISMA guidelines. This approach minimizes bias in literature selection and ensures rigorous identification of trends, gaps, and innovations in AI and oncology. To enhance transparency and reproducibility, this review has been prospectively registered on PROSPERO (CRD 42023384772). The methodology strictly followed the PRISMA 2020 checklist and its 2021 extension for search reporting, with detailed documentation of search strategies, study selection, and data synthesis.Search Strategy We searched 7 databases: Wiley, Taylor &amp; Francis, Scopus, ScienceDirect, Sage, Google Scholar, and Springer. Additionally, citation tracking was performed in Google Scholar. The search covered January 2013 to March 2024 to capture AI advancements over the past decade. We combined keywords using the following Boolean operators: AI/ML terms: “artificial intelligence,” “machine learning,” “deep learning,” “neural networks,” “predictive analytics” Oncology terms: “oncology,” “cancer,” “tumor,” “malignancy,” “carcinoma” Application terms: “diagnosis,” “prognosis,” “treatment planning,” “radiomics,” “genomics” We expanded the search methodology to include gray literature and clinical trial registries, such as ClinicalTrials.gov and WHO ICTRP, following best review practices. We employed the PICO framework to refine search terms, focusing on population (cancer patients), intervention (AI applications), comparison (traditional methods), and outcomes (diagnostic accuracy and treatment efficacy).Inclusion and Exclusion Criteria We removed 85 duplicate and incomplete texts from an initial pool of 275 documents before screening, leaving 192 records for title and abstract screening. Inclusion criteria prioritized studies focused on AI applications in oncology, including diagnosis, treatment, and drug discovery. Only studies with full-text availability in English were considered. Exclusion criteria removed non-oncology studies (eg, AI in cardiology), non-peer-reviewed articles, conference abstracts, research lacking sufficient technical or clinical detail, and non-human studies. Duplicates were identified and removed using EndNote’s automated deduplication, followed by manual verification. Studies published before 2013 were excluded to focus on recent advances. This rigorous process ensured a relevant and high-quality dataset.Study Screening and Selection Two independent reviewers conducted title and abstract screening and full-text review using Rayyan’s AI-assisted platform. Disagreements were resolved by consensus. Inter-rater reliability was calculated using Cohen’s kappa coefficient (κ = 0.82), indicating strong agreement. After screening, 31 records were excluded for irrelevance at the title and abstract stage, leaving 185 full-text articles for eligibility assessment. After a full-text review, 14 additional studies were excluded for irrelevance or insufficient methodological detail, resulting in a final set of 171 studies included in this review. Figure 2 presents the PRISMA 2020 flow diagram illustrating the detailed study selection process. Figure 2. Overview of the review process. PRISMA 2020 flow diagram detailing the identification, screening, eligibility assessment, and inclusion of studies, with reasons for exclusions at each stage.Data Extraction and Synthesis We used a standardized template to extract data from the 171 included studies, focusing on the following areas: AI methodologies (e.g., model architectures, datasets, validation metrics such as AUC, sensitivity, and specificity) Clinical applications (e.g., diagnostic accuracy, treatment outcomes, workflow improvements) Ethical considerations (e.g., bias mitigation strategies, interpretability, regulatory compliance) The collected data were organized by themes to find common patterns, like how deep learning techniques are mainly used in radiology, and to point out areas that need improvement, such as the lack of AI tools being used in actual clinical practice. A Supplemental Table summarizing key references and their insights is provided in Table 1 and Figure 3a to enhance transparency and reproducibility. Table 1. Key References on the Impact of AI in Healthcare and Oncology. Focus area Key insights References Overview of AI in medicine The article highlights the diverse applications of AI in diagnostics and treatment, which improve accuracy and efficiency. Ciardiello et al 13 AI in healthcare The studies discuss AI’s transformative impact on clinical decision-making processes and healthcare delivery. Yu et al 2 , Di Nicolantonio et al 11 AI in cancer research The articles provide a systematic analysis of top-cited articles, emphasizing AI’s role in advancing oncology research. Malik et al 1 , David et al 25 Generative AI in healthcare The studies explore the opportunities and challenges of generative AI technologies in healthcare settings. Gambardella et al 10 , Liu et al 26 Revolutionizing healthcare with AI The studies examine how AI drives transformation in clinical practice, enhancing patient care and operational workflows. Zhang and Kamel Boulos 4 , Ciardiello et al 13 Precision medicine in cancer research The articles review AI’s contribution to personalized oncology, enabling targeted therapies based on patient-specific data. Gambardella et al 10 , Rusert et al 12 Personalized medicine in cancer therapy The studies discuss recent advancements in cancer treatment facilitated by AI-powered precision medicine approaches. Malik et al 1 , Di Nicolantonio et al 11 AI applications in oncology The articles focus on integrating AI technologies to establish and advance precision medicine in oncology. Alowais et al 5 , Rahman et al 27 Figure 3. (a) Conceptual roadmap outlining this review’s framework and thematic structure. (b) A visual map created by VOS Viewer shows groups of related research and trends, emphasizing connections between different fields and new areas in AI applications in oncology.Quality Assessment Each study was evaluated twice using a modified QUADAS-2 tool to assess the following aspects: Technical domain: reproducibility, dataset diversity, external validation Clinical domain: impact on patient outcomes, feasibility for adoption Ethical domain: reporting of biases, data privacy measures, FDA/CE compliance To acknowledge evolving methodologies in AI-oncology research, we retained low-quality studies (eg, small sample sizes or unreproducible methods), but flagged them in the analysis.Network Analysis The synthesis approach combined elements of systematic mapping and narrative synthesis. Each section brought together results from 20 to 30 important studies that were carefully examined for their role in combining different fields in AI and cancer. VOS Viewer (version 1.6.2) software was employed for bibliometric analysis and visualization of research trends, identifying clusters of related studies. Narrative synthesis was used to understand and combine the findings in context, highlighting studies that show connections between different fields (Figure 3b).Early Detection and Diagnosis AI has substantially impacted the early detection and diagnosis of cancer, offering promising avenues for future research and patient care. 28 Timely cancer diagnosis is crucial, as survival rates are higher in the earlier stages when the cancer is smaller and has not spread throughout the body. 29 AI can analyze various patient assessments to provide more accurate information about survival prognosis and predict disease progression in cancer patients. Healthcare providers often use a predictive model known as the Breast Cancer Risk Assessment Tool (the Gail model) to estimate a woman’s risk of developing breast cancer. This model calculates the risk of developing breast cancer over the next 5 years as well as throughout her lifetime, up to the age of 90. 30 The Gail model is widely used for estimating a woman’s risk of developing breast cancer. It takes into account 7 critical risk factors, including age, age at the onset of menstruation, age at the birth of the first child (or if the individual has not given birth), family history of breast cancer (in a mother, sister, or daughter), the number of past breast biopsies, the number of breast biopsies indicating atypical hyperplasia, and race/ethnicity. 31 By incorporating these factors, the Gail model can provide a more accurate assessment of a woman’s risk of developing breast cancer over the next 5 years as well as throughout her lifetime, up to the age of 90. Another example is a study by Koo et al that developed a novel model for individuals with metastatic or recurrent gastric cancer. This model incorporates 6 clinicopathological factors: high alkaline phosphatase level, poor Eastern Cooperative Oncology Group performance score, peritoneal metastasis, bone metastasis, high neutrophil-lymphocyte ratio, and low albumin level. 32 AI has made significant advancements in developing predictive models for disease progression, recurrence, and patient survival. These models utilize extensive clinical and molecular data, which include a patient’s genetic makeup, disease characteristics, and anticipated response to therapy. 33 These models can identify subtle diagnostics. By incorporating this information, the models provide more accurate risk assessments, thereby informing clinical decision-making and enhancing patient counseling. 34 Furthermore, Predictive models can significantly impact treatment outcomes by facilitating personalized and precise treatment planning. 35 By incorporating a patient’s genetic makeup, disease characteristics, and predicted response to therapy, these models assist oncologists in tailoring treatment regimens to suit individual patients, potentially resulting in improved treatment outcomes and reduced side effects. 36 AI-powered wearable devices and remote monitoring tools enhance patient care by continuously tracking vital signs and symptoms, enabling early intervention in case of adverse events or disease progression. 37 Medical Imaging Medical imaging plays a crucial role in this complex and specific process. 38 However, DL algorithms, particularly Convolutional Neural Networks (CNNs), are highly accurate at identifying details in medical images like mammograms, ultrasounds, radiology, CT scans, PET scans, and MRIs to find tumors early. 39 Also, transformer neural networks have recently replaced CNNs in image processing due to their improved reliability and efficiency in computer vision tasks. 40 AI analysis in medical imaging encompasses image classification, segmentation, detection, and localization. It offers details about the probability of cancer and identifies disease sites, such as lesions and metastatic tumors. Some AI models have demonstrated accuracy surpassing that of human experts. For instance, an AI model developed by McKinney et al has significantly reduced false positives and negatives in breast cancer predictions in the USA and the UK. This AI outperformed average radiologists, decreasing their workload by 80%. 41 In another study, a deep learning model trained on a large dataset achieved an accuracy of 82.9% in classifying images from digital single-operator cholangioscopy (DSOC), with a sensitivity of 83.5% and specificity of 82.4%. 42 Table 2 demonstrates other selected AI models in medical imaging. Table 2. Selected AI Models in Medical Imaging From 2022 to 2024. Imaging technique Method Description Clinical status Year References MRI Deep Learning (DL) Segmentation and classification of 18 distinct intracranial tumor types using T1- and T2-weighted images, including T2 contrast MRI sequences. Research only; multi-center validation. 2022 Gao et al 43 Convolutional Neural Network (CNN) The prediction of tumor grading is combined with segmentation techniques that utilize whole 3D structural preoperative MRI data. Research only; single-center validation. 2023 van der Voort et al 44 Deep Learning (DL) Real-time prostate contouring on MRI images from a 1.5 T MR-Linac system to guide radiation beam delivery. Research only; single-center validation. 2024 Nachbar et al 45 CT scan Deep Learning (DL) “Sybil” estimates future lung cancer risk from a single low-dose CT (LDCT) scan. FDA Accelerated Approval Program; investigational use only. 2023 Mikhael et al 46 Convolutional Neural Network (CNN) Detection of pancreatic ductal adenocarcinoma (PDA) on diagnostic CT scans and identification of visually occult PDA on pre-diagnostic CT scans. Research only; multi-center validation. 2023 Korfiatis et al 47 PET Scan Random Forest Prediction of invisible intraprostatic lesions on 68 Ga-PSMA-11 PET in patients with primary prostate cancer. Research only; multi-center validation. 2022 Yi et al 48 Deep Learning (DL) “Masked-LMCTrans” algorithm reduces noise and enhances detail in low-dose PET images. Research only; single-center validation. 2023 Wang et al 49 Endoscopy images Convolutional Neural Network (CNN) AI system for identification of esophageal cancer using endoscopy images. Research only; multi-center prospective validation. 2022 Knabe et al 50 Deep Learning (DL) Real-time AI application using endoscopic ultrasonography images to differentiate gastrointestinal stromal tumors from leiomyomas. Clinically validated (no regulatory approval); prospective trial completed. 2024 Dong et al 51 Ultrasound Deep Convolutional Neural Network (DCNN) EDL-BC, an ensemble deep learning model designed to identify high-risk lesions in breast cancer ultrasound images. Research only; multi-center validation. 2023 Liao et al 52 Convolutional Neural Network (CNN) Novel grid-based deep feature generator leveraging multiple pre-trained CNNs for breast cancer detection and classification. Research only; single-center validation. 2022 Liu et al 53 In 2024, Brancaccio et al assessed the effectiveness of AI in diagnosing skin cancer. Their review highlighted that while AI has been extensively used to analyze whole-body photographs for identifying changes in lesions, its integration into consumer-oriented smartphone applications and support for non-experts remain uncertain. Likewise, the role of AI in primary care is a topic of ongoing debate. General practitioners acknowledge the potential benefits of AI but emphasize the need for clear definitions concerning its specific applications. 54 Ha et al pointed out a significant drawback in using AI for analyzing mammograms, based on their study of more than 5700 women without symptoms who have dense breast tissue. The findings indicate that AI-enhanced mammography offers increased specificity, resulting in fewer false positives and a reduced need for follow-up imaging. However, combining mammography and supplemental ultrasound has proven to be a more effective strategy for detecting early-stage, node-negative cancers. Notably, ultrasound detected a significantly higher number of cancers, including cases that the AI system missed. These results suggest that for women with dense breasts, a combined screening approach utilizing both mammography and supplemental ultrasound may be more effective than relying solely on mammography augmented with AI. 55 Furthermore, AI models can become unstable due to changes or alterations. It has been reported that minor perturbations, such as slight patient movements, can lead to significant errors in AI results and incorrect diagnoses. Such problems are common during medical imaging, so networks require frequent retraining for each subsampling combination. As a result, this frequent retraining makes the process impractical for a wide range of applications. 56 Innovations in Digital Pathology Digital pathology revolutionizes cancer diagnostics by converting traditional histopathology, immunohistochemistry, and cytology slides into high-resolution digital images using whole-slide scanners. By leveraging AI tools on these images, we can automate time-consuming tasks traditionally performed by pathologists. This automation not only enhances efficiency but also enables quicker and more reliable diagnoses, allowing pathologists to focus more on high-level decision-making tasks. 57 In 2021, the FDA authorized the first AI-based software to detect prostate cancer (Paige Prostate). 58 The Paige Prostate AI digital diagnostic tool uses data from the digital slide archive at New York’s Memorial Sloan Kettering Cancer Center (MSKCC) to classify whole-slide images of prostate biopsies as either “Suspicious” or “Not Suspicious” for prostatic adenocarcinoma. 59 A critical aspect of pathology is Biomarker detection. But traditional methods often face limitations in sensitivity, accuracy, and speed, especially when dealing with complex disease processes. 60 Niehues et al demonstrated that DL can effectively predict multiple biomarkers from histopathology images. 61 They evaluated 6 leading DL architectures and found that numerous instance learning (MIL) models consistently outperformed traditional approaches. However, while the predictions for MSI and BRAF mutations were clinically promising, the forecasts for KRAS, NRAS, and PIKCA were not sufficiently reliable for clinical use. 62 AI in pathology enhances the precision of quantitative assessments and allows for the geographical contextualization of data through spatial algorithms. 63 Adding spatial metrics to immunohistochemistry (IHC) methods can make finding important biomarkers more useful in a clinical setting. 64 For example, a study showed that adding spatial information to IHC using multiplex IHC and immunofluorescence (IF) was better at predicting how patients would respond to immune checkpoint inhibitors than just using gene expression profiling (GEP) or regular IHC alone. 65 However, some common factors can affect AI results, such as color variations and errors in tissue preparation, including blur, tissue folds, and tissue tears. Also, foreign objects not included in the training set may be forcibly classified into predefined groups. 66 Therefore, human supervision is crucial for guaranteeing AI results. For example, Bodén et al showed that while digital image analysis reduced errors compared to visual methods, human-in-the-loop corrections were essential for addressing significant weaknesses, such as misclassification due to faint staining or incorrect separation of tumor and stroma regions. 67 Furthermore, the unavailability of data prevents the replication of many pathology AI models, despite their satisfactory performance. As Wagner et al reported, around 70% of pathology AI studies fail to provide publicly accessible data for independent validation. 68 Overall, despite challenges, computational pathology can enhance oncology through multiple approaches. 69 Table 3 shows other selected models developed for different AI applications in pathology. Table 3. Selected models were developed for different AI applications in pathology from 2020 to 2024. Pathology field Cancer type Model input Goal Clinical status Year Reference Risk prediction of cancer recurrence Prostate 3D tissue volumes, including open-top light-sheet microscopy and microcomputed tomography Recurrence risk prediction by capturing complex 3D morphological tissue features Research use only 2024 Song et al 70 Breast Digital slides of tissue samples, with optional clinical data Tumor likelihood assessment and recurrence score prediction Research use only 2023 Howard et al 71 Colorectal Digital images of hematoxylin and eosin (H&amp;E)-stained tissue sections Prediction of cancer recurrence likelihood after curative resection for stage I-III colorectal cancer Research use only 2023 Nakanishi et al 72 Tumor metastasis detection Pan-origin Whole-slide images (WSIs) Detection of lymph node cancer metastasis Research use only 2024 Pan et al 73 Bladder, Prostate, Breast Whole-slide images Detection of micrometastases in lymph nodes Research use only 2023 Wu et al 74 Mitosis detection Breast H&amp;E-stained biopsy slices Mitotic cell detection Research use only 2023 Shihabuddin and K 75 Uterus Microscopic images of uterine leiomyosarcoma Mitotic cell detection Research use only 2022 Zehra et al 76 Biomarker detection Prostate Multiplex fluorescence immunohistochemistry Quantification of Ki-67 via cell distance analysis using an algorithm Clinically validated 2023 Blessin et al 77 Thyroid Papanicolaou-stained thyroid fine-needle aspiration cytology and ThinPrep cytological slides Prediction of BRAF immunostaining results in thyroidectomy specimens Research use only 2023 Wang et al 78 Breast Core biopsy samples from invasive breast cancer tumors Quantification of Ki-67, estrogen receptor, and progesterone receptor Clinically validated 2022 Abele et al 79 Imaging Gastric H&amp;E-stained pathology slides Tumor detection Research use only 2021 Huang et al 80 Prostate Native, non-trained RGB WSIs (red, green, blue channels) of prostate core biopsy Computational generation of H&amp;E-stained images Research use only 2020 Rana et al 81 Robotic Surgery AI has recently entered surgery, enhancing imaging, navigation, and robotics capabilities. This integration is poised to revolutionize surgical practices by linking real-time sensing with robotic control, facilitating varying degrees of autonomy in surgical procedures. 82 History of Robotic Surgery Robotic systems in surgery have been a transformative leap in medical technology, with their utilization dating back over 20 years. 83 Integrating advanced hardware and AI has allowed these systems to assist in increasingly complex procedures, enhancing precision and improving patient outcomes. 84 Surgical robots like da Vinci have significantly advanced over traditional surgical methods. These systems provide surgeons greater control, flexibility, and access to intricate anatomical structures through robotic arms equipped with specialized surgical instruments. 85 The da Vinci robot, in particular, achieved a historic milestone in 1997 as the first surgical robot to receive FDA approval and has been deployed in over 8000 facilities, facilitating more than 13 million procedures. 86 Further studies have optimized this robot. For example, Eslamian et al developed an algorithm that autonomously positions the camera on the da Vinci surgical robot to optimize surgical visualization and determine the correct zoom level. 87 Medtronic’s latest robotic system, launched in 2021, is called the HUGO™ RAS System. This modular option is an alternative to the current market leader in surgical robotics, the da Vinci system. 88 The HUGO™ RAS System comprises an “open” surgical console with a high-definition 3D passive display, a system tower, and 4 arm carts. Each robotic arm is independent and features 6 different joints for flexibility. 89 Moreover, the cart column allows for the vertical placement of the arms by raising or lowering them. 90 Trocars attach these arms, while specialized motors known as instrument drive units control the instruments. This system provides adaptable and versatile arm movements due to its multiple joints. 91 Figure 4 illustrates the historical development of surgical robots, showcasing their contribution to automated surgical tasks and intraoperative safety measures.92 -94 Figure 4. The timeline of surgical robots’ development and evolution.AI Roles in Robotic Surgery AI techniques for robotic and autonomous systems can be categorized into 4 groups: perception, localization and mapping, surgical workflow recognition, and human-robot interaction. 95 In perception, distinguishing between native tissue and non-native devices is a critical challenge in implementing AI. De Backer et al used deep learning networks to identify instruments during robot-assisted kidney transplantation, achieving a Dice score of 97.10%. 96 Ping et al developed a method for instrument detection in surgical endoscopy using a modified CNN and the You Only Look Once (YOLO) v3 algorithm, achieving a sensitivity of 93.02% for surgical instrument detection and 87.05% for tooltip detection. 97 As for providing information on native tissue, Doria et al developed stiffness models through a wearable fabric to give haptic feedback to tissue palpation of intrauterine leiomyomas during robotic surgery. 98 Accurate localization and mapping are essential in surgical oncology to ensure that tumors are wholly removed while preserving as much healthy tissue as possible. Marsden et al presented AI models using fluorescence imaging to generate an accurate heatmap of probable cancer location and guide cancer excision in oral and oropharyngeal surgery. 99 To identify safe dissection planes in tissues where they naturally separate, Kumazu et al utilized a sensitive deep-learning model that automatically segments loose connective tissue fibers during robot-assisted gastrectomy. 100 Studies have focused on higher levels of physical task automation in human-robot cooperation. For instance, Saeidi et al created a CNN with a U-Net algorithm to find where the bowel is and completely automate laparoscopic bowel anastomoses, rather than just 1-step suturing. 101 To automatically eliminate the smoke produced by electrocautery devices used in dissection and ligation, Wang et al proposed a convolutional neural network (CNN) combined with a Swim transformer. This innovative approach swiftly generates smoke-free surgical footage. 102 Surgical workflow recognition (SWR) provides surgeons with real-time feedback during operations to help prevent errors and assist in surgical training. Kitaguchi et al developed an AI model using a dataset of 300 laparoscopic colorectal resection videos. The model accurately classified 9 different surgical phases, achieving an average accuracy of 81%, and demonstrated an accuracy of 83.2% in distinguishing between dissection and exposure actions. 103 Sahu et al used a different method to reach SWR. They developed an RNN to recognize surgical phases by distinguishing the tools in videos. 104 To get through the time-consuming labeling process, Shi et al proposed an active learning system for gallbladder surgery. 105 Patient Recovery Statistics Robotic surgery has been associated with numerous patient benefits, including reduced chances of readmission, shorter hospital stays, fewer minor surgical scars, a lower risk of infections, and less pain during recovery. 106 A study published in JAMA found that robotic surgery reduces the chance of readmission by half (52%) and revealed a four-fold (77%) reduction in the prevalence of blood clots. 107 Also, Patients’ physical activity, stamina, and quality of life improved significantly. 107 These findings demonstrate the benefits of robot-assisted surgery, indicating a safer surgery with fewer complications and a quicker return to daily activities. 108 While AI assistants have made significant strides in surgery, they can sometimes introduce time-consuming complexities. For instance, advancements in telesurgery offer promising capabilities; however, they often suffer from latency issues unless connected to high-speed, reliable networks. Latency exceeding 200 to 300 ms can compromise precision and safety, leading to increased fatigue for surgeons and a higher likelihood of errors. 109 Some studies have also reported low accuracies of AI in surgery. For example, in postoperative outcome prediction, an AI model predicted urinary continence after robot-assisted radical prostatectomy with a mean absolute error that ranged from 85.9 to 134.7 days. 110 A Random Forest model detected only 35.7% of adverse events intraoperatively, despite 99.6% specificity. 111 Similarly, an AI model trained for autonomous tissue retraction tasks had a 20% error rate in detecting tissue flaps, and performance dropped further due to variability in tissue positioning. 112 A systematic review conducted in 2021 analyzed 35 studies on the application of AI in robot-assisted surgery. It revealed that none of the models had been validated using datasets from multiple medical centers. Furthermore, models trained on small datasets, such as JIGSAWS and MICCAI EndoVis, demonstrated poor generalizability to real-world surgical situations and were limited in the tasks they could perform. 113 These findings show how AI may struggle with complex, dynamic, and unpredictable surgical environments. Overall, the integration of AI in surgery has significantly impacted the field, offering enhanced precision and improved patient recovery statistics. 114 However, unlike screening and diagnosis, the implementation of AI in surgery is relatively new and requires further approval and standardization to ensure patient safety, optimal outcomes, and widespread adoption. 115</w:t>
      </w:r>
    </w:p>
    <w:p w:rsidR="00000000" w:rsidDel="00000000" w:rsidP="00000000" w:rsidRDefault="00000000" w:rsidRPr="00000000" w14:paraId="0000004D">
      <w:pPr>
        <w:spacing w:after="160" w:line="256.8"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4E">
      <w:pPr>
        <w:spacing w:after="160" w:line="256.8"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AI in Anti-Cancer </w:t>
      </w:r>
      <w:r w:rsidDel="00000000" w:rsidR="00000000" w:rsidRPr="00000000">
        <w:rPr>
          <w:rFonts w:ascii="Calibri" w:cs="Calibri" w:eastAsia="Calibri" w:hAnsi="Calibri"/>
          <w:highlight w:val="cyan"/>
          <w:u w:val="single"/>
          <w:rtl w:val="0"/>
        </w:rPr>
        <w:t xml:space="preserve">Drug Discovery</w:t>
      </w:r>
      <w:r w:rsidDel="00000000" w:rsidR="00000000" w:rsidRPr="00000000">
        <w:rPr>
          <w:rFonts w:ascii="Calibri" w:cs="Calibri" w:eastAsia="Calibri" w:hAnsi="Calibri"/>
          <w:u w:val="single"/>
          <w:rtl w:val="0"/>
        </w:rPr>
        <w:t xml:space="preserve"> In the realm of treatment, the development of effective medications is a critical cornerstone. 116 However, crafting new and triumphant anti-cancer drugs from the ground up remains a strenuous, costly, and time-intensive endeavor </w:t>
      </w:r>
      <w:r w:rsidDel="00000000" w:rsidR="00000000" w:rsidRPr="00000000">
        <w:rPr>
          <w:rFonts w:ascii="Calibri" w:cs="Calibri" w:eastAsia="Calibri" w:hAnsi="Calibri"/>
          <w:sz w:val="16"/>
          <w:szCs w:val="16"/>
          <w:rtl w:val="0"/>
        </w:rPr>
        <w:t xml:space="preserve">demanding intricate multidisciplinary collaborations spanning medicinal chemistry, computational chemistry, biology, pharmacology, and clinical research. 117 The statistics paint a formidable picture, indicating that ushering a new drug from inception to clinical application can span over 10 to 17 years, with costs ballooning to almost $2.8 billion. Moreover, a mere 10% of compounds tested in clinical trials successfully navigate the arduous path to market availability. 118 Figure 5 illustrates the steps of drug discovery.119,120 Figure 5. The typical steps of drug discovery.Despite these challenges,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sz w:val="16"/>
          <w:szCs w:val="16"/>
          <w:rtl w:val="0"/>
        </w:rPr>
        <w:t xml:space="preserve"> has </w:t>
      </w:r>
      <w:r w:rsidDel="00000000" w:rsidR="00000000" w:rsidRPr="00000000">
        <w:rPr>
          <w:rFonts w:ascii="Calibri" w:cs="Calibri" w:eastAsia="Calibri" w:hAnsi="Calibri"/>
          <w:highlight w:val="cyan"/>
          <w:u w:val="single"/>
          <w:rtl w:val="0"/>
        </w:rPr>
        <w:t xml:space="preserve">emerge</w:t>
      </w:r>
      <w:r w:rsidDel="00000000" w:rsidR="00000000" w:rsidRPr="00000000">
        <w:rPr>
          <w:rFonts w:ascii="Calibri" w:cs="Calibri" w:eastAsia="Calibri" w:hAnsi="Calibri"/>
          <w:u w:val="single"/>
          <w:rtl w:val="0"/>
        </w:rPr>
        <w:t xml:space="preserve">d </w:t>
      </w:r>
      <w:r w:rsidDel="00000000" w:rsidR="00000000" w:rsidRPr="00000000">
        <w:rPr>
          <w:rFonts w:ascii="Calibri" w:cs="Calibri" w:eastAsia="Calibri" w:hAnsi="Calibri"/>
          <w:highlight w:val="cyan"/>
          <w:u w:val="single"/>
          <w:rtl w:val="0"/>
        </w:rPr>
        <w:t xml:space="preserve">as a</w:t>
      </w:r>
      <w:r w:rsidDel="00000000" w:rsidR="00000000" w:rsidRPr="00000000">
        <w:rPr>
          <w:rFonts w:ascii="Calibri" w:cs="Calibri" w:eastAsia="Calibri" w:hAnsi="Calibri"/>
          <w:sz w:val="16"/>
          <w:szCs w:val="16"/>
          <w:rtl w:val="0"/>
        </w:rPr>
        <w:t xml:space="preserve"> formidable and </w:t>
      </w:r>
      <w:r w:rsidDel="00000000" w:rsidR="00000000" w:rsidRPr="00000000">
        <w:rPr>
          <w:rFonts w:ascii="Calibri" w:cs="Calibri" w:eastAsia="Calibri" w:hAnsi="Calibri"/>
          <w:highlight w:val="cyan"/>
          <w:u w:val="single"/>
          <w:rtl w:val="0"/>
        </w:rPr>
        <w:t xml:space="preserve">optimistic technology</w:t>
      </w:r>
      <w:r w:rsidDel="00000000" w:rsidR="00000000" w:rsidRPr="00000000">
        <w:rPr>
          <w:rFonts w:ascii="Calibri" w:cs="Calibri" w:eastAsia="Calibri" w:hAnsi="Calibri"/>
          <w:u w:val="single"/>
          <w:rtl w:val="0"/>
        </w:rPr>
        <w:t xml:space="preserve"> in pursuing </w:t>
      </w:r>
      <w:r w:rsidDel="00000000" w:rsidR="00000000" w:rsidRPr="00000000">
        <w:rPr>
          <w:rFonts w:ascii="Calibri" w:cs="Calibri" w:eastAsia="Calibri" w:hAnsi="Calibri"/>
          <w:b w:val="1"/>
          <w:bCs w:val="1"/>
          <w:highlight w:val="cyan"/>
          <w:u w:val="single"/>
          <w:rtl w:val="0"/>
        </w:rPr>
        <w:t xml:space="preserve">swifter, more cost-effective</w:t>
      </w:r>
      <w:r w:rsidDel="00000000" w:rsidR="00000000" w:rsidRPr="00000000">
        <w:rPr>
          <w:rFonts w:ascii="Calibri" w:cs="Calibri" w:eastAsia="Calibri" w:hAnsi="Calibri"/>
          <w:sz w:val="16"/>
          <w:szCs w:val="16"/>
          <w:rtl w:val="0"/>
        </w:rPr>
        <w:t xml:space="preserve">, and productive </w:t>
      </w:r>
      <w:r w:rsidDel="00000000" w:rsidR="00000000" w:rsidRPr="00000000">
        <w:rPr>
          <w:rFonts w:ascii="Calibri" w:cs="Calibri" w:eastAsia="Calibri" w:hAnsi="Calibri"/>
          <w:highlight w:val="cyan"/>
          <w:u w:val="single"/>
          <w:rtl w:val="0"/>
        </w:rPr>
        <w:t xml:space="preserve">designs for</w:t>
      </w:r>
      <w:r w:rsidDel="00000000" w:rsidR="00000000" w:rsidRPr="00000000">
        <w:rPr>
          <w:rFonts w:ascii="Calibri" w:cs="Calibri" w:eastAsia="Calibri" w:hAnsi="Calibri"/>
          <w:u w:val="single"/>
          <w:rtl w:val="0"/>
        </w:rPr>
        <w:t xml:space="preserve"> anti-cancer </w:t>
      </w:r>
      <w:r w:rsidDel="00000000" w:rsidR="00000000" w:rsidRPr="00000000">
        <w:rPr>
          <w:rFonts w:ascii="Calibri" w:cs="Calibri" w:eastAsia="Calibri" w:hAnsi="Calibri"/>
          <w:highlight w:val="cyan"/>
          <w:u w:val="single"/>
          <w:rtl w:val="0"/>
        </w:rPr>
        <w:t xml:space="preserve">drugs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121 Table 4 presents a compilation of anti-cancer drugs developed using AI and subsequently progressed to clinical studies. Table 4. Anti-Cancer Drugs Designed by AI Have Reached Clinical Studies. Name Generic name Company Therapeutic area Target/mechanism of action Development phase Reference REC-2282 AR-42 Recursion Neurofibromatosis Type 2 Histone Deacetylase (HDAC) Inhibitor Phase 2/3 Welling et al 122 RLY-4008 Lirafugratinib Relay therapeutics Solid tumors FGFR (Fibroblast Growth Factor Receptor) Inhibitor Phase 2 Schram et al 123 BPM31510 BPM31510 Berg Solid tumors Protein Bcl-2 Modulator Phase 2 Subbiah et al 124 EXS-21546 EXS-21546 Exscientia Solid tumors A2a Receptor (A2aR) Antagonist Phase 1 Vladimer et al 125 ISM3091 XL309 Insilico Medicine BRCA-mutated tumors USP1 (Ubiquitin-Specific Protease 1) Inhibitor Phase 1 Philippidis 126 PHI-101 PHI101 Pharos iBio Ovarian and breast cancer FLT3 (Fms-like Tyrosine Kinase 3) Inhibitor Phase 1 Yoon et al 127 Many different algorithms are used in drug discovery. 128 Some of the frequent algorithms in drug design are Support Vector Machines (SVM), Random Forest (RF), and Convolutional Neural Networks (CNN). 129 In Drug screening, Machine Learning (ML), Meta-heuristics, and similarity are mainly used. 130 In Chemical synthesis, SVMs, RFs, artificial neural networks (ANNs), CNNs, recurrent neural networks (RNNs), and graph neural networks (GNNs) are common. 131 While in drug repurposing ML, deep learning (DL), network transmission, matrix completion, and matrix factorization are frequently used. 132 Figure 6 demonstrates the role of AI in drug discovery.133 -135 Figure 6. The role of AI in different steps of drug discovery.Anti-Cancer Drug Target Identification Identifying interactions between drugs and their targets is a crucial first step in the design of effective anti-cancer medications. 27 The potency of these interactions is commonly quantified through binding affinity constants, which encompass metrics like dissociation constant (Kd), inhibition constant (Ki), and half-maximal inhibitory concentration (IC50). 136 Given the laborious and costly nature of experimentally pinpointing these interactions, the computational forecast of drug-target interactions holds significant appeal. 137 Precise and efficient predictions can significantly bolster drug development efforts and expedite the discovery of promising lead compounds or hits. 138 AI can integrate multiple datasets to select the best targets. For instance, Tong et al integrated clinical data with gene expression profiles and protein-protein interaction networks to predict candidate drug targets in liver cancer. They achieved an AUC of 0.88 using a one-class support vector machine. 139 Madhukar et al developed a Bayesian-based machine learning method (BANDIT), which integrated 6 data types on more than 2000 molecules to achieve approximately 90% target prediction accuracy. </w:t>
      </w:r>
    </w:p>
    <w:p w:rsidR="00000000" w:rsidDel="00000000" w:rsidP="00000000" w:rsidRDefault="00000000" w:rsidRPr="00000000" w14:paraId="0000004F">
      <w:pPr>
        <w:spacing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However, none of that happens without the buildout. </w:t>
      </w:r>
      <w:r w:rsidDel="00000000" w:rsidR="00000000" w:rsidRPr="00000000">
        <w:rPr>
          <w:rtl w:val="0"/>
        </w:rPr>
      </w:r>
    </w:p>
    <w:p w:rsidR="00000000" w:rsidDel="00000000" w:rsidP="00000000" w:rsidRDefault="00000000" w:rsidRPr="00000000" w14:paraId="0000005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Brooke Tanner, Research Analyst @ Brookings 4-10-2026, "Global energy demands within the AI regulatory landscape," Brookings, DOA: 08-30-2026, https://www.brookings.edu/articles/global-energy-demands-within-the-ai-regulatory-landscape/] //USNS</w:t>
      </w:r>
    </w:p>
    <w:p w:rsidR="00000000" w:rsidDel="00000000" w:rsidP="00000000" w:rsidRDefault="00000000" w:rsidRPr="00000000" w14:paraId="0000005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That picture has since changed dramatically. Uncertainties remain as to the extent of increases in consumption due to opacities in corporate disclosures and inconsistencies in methodologies. Nevertheless, it has become clear on several fronts that advanced AI models have become a new, fast-growing source of global energy consumption. </w:t>
      </w:r>
      <w:r w:rsidDel="00000000" w:rsidR="00000000" w:rsidRPr="00000000">
        <w:rPr>
          <w:rFonts w:ascii="Calibri" w:cs="Calibri" w:eastAsia="Calibri" w:hAnsi="Calibri"/>
          <w:b w:val="1"/>
          <w:bCs w:val="1"/>
          <w:highlight w:val="cyan"/>
          <w:u w:val="single"/>
          <w:rtl w:val="0"/>
        </w:rPr>
        <w:t xml:space="preserve">Hyperscalers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the vertically integrated cloud providers and tech giants that operate large-scale data centers with distributed computing operations</w:t>
      </w:r>
      <w:r w:rsidDel="00000000" w:rsidR="00000000" w:rsidRPr="00000000">
        <w:rPr>
          <w:rFonts w:ascii="Calibri" w:cs="Calibri" w:eastAsia="Calibri" w:hAnsi="Calibri"/>
          <w:sz w:val="16"/>
          <w:szCs w:val="16"/>
          <w:rtl w:val="0"/>
        </w:rPr>
        <w:t xml:space="preserve">—have been vocal in seeking increased generation and transmission of electricity as they </w:t>
      </w:r>
      <w:r w:rsidDel="00000000" w:rsidR="00000000" w:rsidRPr="00000000">
        <w:rPr>
          <w:rFonts w:ascii="Calibri" w:cs="Calibri" w:eastAsia="Calibri" w:hAnsi="Calibri"/>
          <w:b w:val="1"/>
          <w:bCs w:val="1"/>
          <w:highlight w:val="cyan"/>
          <w:u w:val="single"/>
          <w:rtl w:val="0"/>
        </w:rPr>
        <w:t xml:space="preserve">rush to construct</w:t>
      </w:r>
      <w:r w:rsidDel="00000000" w:rsidR="00000000" w:rsidRPr="00000000">
        <w:rPr>
          <w:rFonts w:ascii="Calibri" w:cs="Calibri" w:eastAsia="Calibri" w:hAnsi="Calibri"/>
          <w:u w:val="single"/>
          <w:rtl w:val="0"/>
        </w:rPr>
        <w:t xml:space="preserve"> more and </w:t>
      </w:r>
      <w:r w:rsidDel="00000000" w:rsidR="00000000" w:rsidRPr="00000000">
        <w:rPr>
          <w:rFonts w:ascii="Calibri" w:cs="Calibri" w:eastAsia="Calibri" w:hAnsi="Calibri"/>
          <w:b w:val="1"/>
          <w:bCs w:val="1"/>
          <w:highlight w:val="cyan"/>
          <w:u w:val="single"/>
          <w:rtl w:val="0"/>
        </w:rPr>
        <w:t xml:space="preserve">large</w:t>
      </w:r>
      <w:r w:rsidDel="00000000" w:rsidR="00000000" w:rsidRPr="00000000">
        <w:rPr>
          <w:rFonts w:ascii="Calibri" w:cs="Calibri" w:eastAsia="Calibri" w:hAnsi="Calibri"/>
          <w:b w:val="1"/>
          <w:bCs w:val="1"/>
          <w:u w:val="single"/>
          <w:rtl w:val="0"/>
        </w:rPr>
        <w:t xml:space="preserve">r </w:t>
      </w:r>
      <w:r w:rsidDel="00000000" w:rsidR="00000000" w:rsidRPr="00000000">
        <w:rPr>
          <w:rFonts w:ascii="Calibri" w:cs="Calibri" w:eastAsia="Calibri" w:hAnsi="Calibri"/>
          <w:b w:val="1"/>
          <w:bCs w:val="1"/>
          <w:highlight w:val="cyan"/>
          <w:u w:val="single"/>
          <w:rtl w:val="0"/>
        </w:rPr>
        <w:t xml:space="preserve">data centers</w:t>
      </w:r>
      <w:r w:rsidDel="00000000" w:rsidR="00000000" w:rsidRPr="00000000">
        <w:rPr>
          <w:rFonts w:ascii="Calibri" w:cs="Calibri" w:eastAsia="Calibri" w:hAnsi="Calibri"/>
          <w:sz w:val="16"/>
          <w:szCs w:val="16"/>
          <w:rtl w:val="0"/>
        </w:rPr>
        <w:t xml:space="preserve"> that demand increasing amounts of electricity as well as water and other resources </w:t>
      </w:r>
      <w:r w:rsidDel="00000000" w:rsidR="00000000" w:rsidRPr="00000000">
        <w:rPr>
          <w:rFonts w:ascii="Calibri" w:cs="Calibri" w:eastAsia="Calibri" w:hAnsi="Calibri"/>
          <w:highlight w:val="cyan"/>
          <w:u w:val="single"/>
          <w:rtl w:val="0"/>
        </w:rPr>
        <w:t xml:space="preserve">to meet </w:t>
      </w:r>
      <w:r w:rsidDel="00000000" w:rsidR="00000000" w:rsidRPr="00000000">
        <w:rPr>
          <w:rFonts w:ascii="Calibri" w:cs="Calibri" w:eastAsia="Calibri" w:hAnsi="Calibri"/>
          <w:b w:val="1"/>
          <w:bCs w:val="1"/>
          <w:highlight w:val="cyan"/>
          <w:u w:val="single"/>
          <w:rtl w:val="0"/>
        </w:rPr>
        <w:t xml:space="preserve">needs for training models</w:t>
      </w:r>
      <w:r w:rsidDel="00000000" w:rsidR="00000000" w:rsidRPr="00000000">
        <w:rPr>
          <w:rFonts w:ascii="Calibri" w:cs="Calibri" w:eastAsia="Calibri" w:hAnsi="Calibri"/>
          <w:u w:val="single"/>
          <w:rtl w:val="0"/>
        </w:rPr>
        <w:t xml:space="preserve"> and a</w:t>
      </w:r>
      <w:r w:rsidDel="00000000" w:rsidR="00000000" w:rsidRPr="00000000">
        <w:rPr>
          <w:rFonts w:ascii="Calibri" w:cs="Calibri" w:eastAsia="Calibri" w:hAnsi="Calibri"/>
          <w:highlight w:val="cyan"/>
          <w:u w:val="single"/>
          <w:rtl w:val="0"/>
        </w:rPr>
        <w:t xml:space="preserve">pplying them using inference</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Whatever the uncertainties of their disclosures on energy usage, these reflect significant increases, and independent projections of actual and future usage with energy demand from data centers, driven primarily by AI, are projected to add hundreds of terawatt-hours (TWh) to global energy consumption by 2030.</w:t>
      </w:r>
      <w:r w:rsidDel="00000000" w:rsidR="00000000" w:rsidRPr="00000000">
        <w:rPr>
          <w:rtl w:val="0"/>
        </w:rPr>
      </w:r>
    </w:p>
    <w:p w:rsidR="00000000" w:rsidDel="00000000" w:rsidP="00000000" w:rsidRDefault="00000000" w:rsidRPr="00000000" w14:paraId="0000005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53">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This paper will discuss these growing energy demands and the issues they present. It will explore ways to improve understanding of AI energy consumption and its impacts on the environment locally and globally, as well as future constraints that power availability and grid capacity may place on AI compute. The discussion will ask what international policies and initiatives can help address these issues.  Back to top Energy and the hyperscaler model Since our 2022 report, baseline estimates for global energy consumption have already far outweighed overall electricity growth. In 2024, global data center electricity consumption was approximately 415 terrawatt hours, representing about 1.5% of the world’s total electricity use. This figure has been growing at a compound annual growth rate of 12% since 2017, a rate more than four times faster than that of total global electricity consumption. By one estimate, the energy consumption of data centers could approach 1,050 TWh by 2026, which, if data centers were a country, would make them the fifth largest energy consumer in the world, between Japan and Russia.  A consensus among leading analytical bodies points to a doubling or more of this demand by 2030. The IEA, in its base case scenario, projects that global data center electricity consumption could reach 945 TWh by 2030, climbing further to 1,200 TWh by 2035. Analysis from Deloitte projects a similar trajectory, forecasting a rise to 1,065 TWh by 2030. Goldman Sachs Research forecasts a 160–165% increase in power demand (measured in capacity) by 2030 compared to 2023 levels.  About 60% of the electricity used in data centers powers the servers (computers equipped with CPUs/GPUs, memory, storage controllers, and other components for processing data, which are stored on racks). This share reaches around 75% for larger hyperscaler data centers optimized for AI workloads, where servers include chips that consume 2–4 times more watts than their conventional counterparts.  The amount of new cloud computing dedicated to AI is a subset of the overall cloud market, with estimates that AI will drive 10-15% of total cloud spend by 2030. The cloud stack for AI comprises the infrastructure layer, forecasted to account for 29% of the market, which is the computing and associated networking, frameworks, and services that organizations can use to build their own foundational AI models. The second layer is the AI tooling or the platform layer, which is where the organization builds its own AI models or custom foundational AI applications using models and datasets from other providers. It has been estimated to similarly make up 30% of the cloud market. The third layer in the stack, the AI application or software layer, is expected to have the highest share, 40% of the market. This layer typically provides so-called off-the-shelf applications to offer services, such as coding and content creation, that organizations can rapidly access with limited technical know-how.  The recent growth in demand is driven by increases in AI training and inference at the infrastructure layer. The training process for a frontier model is energy intensive, requiring thousands of high-performance chips to run continuously for weeks or months, consuming gigawatt-hours of electricity. Some estimates find that as high as 80-90% of computing power used for AI is from inference. In 2024, a single query on an advanced generative AI model like ChatGPT required an estimated 2.9 watt-hours of electricity, nearly 10 times the 0.3 watt-hours needed for a conventional Google search. Newer measurements suggest median energy per text query has fallen to 0.24-0.3 watt-hours, although this can be much higher for long reasoning or multimodal prompts. The IEA’s modeling indicates that electricity consumption from servers used for AI workloads, predominantly inference, is projected to grow by 30% annually as adoption increases. This single category of usage is expected to account for almost half of the net increase in global data center consumption between 2024 and 2030.  The impact is especially acute in the United States, which is currently the world’s largest data center market, accounting for 45% of global data center electricity consumption in 2024. The IEA estimates that data center demand for energy in the U.S. will increase by 130% by 2030. This forecast is consistent with those by other expert bodies. The U.S. Department of Energy, in a 2024 report from Lawrence Berkeley National Laboratory (LBNL), found that data centers consumed about 4.4% of total U.S. electricity in 2023 and are projected to consume between 6.7% and 12.0% by 2028. In absolute terms, the LBNL report projects an increase from 176 TWh in 2023 to a range of 325 to 580 TWh by 2028. Bloomberg Intelligence predicted growth in energy demand for AI by up to four times its current level by 2032.</w:t>
      </w:r>
      <w:r w:rsidDel="00000000" w:rsidR="00000000" w:rsidRPr="00000000">
        <w:rPr>
          <w:rtl w:val="0"/>
        </w:rPr>
      </w:r>
    </w:p>
    <w:p w:rsidR="00000000" w:rsidDel="00000000" w:rsidP="00000000" w:rsidRDefault="00000000" w:rsidRPr="00000000" w14:paraId="0000005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5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forecast is also corroborated by individual AI developers. Anthropic estimated that by 2027, training a single frontier AI model will require five gigawatts (GW) of power and projected that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U.S. AI sector</w:t>
      </w:r>
      <w:r w:rsidDel="00000000" w:rsidR="00000000" w:rsidRPr="00000000">
        <w:rPr>
          <w:rFonts w:ascii="Calibri" w:cs="Calibri" w:eastAsia="Calibri" w:hAnsi="Calibri"/>
          <w:u w:val="single"/>
          <w:rtl w:val="0"/>
        </w:rPr>
        <w:t xml:space="preserve"> alone will </w:t>
      </w:r>
      <w:r w:rsidDel="00000000" w:rsidR="00000000" w:rsidRPr="00000000">
        <w:rPr>
          <w:rFonts w:ascii="Calibri" w:cs="Calibri" w:eastAsia="Calibri" w:hAnsi="Calibri"/>
          <w:highlight w:val="cyan"/>
          <w:u w:val="single"/>
          <w:rtl w:val="0"/>
        </w:rPr>
        <w:t xml:space="preserve">require 50 GW of new electric capacity</w:t>
      </w:r>
      <w:r w:rsidDel="00000000" w:rsidR="00000000" w:rsidRPr="00000000">
        <w:rPr>
          <w:rFonts w:ascii="Calibri" w:cs="Calibri" w:eastAsia="Calibri" w:hAnsi="Calibri"/>
          <w:u w:val="single"/>
          <w:rtl w:val="0"/>
        </w:rPr>
        <w:t xml:space="preserve"> by 2028 </w:t>
      </w:r>
      <w:r w:rsidDel="00000000" w:rsidR="00000000" w:rsidRPr="00000000">
        <w:rPr>
          <w:rFonts w:ascii="Calibri" w:cs="Calibri" w:eastAsia="Calibri" w:hAnsi="Calibri"/>
          <w:highlight w:val="cyan"/>
          <w:u w:val="single"/>
          <w:rtl w:val="0"/>
        </w:rPr>
        <w:t xml:space="preserve">to maintain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global </w:t>
      </w:r>
      <w:r w:rsidDel="00000000" w:rsidR="00000000" w:rsidRPr="00000000">
        <w:rPr>
          <w:rFonts w:ascii="Calibri" w:cs="Calibri" w:eastAsia="Calibri" w:hAnsi="Calibri"/>
          <w:b w:val="1"/>
          <w:bCs w:val="1"/>
          <w:highlight w:val="cyan"/>
          <w:u w:val="single"/>
          <w:rtl w:val="0"/>
        </w:rPr>
        <w:t xml:space="preserve">AI</w:t>
      </w:r>
      <w:r w:rsidDel="00000000" w:rsidR="00000000" w:rsidRPr="00000000">
        <w:rPr>
          <w:rFonts w:ascii="Calibri" w:cs="Calibri" w:eastAsia="Calibri" w:hAnsi="Calibri"/>
          <w:b w:val="1"/>
          <w:bCs w:val="1"/>
          <w:u w:val="single"/>
          <w:rtl w:val="0"/>
        </w:rPr>
        <w:t xml:space="preserve"> leadership</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 To put the 50 GW figure in context, it is about twice the peak electricity demand of New York City. Former Google CEO Eric Schmidt testified before Congress that data centers will need 29 GW of additional power by 2027, and 67 more GW by 2030.</w:t>
      </w:r>
      <w:r w:rsidDel="00000000" w:rsidR="00000000" w:rsidRPr="00000000">
        <w:rPr>
          <w:rtl w:val="0"/>
        </w:rPr>
      </w:r>
    </w:p>
    <w:p w:rsidR="00000000" w:rsidDel="00000000" w:rsidP="00000000" w:rsidRDefault="00000000" w:rsidRPr="00000000" w14:paraId="00000057">
      <w:pPr>
        <w:spacing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And no one replaces the US if we fall</w:t>
      </w:r>
      <w:r w:rsidDel="00000000" w:rsidR="00000000" w:rsidRPr="00000000">
        <w:rPr>
          <w:rtl w:val="0"/>
        </w:rPr>
      </w:r>
    </w:p>
    <w:p w:rsidR="00000000" w:rsidDel="00000000" w:rsidP="00000000" w:rsidRDefault="00000000" w:rsidRPr="00000000" w14:paraId="0000005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Shivakumar 24</w:t>
      </w:r>
      <w:r w:rsidDel="00000000" w:rsidR="00000000" w:rsidRPr="00000000">
        <w:rPr>
          <w:rFonts w:ascii="Calibri" w:cs="Calibri" w:eastAsia="Calibri" w:hAnsi="Calibri"/>
          <w:rtl w:val="0"/>
        </w:rPr>
        <w:t xml:space="preserve"> [Sujai Shivakumar, Director and Senior Fellow @ CSIS,  8-15-2024, "Understanding the U.S. Biopharmaceutical Innovation Ecosystem," CSIS, DOA: 08-30-2026, https://www.csis.org/analysis/understanding-us-biopharmaceutical-innovation-ecosystem] //USNS</w:t>
      </w:r>
    </w:p>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biopharmaceutical innovation system—which brings novel, life-improving, and life-saving therapies from the researcher’s bench to a patient’s bedside—is a major engine powering health improvements, economic output, and wealth creation in the United States. But while the commercial and national security competition with China has brought policy attention to securing the semiconductor industry,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importance</w:t>
      </w:r>
      <w:r w:rsidDel="00000000" w:rsidR="00000000" w:rsidRPr="00000000">
        <w:rPr>
          <w:rFonts w:ascii="Calibri" w:cs="Calibri" w:eastAsia="Calibri" w:hAnsi="Calibri"/>
          <w:highlight w:val="cyan"/>
          <w:u w:val="single"/>
          <w:rtl w:val="0"/>
        </w:rPr>
        <w:t xml:space="preserve"> of sustaining</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world-leading U.S. bio</w:t>
      </w:r>
      <w:r w:rsidDel="00000000" w:rsidR="00000000" w:rsidRPr="00000000">
        <w:rPr>
          <w:rFonts w:ascii="Calibri" w:cs="Calibri" w:eastAsia="Calibri" w:hAnsi="Calibri"/>
          <w:b w:val="1"/>
          <w:bCs w:val="1"/>
          <w:u w:val="single"/>
          <w:rtl w:val="0"/>
        </w:rPr>
        <w:t xml:space="preserve">pharmaceutical </w:t>
      </w:r>
      <w:r w:rsidDel="00000000" w:rsidR="00000000" w:rsidRPr="00000000">
        <w:rPr>
          <w:rFonts w:ascii="Calibri" w:cs="Calibri" w:eastAsia="Calibri" w:hAnsi="Calibri"/>
          <w:b w:val="1"/>
          <w:bCs w:val="1"/>
          <w:highlight w:val="cyan"/>
          <w:u w:val="single"/>
          <w:rtl w:val="0"/>
        </w:rPr>
        <w:t xml:space="preserve">industry</w:t>
      </w:r>
      <w:r w:rsidDel="00000000" w:rsidR="00000000" w:rsidRPr="00000000">
        <w:rPr>
          <w:rFonts w:ascii="Calibri" w:cs="Calibri" w:eastAsia="Calibri" w:hAnsi="Calibri"/>
          <w:u w:val="single"/>
          <w:rtl w:val="0"/>
        </w:rPr>
        <w:t xml:space="preserve"> remains </w:t>
      </w:r>
      <w:r w:rsidDel="00000000" w:rsidR="00000000" w:rsidRPr="00000000">
        <w:rPr>
          <w:rFonts w:ascii="Calibri" w:cs="Calibri" w:eastAsia="Calibri" w:hAnsi="Calibri"/>
          <w:b w:val="1"/>
          <w:bCs w:val="1"/>
          <w:highlight w:val="cyan"/>
          <w:u w:val="single"/>
          <w:rtl w:val="0"/>
        </w:rPr>
        <w:t xml:space="preserve">underappreciated.</w:t>
      </w: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United States, </w:t>
      </w:r>
      <w:r w:rsidDel="00000000" w:rsidR="00000000" w:rsidRPr="00000000">
        <w:rPr>
          <w:rFonts w:ascii="Calibri" w:cs="Calibri" w:eastAsia="Calibri" w:hAnsi="Calibri"/>
          <w:u w:val="single"/>
          <w:rtl w:val="0"/>
        </w:rPr>
        <w:t xml:space="preserve">the pace of biopharmaceutical </w:t>
      </w:r>
      <w:r w:rsidDel="00000000" w:rsidR="00000000" w:rsidRPr="00000000">
        <w:rPr>
          <w:rFonts w:ascii="Calibri" w:cs="Calibri" w:eastAsia="Calibri" w:hAnsi="Calibri"/>
          <w:highlight w:val="cyan"/>
          <w:u w:val="single"/>
          <w:rtl w:val="0"/>
        </w:rPr>
        <w:t xml:space="preserve">innovation has</w:t>
      </w:r>
      <w:r w:rsidDel="00000000" w:rsidR="00000000" w:rsidRPr="00000000">
        <w:rPr>
          <w:rFonts w:ascii="Calibri" w:cs="Calibri" w:eastAsia="Calibri" w:hAnsi="Calibri"/>
          <w:u w:val="single"/>
          <w:rtl w:val="0"/>
        </w:rPr>
        <w:t xml:space="preserve"> enjoyed </w:t>
      </w:r>
      <w:r w:rsidDel="00000000" w:rsidR="00000000" w:rsidRPr="00000000">
        <w:rPr>
          <w:rFonts w:ascii="Calibri" w:cs="Calibri" w:eastAsia="Calibri" w:hAnsi="Calibri"/>
          <w:b w:val="1"/>
          <w:bCs w:val="1"/>
          <w:highlight w:val="cyan"/>
          <w:u w:val="single"/>
          <w:rtl w:val="0"/>
        </w:rPr>
        <w:t xml:space="preserve">remarkable growth</w:t>
      </w:r>
      <w:r w:rsidDel="00000000" w:rsidR="00000000" w:rsidRPr="00000000">
        <w:rPr>
          <w:rFonts w:ascii="Calibri" w:cs="Calibri" w:eastAsia="Calibri" w:hAnsi="Calibri"/>
          <w:u w:val="single"/>
          <w:rtl w:val="0"/>
        </w:rPr>
        <w:t xml:space="preserve"> over the last decade.</w:t>
      </w:r>
      <w:r w:rsidDel="00000000" w:rsidR="00000000" w:rsidRPr="00000000">
        <w:rPr>
          <w:rFonts w:ascii="Calibri" w:cs="Calibri" w:eastAsia="Calibri" w:hAnsi="Calibri"/>
          <w:sz w:val="16"/>
          <w:szCs w:val="16"/>
          <w:rtl w:val="0"/>
        </w:rPr>
        <w:t xml:space="preserve"> New drug approvals by the Food and Drug Administration increased from 209 between 2000–2008 to 302 between 2009–2017—a 44.5 percent surge. Furthermore, </w:t>
      </w:r>
      <w:r w:rsidDel="00000000" w:rsidR="00000000" w:rsidRPr="00000000">
        <w:rPr>
          <w:rFonts w:ascii="Calibri" w:cs="Calibri" w:eastAsia="Calibri" w:hAnsi="Calibri"/>
          <w:highlight w:val="cyan"/>
          <w:u w:val="single"/>
          <w:rtl w:val="0"/>
        </w:rPr>
        <w:t xml:space="preserve">U.S. firms filed</w:t>
      </w:r>
      <w:r w:rsidDel="00000000" w:rsidR="00000000" w:rsidRPr="00000000">
        <w:rPr>
          <w:rFonts w:ascii="Calibri" w:cs="Calibri" w:eastAsia="Calibri" w:hAnsi="Calibri"/>
          <w:u w:val="single"/>
          <w:rtl w:val="0"/>
        </w:rPr>
        <w:t xml:space="preserve"> nearly </w:t>
      </w:r>
      <w:r w:rsidDel="00000000" w:rsidR="00000000" w:rsidRPr="00000000">
        <w:rPr>
          <w:rFonts w:ascii="Calibri" w:cs="Calibri" w:eastAsia="Calibri" w:hAnsi="Calibri"/>
          <w:highlight w:val="cyan"/>
          <w:u w:val="single"/>
          <w:rtl w:val="0"/>
        </w:rPr>
        <w:t xml:space="preserve">38 percent of global bio</w:t>
      </w:r>
      <w:r w:rsidDel="00000000" w:rsidR="00000000" w:rsidRPr="00000000">
        <w:rPr>
          <w:rFonts w:ascii="Calibri" w:cs="Calibri" w:eastAsia="Calibri" w:hAnsi="Calibri"/>
          <w:u w:val="single"/>
          <w:rtl w:val="0"/>
        </w:rPr>
        <w:t xml:space="preserve">technology </w:t>
      </w:r>
      <w:r w:rsidDel="00000000" w:rsidR="00000000" w:rsidRPr="00000000">
        <w:rPr>
          <w:rFonts w:ascii="Calibri" w:cs="Calibri" w:eastAsia="Calibri" w:hAnsi="Calibri"/>
          <w:highlight w:val="cyan"/>
          <w:u w:val="single"/>
          <w:rtl w:val="0"/>
        </w:rPr>
        <w:t xml:space="preserve">patents</w:t>
      </w:r>
      <w:r w:rsidDel="00000000" w:rsidR="00000000" w:rsidRPr="00000000">
        <w:rPr>
          <w:rFonts w:ascii="Calibri" w:cs="Calibri" w:eastAsia="Calibri" w:hAnsi="Calibri"/>
          <w:sz w:val="16"/>
          <w:szCs w:val="16"/>
          <w:rtl w:val="0"/>
        </w:rPr>
        <w:t xml:space="preserve"> from 2015–2020, </w:t>
      </w:r>
      <w:r w:rsidDel="00000000" w:rsidR="00000000" w:rsidRPr="00000000">
        <w:rPr>
          <w:rFonts w:ascii="Calibri" w:cs="Calibri" w:eastAsia="Calibri" w:hAnsi="Calibri"/>
          <w:highlight w:val="cyan"/>
          <w:u w:val="single"/>
          <w:rtl w:val="0"/>
        </w:rPr>
        <w:t xml:space="preserve">bolstering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U.S.</w:t>
      </w:r>
      <w:r w:rsidDel="00000000" w:rsidR="00000000" w:rsidRPr="00000000">
        <w:rPr>
          <w:rFonts w:ascii="Calibri" w:cs="Calibri" w:eastAsia="Calibri" w:hAnsi="Calibri"/>
          <w:u w:val="single"/>
          <w:rtl w:val="0"/>
        </w:rPr>
        <w:t xml:space="preserve"> biotech industry’s </w:t>
      </w:r>
      <w:r w:rsidDel="00000000" w:rsidR="00000000" w:rsidRPr="00000000">
        <w:rPr>
          <w:rFonts w:ascii="Calibri" w:cs="Calibri" w:eastAsia="Calibri" w:hAnsi="Calibri"/>
          <w:highlight w:val="cyan"/>
          <w:u w:val="single"/>
          <w:rtl w:val="0"/>
        </w:rPr>
        <w:t xml:space="preserve">position </w:t>
      </w:r>
      <w:r w:rsidDel="00000000" w:rsidR="00000000" w:rsidRPr="00000000">
        <w:rPr>
          <w:rFonts w:ascii="Calibri" w:cs="Calibri" w:eastAsia="Calibri" w:hAnsi="Calibri"/>
          <w:b w:val="1"/>
          <w:bCs w:val="1"/>
          <w:highlight w:val="cyan"/>
          <w:u w:val="single"/>
          <w:rtl w:val="0"/>
        </w:rPr>
        <w:t xml:space="preserve">over</w:t>
      </w:r>
      <w:r w:rsidDel="00000000" w:rsidR="00000000" w:rsidRPr="00000000">
        <w:rPr>
          <w:rFonts w:ascii="Calibri" w:cs="Calibri" w:eastAsia="Calibri" w:hAnsi="Calibri"/>
          <w:b w:val="1"/>
          <w:bCs w:val="1"/>
          <w:u w:val="single"/>
          <w:rtl w:val="0"/>
        </w:rPr>
        <w:t xml:space="preserve"> those of </w:t>
      </w:r>
      <w:r w:rsidDel="00000000" w:rsidR="00000000" w:rsidRPr="00000000">
        <w:rPr>
          <w:rFonts w:ascii="Calibri" w:cs="Calibri" w:eastAsia="Calibri" w:hAnsi="Calibri"/>
          <w:b w:val="1"/>
          <w:bCs w:val="1"/>
          <w:highlight w:val="cyan"/>
          <w:u w:val="single"/>
          <w:rtl w:val="0"/>
        </w:rPr>
        <w:t xml:space="preserve">competitors</w:t>
      </w:r>
      <w:r w:rsidDel="00000000" w:rsidR="00000000" w:rsidRPr="00000000">
        <w:rPr>
          <w:rFonts w:ascii="Calibri" w:cs="Calibri" w:eastAsia="Calibri" w:hAnsi="Calibri"/>
          <w:highlight w:val="cyan"/>
          <w:u w:val="single"/>
          <w:rtl w:val="0"/>
        </w:rPr>
        <w:t xml:space="preserve"> such as China, the E</w:t>
      </w:r>
      <w:r w:rsidDel="00000000" w:rsidR="00000000" w:rsidRPr="00000000">
        <w:rPr>
          <w:rFonts w:ascii="Calibri" w:cs="Calibri" w:eastAsia="Calibri" w:hAnsi="Calibri"/>
          <w:u w:val="single"/>
          <w:rtl w:val="0"/>
        </w:rPr>
        <w:t xml:space="preserve">uropean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nion, </w:t>
      </w:r>
      <w:r w:rsidDel="00000000" w:rsidR="00000000" w:rsidRPr="00000000">
        <w:rPr>
          <w:rFonts w:ascii="Calibri" w:cs="Calibri" w:eastAsia="Calibri" w:hAnsi="Calibri"/>
          <w:highlight w:val="cyan"/>
          <w:u w:val="single"/>
          <w:rtl w:val="0"/>
        </w:rPr>
        <w:t xml:space="preserve">Japan, and the United Kingdom.</w:t>
      </w:r>
      <w:r w:rsidDel="00000000" w:rsidR="00000000" w:rsidRPr="00000000">
        <w:rPr>
          <w:rtl w:val="0"/>
        </w:rPr>
      </w:r>
    </w:p>
    <w:p w:rsidR="00000000" w:rsidDel="00000000" w:rsidP="00000000" w:rsidRDefault="00000000" w:rsidRPr="00000000" w14:paraId="0000005B">
      <w:pPr>
        <w:pStyle w:val="Heading4"/>
        <w:spacing w:after="0" w:before="200" w:line="259" w:lineRule="auto"/>
        <w:rPr>
          <w:rFonts w:ascii="Calibri" w:cs="Calibri" w:eastAsia="Calibri" w:hAnsi="Calibri"/>
          <w:b w:val="1"/>
          <w:bCs w:val="1"/>
          <w:color w:val="000000"/>
          <w:sz w:val="26"/>
          <w:szCs w:val="26"/>
        </w:rPr>
      </w:pPr>
      <w:bookmarkStart w:colFirst="0" w:colLast="0" w:name="_mtz7d25dx6fj" w:id="3"/>
      <w:bookmarkEnd w:id="3"/>
      <w:r w:rsidDel="00000000" w:rsidR="00000000" w:rsidRPr="00000000">
        <w:rPr>
          <w:rFonts w:ascii="Calibri" w:cs="Calibri" w:eastAsia="Calibri" w:hAnsi="Calibri"/>
          <w:b w:val="1"/>
          <w:bCs w:val="1"/>
          <w:color w:val="000000"/>
          <w:sz w:val="26"/>
          <w:szCs w:val="26"/>
          <w:rtl w:val="0"/>
        </w:rPr>
        <w:t xml:space="preserve">The impact without new innovation falls on the average person. </w:t>
      </w:r>
    </w:p>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Lichtenberg 19</w:t>
      </w:r>
      <w:r w:rsidDel="00000000" w:rsidR="00000000" w:rsidRPr="00000000">
        <w:rPr>
          <w:rFonts w:ascii="Calibri" w:cs="Calibri" w:eastAsia="Calibri" w:hAnsi="Calibri"/>
          <w:rtl w:val="0"/>
        </w:rPr>
        <w:t xml:space="preserve"> [Frank Lichtenberg, Corresponding Author @ Columbia Graduate School of Business, 03-26-2019, "How many life-years have new drugs saved? A three-way fixed-effects analysis of 66 diseases in 27 countries, 2000–2013," OUP Academic, DOA: 08-30-2026, https://academic.oup.com/inthealth/article/11/5/403/5420236] //USNS</w:t>
      </w:r>
    </w:p>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first set of calculations is shown in Table 3. Calculation of the number of life-years saved before age 85 y is shown in rows 1–3. The mean reduction (which we denote by Φ) in ln(YLL85) in 2013 attributable to drugs launched after 1981 is Φ=β0-11*mean(LAUNCHES_0_11dc,2013)+β12+*mean (LAUNCHES_GE_12dc,2013). The estimated ratio of YLL85 in the absence of new drugs to actual YLL=1/exp(Φ). The estimates imply that, if no new drugs had been launched after 1981, YLL85 in 2013 would have been 2.16 times as high as it actually was. Actual total YLL85 in a subset of 22 countries (listed in Table 4) for which complete 2013 pharmaceutical expenditure data were available was 128.1 million. For the year 2000, the WHO’s Global Health Estimates figure for YLL (based on an age threshold of 91.93 y) is 63% higher than YLL85. </w:t>
      </w:r>
      <w:r w:rsidDel="00000000" w:rsidR="00000000" w:rsidRPr="00000000">
        <w:rPr>
          <w:rFonts w:ascii="Calibri" w:cs="Calibri" w:eastAsia="Calibri" w:hAnsi="Calibri"/>
          <w:u w:val="single"/>
          <w:rtl w:val="0"/>
        </w:rPr>
        <w:t xml:space="preserve">Therefore, the estimates imply that if no new drugs had been launched</w:t>
      </w:r>
      <w:r w:rsidDel="00000000" w:rsidR="00000000" w:rsidRPr="00000000">
        <w:rPr>
          <w:rFonts w:ascii="Calibri" w:cs="Calibri" w:eastAsia="Calibri" w:hAnsi="Calibri"/>
          <w:sz w:val="16"/>
          <w:szCs w:val="16"/>
          <w:rtl w:val="0"/>
        </w:rPr>
        <w:t xml:space="preserve"> after 1981, </w:t>
      </w:r>
      <w:r w:rsidDel="00000000" w:rsidR="00000000" w:rsidRPr="00000000">
        <w:rPr>
          <w:rFonts w:ascii="Calibri" w:cs="Calibri" w:eastAsia="Calibri" w:hAnsi="Calibri"/>
          <w:u w:val="single"/>
          <w:rtl w:val="0"/>
        </w:rPr>
        <w:t xml:space="preserve">YLL85</w:t>
      </w:r>
      <w:r w:rsidDel="00000000" w:rsidR="00000000" w:rsidRPr="00000000">
        <w:rPr>
          <w:rFonts w:ascii="Calibri" w:cs="Calibri" w:eastAsia="Calibri" w:hAnsi="Calibri"/>
          <w:sz w:val="16"/>
          <w:szCs w:val="16"/>
          <w:rtl w:val="0"/>
        </w:rPr>
        <w:t xml:space="preserve"> in 2013 </w:t>
      </w:r>
      <w:r w:rsidDel="00000000" w:rsidR="00000000" w:rsidRPr="00000000">
        <w:rPr>
          <w:rFonts w:ascii="Calibri" w:cs="Calibri" w:eastAsia="Calibri" w:hAnsi="Calibri"/>
          <w:u w:val="single"/>
          <w:rtl w:val="0"/>
        </w:rPr>
        <w:t xml:space="preserve">would have been </w:t>
      </w:r>
      <w:r w:rsidDel="00000000" w:rsidR="00000000" w:rsidRPr="00000000">
        <w:rPr>
          <w:rFonts w:ascii="Calibri" w:cs="Calibri" w:eastAsia="Calibri" w:hAnsi="Calibri"/>
          <w:b w:val="1"/>
          <w:bCs w:val="1"/>
          <w:u w:val="single"/>
          <w:rtl w:val="0"/>
        </w:rPr>
        <w:t xml:space="preserve">276.8 mill</w:t>
      </w:r>
      <w:r w:rsidDel="00000000" w:rsidR="00000000" w:rsidRPr="00000000">
        <w:rPr>
          <w:rFonts w:ascii="Calibri" w:cs="Calibri" w:eastAsia="Calibri" w:hAnsi="Calibri"/>
          <w:u w:val="single"/>
          <w:rtl w:val="0"/>
        </w:rPr>
        <w:t xml:space="preserve">ion,</w:t>
      </w:r>
      <w:r w:rsidDel="00000000" w:rsidR="00000000" w:rsidRPr="00000000">
        <w:rPr>
          <w:rFonts w:ascii="Calibri" w:cs="Calibri" w:eastAsia="Calibri" w:hAnsi="Calibri"/>
          <w:sz w:val="16"/>
          <w:szCs w:val="16"/>
          <w:rtl w:val="0"/>
        </w:rPr>
        <w:t xml:space="preserve"> and that </w:t>
      </w:r>
      <w:r w:rsidDel="00000000" w:rsidR="00000000" w:rsidRPr="00000000">
        <w:rPr>
          <w:rFonts w:ascii="Calibri" w:cs="Calibri" w:eastAsia="Calibri" w:hAnsi="Calibri"/>
          <w:highlight w:val="cyan"/>
          <w:u w:val="single"/>
          <w:rtl w:val="0"/>
        </w:rPr>
        <w:t xml:space="preserve">the number of </w:t>
      </w:r>
      <w:r w:rsidDel="00000000" w:rsidR="00000000" w:rsidRPr="00000000">
        <w:rPr>
          <w:rFonts w:ascii="Calibri" w:cs="Calibri" w:eastAsia="Calibri" w:hAnsi="Calibri"/>
          <w:b w:val="1"/>
          <w:bCs w:val="1"/>
          <w:highlight w:val="cyan"/>
          <w:u w:val="single"/>
          <w:rtl w:val="0"/>
        </w:rPr>
        <w:t xml:space="preserve">life-years</w:t>
      </w:r>
      <w:r w:rsidDel="00000000" w:rsidR="00000000" w:rsidRPr="00000000">
        <w:rPr>
          <w:rFonts w:ascii="Calibri" w:cs="Calibri" w:eastAsia="Calibri" w:hAnsi="Calibri"/>
          <w:sz w:val="16"/>
          <w:szCs w:val="16"/>
          <w:rtl w:val="0"/>
        </w:rPr>
        <w:t xml:space="preserve"> before age 85 y </w:t>
      </w:r>
      <w:r w:rsidDel="00000000" w:rsidR="00000000" w:rsidRPr="00000000">
        <w:rPr>
          <w:rFonts w:ascii="Calibri" w:cs="Calibri" w:eastAsia="Calibri" w:hAnsi="Calibri"/>
          <w:highlight w:val="cyan"/>
          <w:u w:val="single"/>
          <w:rtl w:val="0"/>
        </w:rPr>
        <w:t xml:space="preserve">gained</w:t>
      </w:r>
      <w:r w:rsidDel="00000000" w:rsidR="00000000" w:rsidRPr="00000000">
        <w:rPr>
          <w:rFonts w:ascii="Calibri" w:cs="Calibri" w:eastAsia="Calibri" w:hAnsi="Calibri"/>
          <w:u w:val="single"/>
          <w:rtl w:val="0"/>
        </w:rPr>
        <w:t xml:space="preserve"> in 2013 </w:t>
      </w:r>
      <w:r w:rsidDel="00000000" w:rsidR="00000000" w:rsidRPr="00000000">
        <w:rPr>
          <w:rFonts w:ascii="Calibri" w:cs="Calibri" w:eastAsia="Calibri" w:hAnsi="Calibri"/>
          <w:highlight w:val="cyan"/>
          <w:u w:val="single"/>
          <w:rtl w:val="0"/>
        </w:rPr>
        <w:t xml:space="preserve">from drugs launche</w:t>
      </w:r>
      <w:r w:rsidDel="00000000" w:rsidR="00000000" w:rsidRPr="00000000">
        <w:rPr>
          <w:rFonts w:ascii="Calibri" w:cs="Calibri" w:eastAsia="Calibri" w:hAnsi="Calibri"/>
          <w:u w:val="single"/>
          <w:rtl w:val="0"/>
        </w:rPr>
        <w:t xml:space="preserve">d after 1981 </w:t>
      </w:r>
      <w:r w:rsidDel="00000000" w:rsidR="00000000" w:rsidRPr="00000000">
        <w:rPr>
          <w:rFonts w:ascii="Calibri" w:cs="Calibri" w:eastAsia="Calibri" w:hAnsi="Calibri"/>
          <w:highlight w:val="cyan"/>
          <w:u w:val="single"/>
          <w:rtl w:val="0"/>
        </w:rPr>
        <w:t xml:space="preserve">was </w:t>
      </w:r>
      <w:r w:rsidDel="00000000" w:rsidR="00000000" w:rsidRPr="00000000">
        <w:rPr>
          <w:rFonts w:ascii="Calibri" w:cs="Calibri" w:eastAsia="Calibri" w:hAnsi="Calibri"/>
          <w:b w:val="1"/>
          <w:bCs w:val="1"/>
          <w:highlight w:val="cyan"/>
          <w:u w:val="single"/>
          <w:rtl w:val="0"/>
        </w:rPr>
        <w:t xml:space="preserve">148.7 million.</w:t>
      </w: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pageBreakBefore w:val="1"/>
        <w:spacing w:after="160" w:before="480" w:line="259" w:lineRule="auto"/>
        <w:jc w:val="center"/>
        <w:rPr>
          <w:rFonts w:ascii="Calibri" w:cs="Calibri" w:eastAsia="Calibri" w:hAnsi="Calibri"/>
          <w:b w:val="1"/>
          <w:bCs w:val="1"/>
          <w:sz w:val="44"/>
          <w:szCs w:val="44"/>
          <w:u w:val="single"/>
        </w:rPr>
      </w:pPr>
      <w:bookmarkStart w:colFirst="0" w:colLast="0" w:name="_z41vl3umnq95" w:id="4"/>
      <w:bookmarkEnd w:id="4"/>
      <w:r w:rsidDel="00000000" w:rsidR="00000000" w:rsidRPr="00000000">
        <w:rPr>
          <w:rFonts w:ascii="Calibri" w:cs="Calibri" w:eastAsia="Calibri" w:hAnsi="Calibri"/>
          <w:b w:val="1"/>
          <w:bCs w:val="1"/>
          <w:sz w:val="44"/>
          <w:szCs w:val="44"/>
          <w:u w:val="single"/>
          <w:rtl w:val="0"/>
        </w:rPr>
        <w:t xml:space="preserve">2NC---AT: Chips</w:t>
      </w:r>
    </w:p>
    <w:p w:rsidR="00000000" w:rsidDel="00000000" w:rsidP="00000000" w:rsidRDefault="00000000" w:rsidRPr="00000000" w14:paraId="00000060">
      <w:pPr>
        <w:pStyle w:val="Heading4"/>
        <w:keepNext w:val="0"/>
        <w:keepLines w:val="0"/>
        <w:spacing w:after="40" w:before="240" w:lineRule="auto"/>
        <w:rPr>
          <w:rFonts w:ascii="Calibri" w:cs="Calibri" w:eastAsia="Calibri" w:hAnsi="Calibri"/>
          <w:b w:val="1"/>
          <w:bCs w:val="1"/>
          <w:color w:val="000000"/>
          <w:sz w:val="26"/>
          <w:szCs w:val="26"/>
          <w:u w:val="single"/>
        </w:rPr>
      </w:pPr>
      <w:bookmarkStart w:colFirst="0" w:colLast="0" w:name="_wlz80lw1xq57" w:id="5"/>
      <w:bookmarkEnd w:id="5"/>
      <w:r w:rsidDel="00000000" w:rsidR="00000000" w:rsidRPr="00000000">
        <w:rPr>
          <w:rFonts w:ascii="Calibri" w:cs="Calibri" w:eastAsia="Calibri" w:hAnsi="Calibri"/>
          <w:b w:val="1"/>
          <w:bCs w:val="1"/>
          <w:color w:val="000000"/>
          <w:sz w:val="26"/>
          <w:szCs w:val="26"/>
          <w:rtl w:val="0"/>
        </w:rPr>
        <w:t xml:space="preserve">Chip production is hitting </w:t>
      </w:r>
      <w:r w:rsidDel="00000000" w:rsidR="00000000" w:rsidRPr="00000000">
        <w:rPr>
          <w:rFonts w:ascii="Calibri" w:cs="Calibri" w:eastAsia="Calibri" w:hAnsi="Calibri"/>
          <w:b w:val="1"/>
          <w:bCs w:val="1"/>
          <w:color w:val="000000"/>
          <w:sz w:val="26"/>
          <w:szCs w:val="26"/>
          <w:u w:val="single"/>
          <w:rtl w:val="0"/>
        </w:rPr>
        <w:t xml:space="preserve">historic peaks.</w:t>
      </w:r>
    </w:p>
    <w:p w:rsidR="00000000" w:rsidDel="00000000" w:rsidP="00000000" w:rsidRDefault="00000000" w:rsidRPr="00000000" w14:paraId="00000061">
      <w:pPr>
        <w:spacing w:after="160" w:line="256.8"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Deloitte 25</w:t>
      </w:r>
      <w:r w:rsidDel="00000000" w:rsidR="00000000" w:rsidRPr="00000000">
        <w:rPr>
          <w:rFonts w:ascii="Calibri" w:cs="Calibri" w:eastAsia="Calibri" w:hAnsi="Calibri"/>
          <w:rtl w:val="0"/>
        </w:rPr>
        <w:t xml:space="preserve">, [Deloitte, 12/15/25, global professional services network and industry analyst, "2026 semiconductor industry outlook," Deloitte Insights. DOA: 9/11/2026</w:t>
      </w:r>
      <w:hyperlink r:id="rId11">
        <w:r w:rsidDel="00000000" w:rsidR="00000000" w:rsidRPr="00000000">
          <w:rPr>
            <w:rFonts w:ascii="Calibri" w:cs="Calibri" w:eastAsia="Calibri" w:hAnsi="Calibri"/>
            <w:rtl w:val="0"/>
          </w:rPr>
          <w:t xml:space="preserve"> </w:t>
        </w:r>
      </w:hyperlink>
      <w:hyperlink r:id="rId12">
        <w:r w:rsidDel="00000000" w:rsidR="00000000" w:rsidRPr="00000000">
          <w:rPr>
            <w:rFonts w:ascii="Calibri" w:cs="Calibri" w:eastAsia="Calibri" w:hAnsi="Calibri"/>
            <w:color w:val="1155cc"/>
            <w:u w:val="single"/>
            <w:rtl w:val="0"/>
          </w:rPr>
          <w:t xml:space="preserve">https://www.deloitte.com/us/en/insights/industry/technology/technology-media-telecom-outlooks/semiconductor-industry-outlook.html</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62">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semiconductor industry is navigating a high-stakes paradox in 2026. While soaring artificial intelligence-driven demand is pushing revenues to unprecedented levels, this boom has its risks. The industry seems to have placed all its eggs in the AI basket, which may be fine if the AI boom continues. But the industry should also consider planning for scenarios in which AI demand slows or shrinks.</w:t>
      </w:r>
    </w:p>
    <w:p w:rsidR="00000000" w:rsidDel="00000000" w:rsidP="00000000" w:rsidRDefault="00000000" w:rsidRPr="00000000" w14:paraId="00000063">
      <w:pPr>
        <w:spacing w:after="160" w:line="256.8"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global </w:t>
      </w:r>
      <w:r w:rsidDel="00000000" w:rsidR="00000000" w:rsidRPr="00000000">
        <w:rPr>
          <w:rFonts w:ascii="Calibri" w:cs="Calibri" w:eastAsia="Calibri" w:hAnsi="Calibri"/>
          <w:highlight w:val="cyan"/>
          <w:u w:val="single"/>
          <w:rtl w:val="0"/>
        </w:rPr>
        <w:t xml:space="preserve">semiconductor industry</w:t>
      </w:r>
      <w:r w:rsidDel="00000000" w:rsidR="00000000" w:rsidRPr="00000000">
        <w:rPr>
          <w:rFonts w:ascii="Calibri" w:cs="Calibri" w:eastAsia="Calibri" w:hAnsi="Calibri"/>
          <w:u w:val="single"/>
          <w:rtl w:val="0"/>
        </w:rPr>
        <w:t xml:space="preserve"> is expected to reach </w:t>
      </w:r>
      <w:r w:rsidDel="00000000" w:rsidR="00000000" w:rsidRPr="00000000">
        <w:rPr>
          <w:rFonts w:ascii="Calibri" w:cs="Calibri" w:eastAsia="Calibri" w:hAnsi="Calibri"/>
          <w:b w:val="1"/>
          <w:bCs w:val="1"/>
          <w:highlight w:val="cyan"/>
          <w:u w:val="single"/>
          <w:rtl w:val="0"/>
        </w:rPr>
        <w:t xml:space="preserve">US$975 billion</w:t>
      </w:r>
      <w:r w:rsidDel="00000000" w:rsidR="00000000" w:rsidRPr="00000000">
        <w:rPr>
          <w:rFonts w:ascii="Calibri" w:cs="Calibri" w:eastAsia="Calibri" w:hAnsi="Calibri"/>
          <w:u w:val="single"/>
          <w:rtl w:val="0"/>
        </w:rPr>
        <w:t xml:space="preserve"> in annual sales in 2026, a </w:t>
      </w:r>
      <w:r w:rsidDel="00000000" w:rsidR="00000000" w:rsidRPr="00000000">
        <w:rPr>
          <w:rFonts w:ascii="Calibri" w:cs="Calibri" w:eastAsia="Calibri" w:hAnsi="Calibri"/>
          <w:highlight w:val="cyan"/>
          <w:u w:val="single"/>
          <w:rtl w:val="0"/>
        </w:rPr>
        <w:t xml:space="preserve">historic peak</w:t>
      </w:r>
      <w:r w:rsidDel="00000000" w:rsidR="00000000" w:rsidRPr="00000000">
        <w:rPr>
          <w:rFonts w:ascii="Calibri" w:cs="Calibri" w:eastAsia="Calibri" w:hAnsi="Calibri"/>
          <w:sz w:val="16"/>
          <w:szCs w:val="16"/>
          <w:rtl w:val="0"/>
        </w:rPr>
        <w:t xml:space="preserve"> fueled by an intensifying AI infrastructure boom (figure 1).1 </w:t>
      </w:r>
      <w:r w:rsidDel="00000000" w:rsidR="00000000" w:rsidRPr="00000000">
        <w:rPr>
          <w:rFonts w:ascii="Calibri" w:cs="Calibri" w:eastAsia="Calibri" w:hAnsi="Calibri"/>
          <w:u w:val="single"/>
          <w:rtl w:val="0"/>
        </w:rPr>
        <w:t xml:space="preserve">Growth reached 22% in 2025 and is projected to </w:t>
      </w:r>
      <w:r w:rsidDel="00000000" w:rsidR="00000000" w:rsidRPr="00000000">
        <w:rPr>
          <w:rFonts w:ascii="Calibri" w:cs="Calibri" w:eastAsia="Calibri" w:hAnsi="Calibri"/>
          <w:highlight w:val="cyan"/>
          <w:u w:val="single"/>
          <w:rtl w:val="0"/>
        </w:rPr>
        <w:t xml:space="preserve">accelerate to 26%</w:t>
      </w:r>
      <w:r w:rsidDel="00000000" w:rsidR="00000000" w:rsidRPr="00000000">
        <w:rPr>
          <w:rFonts w:ascii="Calibri" w:cs="Calibri" w:eastAsia="Calibri" w:hAnsi="Calibri"/>
          <w:u w:val="single"/>
          <w:rtl w:val="0"/>
        </w:rPr>
        <w:t xml:space="preserve"> in 2026, and even if growth moderates thereafter, annual sales of US$2 trillion seem likely by 2036. </w:t>
      </w:r>
      <w:r w:rsidDel="00000000" w:rsidR="00000000" w:rsidRPr="00000000">
        <w:rPr>
          <w:rFonts w:ascii="Calibri" w:cs="Calibri" w:eastAsia="Calibri" w:hAnsi="Calibri"/>
          <w:sz w:val="16"/>
          <w:szCs w:val="16"/>
          <w:rtl w:val="0"/>
        </w:rPr>
        <w:t xml:space="preserve">However, this record growth masks a stark structural divergence. While high-value AI chips now drive roughly half of total revenue, they represent less than 0.2% of total unit volume.2 Another divergence is that, as AI chips are booming, chips for automotive, computers, smartphones, and non–data center communications applications are seeing relatively slower growth.3 At the time of publication, Deloitte predicts that generative AI chips will approach US$500 billion in revenue in 2026, or roughly half of global chip sales.5 Further, AMD CEO Lisa Su has raised her estimate for the total addressable market of AI accelerator chips for data centers to US$1 trillion by 2030.6</w:t>
      </w:r>
    </w:p>
    <w:p w:rsidR="00000000" w:rsidDel="00000000" w:rsidP="00000000" w:rsidRDefault="00000000" w:rsidRPr="00000000" w14:paraId="00000064">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2025, an estimated 1.05 trillion chips were sold at an average selling price of US$0.74 per chip.7 At a rough estimate, although gen AI chips are likely to account for about 50% of industry revenues in 2026, they are less than 20 million chips, or roughly 0.2% of total volume.8 Even though global chip revenues in 2025 are expected to rise 22%, silicon-wafer shipments increased by only an estimated 5.4% for the year.9</w:t>
      </w:r>
    </w:p>
    <w:p w:rsidR="00000000" w:rsidDel="00000000" w:rsidP="00000000" w:rsidRDefault="00000000" w:rsidRPr="00000000" w14:paraId="00000065">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terms of key end markets, personal computing device and smartphone sales, which were anticipated to grow in 2025,10 are now expected to decline in 2026 due to rising memory prices.11 Revenues for memory in 2026 are likely to be about US$200 billion, or 25% of total semiconductor revenues for the year.12 Memory is notoriously cyclical, and makers appear cautious about overbuilding. As a result, they are increasing capital expenditures only modestly, with much of that going to research and development for new products rather than massively ramping capacity.13 Therefore, the growth in demand for HBM3 (High Bandwidth Memory 3), HBM4, and DDR7 memory for AI inference and training solutions has caused shortages of consumer memory, such as DDR4 and DDR5; prices for these products were up about 4x between September and November 2025.14 Predicting memory supply, demand, and pricing is hard, but some suggest that the current tightness in consumer memory could last a decade.15 Further price increases are likely in quarters one and two of 2026, perhaps as much as another 50%, with, for example, one popular memory configuration reaching US$700 by March 2026, up from US$250 in October 2025.16</w:t>
      </w:r>
    </w:p>
    <w:p w:rsidR="00000000" w:rsidDel="00000000" w:rsidP="00000000" w:rsidRDefault="00000000" w:rsidRPr="00000000" w14:paraId="00000066">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concentration of value appears to have contributed to a shift in market dynamics. As manufacturers prioritize the specialized hardware required for AI training and inference, the resulting “zero-sum” competition for wafer and packaging capacity is already disrupting downstream sectors. For leadership, the 2026 mandate moves beyond simply capturing AI demand to managing the systemic risks of a high-margin, low-volume paradigm, where severe shortages in essential components such as memory are projected to drive 50% price spikes by mid-year and redraw the global supply chain map.</w:t>
      </w:r>
    </w:p>
    <w:p w:rsidR="00000000" w:rsidDel="00000000" w:rsidP="00000000" w:rsidRDefault="00000000" w:rsidRPr="00000000" w14:paraId="00000067">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Capitalizing on the AI data center boom in 2026 … with caution The chip market is heavily exposed to AI chips for data centers, with up to roughly half of industry revenues expected to come from that market in 2026.17 But what might prevent that from happening? And what could that mean for the semiconductor industry, especially if non–data center markets such as the PC, smartphone, and automotive sectors remain weak?</w:t>
      </w:r>
    </w:p>
    <w:p w:rsidR="00000000" w:rsidDel="00000000" w:rsidP="00000000" w:rsidRDefault="00000000" w:rsidRPr="00000000" w14:paraId="00000068">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First, those expectations are unlikely to change in 2026. The chips have already been ordered and are in backlog, data centers are under construction, and the numbers for the next 12 months are likely solid. But 2027 and 2028 could diverge sharply from current expectations for reasons noted below:</w:t>
      </w:r>
    </w:p>
    <w:p w:rsidR="00000000" w:rsidDel="00000000" w:rsidP="00000000" w:rsidRDefault="00000000" w:rsidRPr="00000000" w14:paraId="00000069">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Return on investment: Most organizations building data centers don’t expect to recoup all their money in the first year. But over five- to 15-year periods, there should be reliable revenue flows whose present value generates some level of return for investors. If monetization of AI looks like it may take longer or be lower than expected, data center projects could be canceled or postponed, with an adverse impact on chip sales. Power: AI data centers are expected to need 92 gigawatts of additional electric power by 2027.18 That power may not be available from the grid, and while some “behind-the-meter” gas generation was feasible in 2025, turbines are sold out going forward, making future gas generation increasingly challenging.19 Securing data center permits may get difficult due to the risk of rising electricity rates for consumers. Innovation: Every generation of chips becomes substantially more efficient, likely making the incumbent installed base more of a liability than an asset. AI models used for training and inference appear, over time, to become more efficient and need less computational demand (or “compute,” to industry insiders) for the same tasks.20 These trends may already be baked into data center capex plans, but an orders-of-magnitude breakthrough in either could mean the need for fewer or cheaper chips. Pricing: AI chips are currently expensive and command high margins.21 If new competitive chips are introduced at lower prices, this could have a deflationary effect on the overall chip market, especially pricing. What could some or all of the above mean for the chip industry over the next one to three years?</w:t>
      </w:r>
    </w:p>
    <w:p w:rsidR="00000000" w:rsidDel="00000000" w:rsidP="00000000" w:rsidRDefault="00000000" w:rsidRPr="00000000" w14:paraId="0000006A">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Money and market impact: Chip designers and manufacturers that currently benefit from AI tailwinds could face headwinds. Revenue growth could decrease or turn negative. Earnings could be lower. Price-to-earnings and price-to-sales multiples could fall, and market caps could decline.</w:t>
      </w:r>
    </w:p>
    <w:p w:rsidR="00000000" w:rsidDel="00000000" w:rsidP="00000000" w:rsidRDefault="00000000" w:rsidRPr="00000000" w14:paraId="0000006B">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Fabs, tools, design tools, and more: Since AI chips are high in value but low in volume, a decline in revenues would likely have relatively little impact on companies that manufacture chips or the tools used to make them. Even if AI-chip volumes fall, because AI chips make up a small part of manufacturing capacity, it likely wouldn’t mean that fabs go idle. That said, companies producing certain types of packaging, memory, power, and communications semiconductors could be affected.</w:t>
      </w:r>
    </w:p>
    <w:p w:rsidR="00000000" w:rsidDel="00000000" w:rsidP="00000000" w:rsidRDefault="00000000" w:rsidRPr="00000000" w14:paraId="0000006C">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Strategic questions to consider If AI chip demand slows in 2026 or beyond, how can chip companies effectively adapt while maintaining high cash levels and low debt alongside their capital spending commitments? Computing chips, memory solutions, and packaging products used in AI data centers are fairly special-purpose in nature. Should data center demand experience a fall or correction, what other end-market opportunities are available for AI chipmakers to pivot toward? Where and how can advanced memory and advanced logic manufacturing capacity be redirected if AI chip demand starts to correct in 2026? The race for system-level performance: Compute, memory, and network connectivity With AI data center workloads forecast to triple or quadruple annually between 2026 and 2030,22 chip- and system-level integration will be required to enable system performance in hyperscale data centers. As Deloitte has predicted, chiplets are addressing chip-level performance needs in AI data centers, delivering yield, bandwidth, and energy-efficiency benefits.23 Chip manufacturers in 2026 are likely to increasingly integrate HBM closer to logic chiplets, either on silicon interposers or in 3D stacks, allowing data to move much faster between processors—graphics processing units (GPUs) and neural processing units (NPUs)—and memory (HBM stacks), at multiple terabytes per second, while being more energy efficient (lower joules per bit and lower watts per token).24 Additionally, co-packaged optics (CPO) will likely gain traction in data center switches, enabling higher aggregate bandwidth per rack with a lower Ethernet/InfiniBand switch footprint.25 High-bandwidth flash, which can support faster scale-up (within a server rack) and scale-out (across multiple racks and systems), will likely experience more demand in 2026, especially as AI workloads shift from training to inference.26</w:t>
      </w:r>
    </w:p>
    <w:p w:rsidR="00000000" w:rsidDel="00000000" w:rsidP="00000000" w:rsidRDefault="00000000" w:rsidRPr="00000000" w14:paraId="0000006D">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However, as traditional copper Ethernet network designs are unable to meet AI workloads, which generate massive east-west traffic between GPUs, optical interconnects (both CPO and linear pluggable optics, or LPO) are likely to see greater adoption in 2026.27 AI network fabric spending is expected to grow at a compound annual growth rate of 38% between 2024 and 2029 (figure 2).28 As AI data center networks scale to 51.2 terabits per second and above switching capacities—within and across racks and clusters—it’s not only critical to integrate the various components (memory stacks, compute systems, and rack-scale networks) but also to re-assess the use of copper or traditional pluggables, which could adversely impact power consumption and bandwidth or take up too much space. This is where CPO and LPO can address those gaps in 2026, as they help shorten electrical paths, reduce power consumption by 30% to 50%, and offer higher bandwidth and better total cost of ownership. 29 Some hyperscalers are using advanced network chips from merchant silicon vendors and disaggregated hardware models in order to develop their own custom topologies on top of those solutions.30 However, in 2026, the industry could increasingly pivot to software-defined network fabrics that integrate compute and networking into a single, vertically integrated solution, given the benefits of superior performance, better orchestration, and lower total cost of ownership.</w:t>
      </w:r>
    </w:p>
    <w:p w:rsidR="00000000" w:rsidDel="00000000" w:rsidP="00000000" w:rsidRDefault="00000000" w:rsidRPr="00000000" w14:paraId="0000006E">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as cloud hyperscalers, AI network companies, foundries, and outsourced semiconductor assembly and test (OSAT) facilities race to address complex heterogeneous system integration challenges, they need to contend with the difficulties involved in next-generation back-end assembly and test processes. For instance, every chip product needs to pass through specific process steps such as molding, singulation, thermal management, and bumping. These steps require specialized packaging expertise and statistical process control skills that are scarce in the United States and Europe.31 As a result, talent constraints in advanced packaging may continue to hinder regional goals of achieving greater semiconductor autonomy, even as volume-based back-end capacity expands further in Asia.32</w:t>
      </w:r>
    </w:p>
    <w:p w:rsidR="00000000" w:rsidDel="00000000" w:rsidP="00000000" w:rsidRDefault="00000000" w:rsidRPr="00000000" w14:paraId="0000006F">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Strategic questions to consider Could sourcing and procurement be disrupted by materials constraints (supply and availability of substrates, memory, and interconnects); geopolitics (assembly and test capacities and suppliers in vulnerable regions); and the talent pipeline for test and packaging engineers? As foundries and integrated device manufacturers (IDMs) deploy advanced technologies like chip-on-wafer-on-substrate and hybrid bonding to bring HBM closer to compute, could traditional OSAT models get commoditized? To what extent should there be investments in next-generation interconnects such as CPO, LPO, photonics, and chiplet-based networking, and where and how can AI be applied to accelerate design cycles for these complex heterogeneous systems? The rise of creative AI investments and deals that enable vertical integration Strategic alliances among the broader AI, semiconductor, and cloud infrastructure providers have heralded a new AI computing capital cycle. Investments made in 2025 will likely continue or accelerate in 2026, creating a funding and demand ecosystem where capital and computing resources flow back and forth among companies mainly involved in AI model development, AI accelerator design, production, packaging, and data center infrastructure.33 For instance, an investing company (typically a chip hardware, platform, or cloud infrastructure provider) may invest billions of dollars in an AI startup to accelerate the development of solutions. In return, the AI startup would rapidly incubate and accelerate new product development and, in turn, buy the investing company’s computing resources and infrastructure offerings. These moves have become a way for chip companies to achieve vertical integration across the AI data center stack.</w:t>
      </w:r>
    </w:p>
    <w:p w:rsidR="00000000" w:rsidDel="00000000" w:rsidP="00000000" w:rsidRDefault="00000000" w:rsidRPr="00000000" w14:paraId="00000070">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Besides AI training and inference workloads,34 another factor driving the surge in the semiconductor industry’s investment activity is the geopolitical imperative, even as governments and businesses want to influence regional technology infrastructure.35 Many governments consider AI models, chip design intellectual property, and leading AI accelerators to be critical to national security, supply chain resilience, and tech sovereignty.36 Increasingly, governments are seeking to secure these capabilities through export control measures to help bolster local and regional availability of leading-edge AI chip manufacturing capabilities,37 so that homegrown chipmakers can expand their market presence. Concurrently, they’re seeking to find a balance between limiting the export of strategic AI and technology products by allowing some of the advanced chips to be exported. For example, the US government in December 2025 approved NVIDIA to sell H200 AI chips to a set of approved customers in China, in return for a 25% share in NVIDIA’s chip sales.38 In the midst of these developments, Europe appears caught between US export controls (restricting advanced chip sales to China) and China’s countermeasures.</w:t>
      </w:r>
    </w:p>
    <w:p w:rsidR="00000000" w:rsidDel="00000000" w:rsidP="00000000" w:rsidRDefault="00000000" w:rsidRPr="00000000" w14:paraId="00000071">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tech and chip majors continue to pursue this new form of vertical integration (referred to as circular financing by some industry analysts), the semiconductor industry’s capital allocation strategies may need to shift from capacity- to capability-driven models, with an emphasis on achieving AI system-level differentiation. In 2026 and beyond, chip companies should not only consider expanding the breadth and scope of their operations by establishing more AI fabs or developing new AI chip platforms, but also foster strategic partnerships and make direct investments to build an ecosystem around their fab or chip platforms.</w:t>
      </w:r>
    </w:p>
    <w:p w:rsidR="00000000" w:rsidDel="00000000" w:rsidP="00000000" w:rsidRDefault="00000000" w:rsidRPr="00000000" w14:paraId="00000072">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Traditional volume-based foundries may want to integrate advanced packaging capabilities. OSATs could codesign chiplets with integrated device manufacturers and design players, while electronic design automation companies and foundries could benefit from collaborating closely with wafer-fab front-end equipment providers. As chip industry executives look for ways to deploy their cash strategically, they should consider assessing talent needs and skill availability, core competencies, and partner models that are more region- or country-specific. This assessment should also include non-AI market opportunities by focusing on mature chip nodes to address automotive and electric vehicle, aerospace and defense, manufacturing, and power infrastructure markets—many of which could be specific to the countries in which they operate.</w:t>
      </w:r>
    </w:p>
    <w:p w:rsidR="00000000" w:rsidDel="00000000" w:rsidP="00000000" w:rsidRDefault="00000000" w:rsidRPr="00000000" w14:paraId="00000073">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Strategic questions to consider With billions of dollars already flowing into AI computing and data center infrastructure capacity expansion, how can capital be deployed not only to build more capacity but also toward scaling power generation (including carbon-free sources) to support that expansion? When deploying capital, have organizations evaluated various factors, including geopolitical trade-related risks and policy shifts such as import duties, export controls, and localization moves; supply chain concentration risks such as substrates, chemicals and gases, and other materials and components; supplier and partner models such as multi-foundry or multi-cloud vendor partnerships; and talent availability? How to balance investments between leading-edge logic and memory manufacturing and packaging and the continued need for trailing-node fabrication, equipment, and assembly and test? Signposts for the future For 2026, semiconductor industry executives should be mindful of the following signposts:</w:t>
      </w:r>
    </w:p>
    <w:p w:rsidR="00000000" w:rsidDel="00000000" w:rsidP="00000000" w:rsidRDefault="00000000" w:rsidRPr="00000000" w14:paraId="00000074">
      <w:pPr>
        <w:spacing w:after="160" w:line="256.8"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Current leaders in AI GPUs, CPUs, and memory may find it challenging to maintain their dominant market share in the face of new entrants and the shift from AI training to inference. One view is that a growing pie is big enough for everyone, while others will be looking for signs that it’s more of a zero-sum game. </w:t>
      </w:r>
      <w:r w:rsidDel="00000000" w:rsidR="00000000" w:rsidRPr="00000000">
        <w:rPr>
          <w:rFonts w:ascii="Calibri" w:cs="Calibri" w:eastAsia="Calibri" w:hAnsi="Calibri"/>
          <w:highlight w:val="cyan"/>
          <w:u w:val="single"/>
          <w:rtl w:val="0"/>
        </w:rPr>
        <w:t xml:space="preserve">DRAM capex</w:t>
      </w:r>
      <w:r w:rsidDel="00000000" w:rsidR="00000000" w:rsidRPr="00000000">
        <w:rPr>
          <w:rFonts w:ascii="Calibri" w:cs="Calibri" w:eastAsia="Calibri" w:hAnsi="Calibri"/>
          <w:u w:val="single"/>
          <w:rtl w:val="0"/>
        </w:rPr>
        <w:t xml:space="preserve"> is expected to </w:t>
      </w:r>
      <w:r w:rsidDel="00000000" w:rsidR="00000000" w:rsidRPr="00000000">
        <w:rPr>
          <w:rFonts w:ascii="Calibri" w:cs="Calibri" w:eastAsia="Calibri" w:hAnsi="Calibri"/>
          <w:b w:val="1"/>
          <w:bCs w:val="1"/>
          <w:highlight w:val="cyan"/>
          <w:u w:val="single"/>
          <w:rtl w:val="0"/>
        </w:rPr>
        <w:t xml:space="preserve">rise 14%</w:t>
      </w:r>
      <w:r w:rsidDel="00000000" w:rsidR="00000000" w:rsidRPr="00000000">
        <w:rPr>
          <w:rFonts w:ascii="Calibri" w:cs="Calibri" w:eastAsia="Calibri" w:hAnsi="Calibri"/>
          <w:u w:val="single"/>
          <w:rtl w:val="0"/>
        </w:rPr>
        <w:t xml:space="preserve"> and NAND flash capex by 5% to US$61 billion and US$21 billion, respectively.39 Given the end-of-year surge in prices, those numbers could spike higher, meeting near-term demand, but possibly </w:t>
      </w:r>
      <w:r w:rsidDel="00000000" w:rsidR="00000000" w:rsidRPr="00000000">
        <w:rPr>
          <w:rFonts w:ascii="Calibri" w:cs="Calibri" w:eastAsia="Calibri" w:hAnsi="Calibri"/>
          <w:highlight w:val="cyan"/>
          <w:u w:val="single"/>
          <w:rtl w:val="0"/>
        </w:rPr>
        <w:t xml:space="preserve">building overcapacity</w:t>
      </w:r>
      <w:r w:rsidDel="00000000" w:rsidR="00000000" w:rsidRPr="00000000">
        <w:rPr>
          <w:rFonts w:ascii="Calibri" w:cs="Calibri" w:eastAsia="Calibri" w:hAnsi="Calibri"/>
          <w:u w:val="single"/>
          <w:rtl w:val="0"/>
        </w:rPr>
        <w:t xml:space="preserve"> in the industry, yet again.</w:t>
      </w:r>
    </w:p>
    <w:p w:rsidR="00000000" w:rsidDel="00000000" w:rsidP="00000000" w:rsidRDefault="00000000" w:rsidRPr="00000000" w14:paraId="00000075">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Increasing volume and value of deals that involve complex revenue-sharing agreements or compute-for-equity swaps could exert pressure on future profitability and ROI for AI model developers and data center infrastructure players, as tech debt mounts further. As North America, Europe, the Middle East, and Japan intend to ramp up their own domestic chip production capabilities, foreign direct investment into the rest of Asia may be affected. As a corollary, regions may diverge more: For instance, Southeast Asia and India will likely emerge as volume-based back-end assembly and test hubs, specializing in select areas of the back-end processes. While Taiwan, the United States, Japan, and parts of Europe may focus on heterogeneous integration and advanced packaging, though, at varying levels of specialization. As overall AI data center buildouts continue to expand, it may further constrain electric power grids.40 Therefore, cloud and semiconductor companies that will likely stand to benefit will be those that proactively invested in or factored power generation capacity and availability, while those that didn’t consider power as part of the overall equation could experience execution challenges.</w:t>
      </w:r>
    </w:p>
    <w:p w:rsidR="00000000" w:rsidDel="00000000" w:rsidP="00000000" w:rsidRDefault="00000000" w:rsidRPr="00000000" w14:paraId="00000076">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stock market is often a leading indicator of industry performance. As of mid-December 2025, the combined market capitalization of the top 10 global chip companies was US$9.5 trillion, up 46% from US$6.5 trillion in mid-December 2024 and 181% from US$3.4 trillion in mid-December 2023.4 Further, the market cap is highly concentrated, with the top three chip stocks accounting for 80% of that total.</w:t>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79">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deloitte.com/us/en/insights/industry/technology/technology-media-telecom-outlooks/semiconductor-industry-outlook.html" TargetMode="External"/><Relationship Id="rId10" Type="http://schemas.openxmlformats.org/officeDocument/2006/relationships/hyperlink" Target="https://pmc.ncbi.nlm.nih.gov/articles/PMC12449654/" TargetMode="External"/><Relationship Id="rId12" Type="http://schemas.openxmlformats.org/officeDocument/2006/relationships/hyperlink" Target="https://www.deloitte.com/us/en/insights/industry/technology/technology-media-telecom-outlooks/semiconductor-industry-outlook.html" TargetMode="External"/><Relationship Id="rId9" Type="http://schemas.openxmlformats.org/officeDocument/2006/relationships/hyperlink" Target="https://pmc.ncbi.nlm.nih.gov/articles/PMC12449654/" TargetMode="External"/><Relationship Id="rId5" Type="http://schemas.openxmlformats.org/officeDocument/2006/relationships/styles" Target="styles.xml"/><Relationship Id="rId6" Type="http://schemas.openxmlformats.org/officeDocument/2006/relationships/hyperlink" Target="https://rmi.org/resources/fast-flexible-solutions-for-data-centers/" TargetMode="External"/><Relationship Id="rId7" Type="http://schemas.openxmlformats.org/officeDocument/2006/relationships/hyperlink" Target="https://jacobin.com/2026/04/ai-data-center-moratorium-democracy" TargetMode="External"/><Relationship Id="rId8" Type="http://schemas.openxmlformats.org/officeDocument/2006/relationships/hyperlink" Target="https://www.bu.edu/eci/files/2019/06/MAC_2e_Chapter_1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