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R2 UKSO University CC vs. Valley Christian HX</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6zxcu47s9jbg" w:id="0"/>
    <w:bookmarkEnd w:id="0"/>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1"/>
      <w:bookmarkEnd w:id="1"/>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2"/>
      <w:bookmarkEnd w:id="2"/>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r w:rsidDel="00000000" w:rsidR="00000000" w:rsidRPr="00000000">
        <w:rPr>
          <w:rtl w:val="0"/>
        </w:rPr>
      </w:r>
    </w:p>
    <w:p w:rsidR="00000000" w:rsidDel="00000000" w:rsidP="00000000" w:rsidRDefault="00000000" w:rsidRPr="00000000" w14:paraId="000000A7">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2AC—O/V</w:t>
      </w:r>
    </w:p>
    <w:p w:rsidR="00000000" w:rsidDel="00000000" w:rsidP="00000000" w:rsidRDefault="00000000" w:rsidRPr="00000000" w14:paraId="000000A8">
      <w:pPr>
        <w:pStyle w:val="Heading4"/>
        <w:spacing w:after="160" w:before="200" w:line="259" w:lineRule="auto"/>
        <w:rPr>
          <w:rFonts w:ascii="Calibri" w:cs="Calibri" w:eastAsia="Calibri" w:hAnsi="Calibri"/>
          <w:b w:val="1"/>
          <w:bCs w:val="1"/>
          <w:color w:val="000000"/>
          <w:sz w:val="26"/>
          <w:szCs w:val="26"/>
        </w:rPr>
      </w:pPr>
      <w:bookmarkStart w:colFirst="0" w:colLast="0" w:name="_5t8k4s6hcfq8" w:id="3"/>
      <w:bookmarkEnd w:id="3"/>
      <w:r w:rsidDel="00000000" w:rsidR="00000000" w:rsidRPr="00000000">
        <w:rPr>
          <w:rFonts w:ascii="Calibri" w:cs="Calibri" w:eastAsia="Calibri" w:hAnsi="Calibri"/>
          <w:b w:val="1"/>
          <w:bCs w:val="1"/>
          <w:color w:val="000000"/>
          <w:sz w:val="26"/>
          <w:szCs w:val="26"/>
          <w:rtl w:val="0"/>
        </w:rPr>
        <w:t xml:space="preserve">1] It's </w:t>
      </w:r>
      <w:r w:rsidDel="00000000" w:rsidR="00000000" w:rsidRPr="00000000">
        <w:rPr>
          <w:rFonts w:ascii="Calibri" w:cs="Calibri" w:eastAsia="Calibri" w:hAnsi="Calibri"/>
          <w:b w:val="1"/>
          <w:bCs w:val="1"/>
          <w:color w:val="000000"/>
          <w:sz w:val="26"/>
          <w:szCs w:val="26"/>
          <w:u w:val="single"/>
          <w:rtl w:val="0"/>
        </w:rPr>
        <w:t xml:space="preserve">only one state</w:t>
      </w:r>
      <w:r w:rsidDel="00000000" w:rsidR="00000000" w:rsidRPr="00000000">
        <w:rPr>
          <w:rFonts w:ascii="Calibri" w:cs="Calibri" w:eastAsia="Calibri" w:hAnsi="Calibri"/>
          <w:b w:val="1"/>
          <w:bCs w:val="1"/>
          <w:color w:val="000000"/>
          <w:sz w:val="26"/>
          <w:szCs w:val="26"/>
          <w:rtl w:val="0"/>
        </w:rPr>
        <w:t xml:space="preserve"> that has actually pulled the trigger - New York - while everyone else is </w:t>
      </w:r>
      <w:r w:rsidDel="00000000" w:rsidR="00000000" w:rsidRPr="00000000">
        <w:rPr>
          <w:rFonts w:ascii="Calibri" w:cs="Calibri" w:eastAsia="Calibri" w:hAnsi="Calibri"/>
          <w:b w:val="1"/>
          <w:bCs w:val="1"/>
          <w:color w:val="000000"/>
          <w:sz w:val="26"/>
          <w:szCs w:val="26"/>
          <w:u w:val="single"/>
          <w:rtl w:val="0"/>
        </w:rPr>
        <w:t xml:space="preserve">still just talking about it</w:t>
      </w:r>
      <w:r w:rsidDel="00000000" w:rsidR="00000000" w:rsidRPr="00000000">
        <w:rPr>
          <w:rtl w:val="0"/>
        </w:rPr>
      </w:r>
    </w:p>
    <w:p w:rsidR="00000000" w:rsidDel="00000000" w:rsidP="00000000" w:rsidRDefault="00000000" w:rsidRPr="00000000" w14:paraId="000000A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DLA Piper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Matt Klepper, Neal Kronley, Joseph Stefano, Soorim Choi, and Ashley Kim, attorneys @ DLA Piper (global law firm), 7-1-2026, "New York State Legislature passes first-in-the-nation data center moratorium: Top points," DLA Piper. DOA: 9-7-2026 https://www.dlapiper.com/en-us/insights/publications/2026/07/new-york-state-legislature-passes-first-in-the-nation-data-center-moratorium //za2</w:t>
      </w:r>
    </w:p>
    <w:p w:rsidR="00000000" w:rsidDel="00000000" w:rsidP="00000000" w:rsidRDefault="00000000" w:rsidRPr="00000000" w14:paraId="000000A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New York State Legislature has passed the Responsible Data Center Development Act (S10642/A11560), imposing a one-year moratorium on state permits for new large data centers with peak demand of 20 megawatts (MW) or more.</w:t>
      </w:r>
      <w:r w:rsidDel="00000000" w:rsidR="00000000" w:rsidRPr="00000000">
        <w:rPr>
          <w:rtl w:val="0"/>
        </w:rPr>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cleared the Senate 44–16 and the Assembly 102-39 on June 4, 2026. If the bill is signed by Governor Kathy Hochul, who has not yet announced a position, </w:t>
      </w:r>
      <w:r w:rsidDel="00000000" w:rsidR="00000000" w:rsidRPr="00000000">
        <w:rPr>
          <w:rFonts w:ascii="Calibri" w:cs="Calibri" w:eastAsia="Calibri" w:hAnsi="Calibri"/>
          <w:b w:val="1"/>
          <w:bCs w:val="1"/>
          <w:highlight w:val="cyan"/>
          <w:u w:val="single"/>
          <w:rtl w:val="0"/>
        </w:rPr>
        <w:t xml:space="preserve">New York </w:t>
      </w:r>
      <w:r w:rsidDel="00000000" w:rsidR="00000000" w:rsidRPr="00000000">
        <w:rPr>
          <w:rFonts w:ascii="Calibri" w:cs="Calibri" w:eastAsia="Calibri" w:hAnsi="Calibri"/>
          <w:b w:val="1"/>
          <w:bCs w:val="1"/>
          <w:u w:val="single"/>
          <w:rtl w:val="0"/>
        </w:rPr>
        <w:t xml:space="preserve">would become</w:t>
      </w:r>
      <w:r w:rsidDel="00000000" w:rsidR="00000000" w:rsidRPr="00000000">
        <w:rPr>
          <w:rFonts w:ascii="Calibri" w:cs="Calibri" w:eastAsia="Calibri" w:hAnsi="Calibri"/>
          <w:b w:val="1"/>
          <w:bCs w:val="1"/>
          <w:highlight w:val="cyan"/>
          <w:u w:val="single"/>
          <w:rtl w:val="0"/>
        </w:rPr>
        <w:t xml:space="preserve"> the first state to enact a statewide data center moratorium.</w:t>
      </w:r>
      <w:r w:rsidDel="00000000" w:rsidR="00000000" w:rsidRPr="00000000">
        <w:rPr>
          <w:rtl w:val="0"/>
        </w:rPr>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we discussed in our February 2026 alert, "New York proposes moratorium on data center permits," the legislature originally introduced Senate Bill S.9144, which would have imposed a moratorium of at least three years and required a Generic Environmental Impact Statement with nine regional public hearings before the pause could be lifted.</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act that ultimately passed represents a compromise, shortened to one year, but retains and, in some cases, expands the earlier bill's focus on environmental review, cost allocation, and ratepayer protection. It reflects a broader national movement in which communities and state governments are reassessing data center development in light of concerns over energy costs, water use, grid strain, and community impacts.</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Key provisions of the act</w:t>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Moratorium scope. For one year from the effective date, the Department of Environmental Conservation (DEC) may not issue any permit, certificate, license, or other approval for a large data center. The freeze does not apply to modifications or renewals of existing approvals, nor to projects that have commenced construction before the law takes effect. Unlike the original S.9144 proposal, which would have applied to additional permits for data centers already under construction but not yet operational, the act exempts any project that has commenced construction by the effective date. Threshold structure. The act uses three thresholds: data centers with peak demand of 1 MW or more, covered data centers with peak demand of 5 MW or more, and large data centers with peak demand of 20 MW or more. Only large data centers are subject to the DEC permitting moratorium, but 5 MW facilities are subject to renewable energy and labor requirements, and data centers generally are subject to energy-efficiency goals. Environmental review and public hearings. DEC must prepare a statewide environmental impact report within 18 months, examining energy use, water consumption, land use, pollution, and impacts on disadvantaged communities. Future large data center approvals would require at least one in-person public hearing in the host community, with 30 days' advance notice and detailed disclosures regarding energy, water, wastewater, and public incentives. The report deadline does not appear to extend the moratorium automatically: The moratorium provision independently bars DEC approvals only until one year after the effective date, while the final report is due within 18 months after enactment. Cost allocation and credit support. Utilities would be required to create separate service classifications for large data centers, assigning infrastructure upgrades, administrative and operational costs, rate-of-return costs, agency and municipal implementation costs, and commodity-price increases attributable to large data centers to that class rather than other ratepayers. The Public Service Commission (PSC) must ensure new or modified classifications and adjustment mechanisms are fully implemented by June 1, 2030, and the bill authorizes financial surety requirements such as insurance, guarantees, surety bonds, letters of credit, or self-insurance. Renewable energy mandates. Data centers with peak load of 5 MW or more would need to demonstrate, through annual third-party independent verification that is acceptable to the PSC, that at least one-third of their electricity consumption is derived from renewable energy from 2030 through 2034, two-thirds from 2035 through 2039, and 90 percent in 2040 and thereafter. They also must demonstrate that they derive as much of their energy needs as is technologically, environmentally, and practically feasible from on-site renewable generation. The act does not address whether renewable energy credits (RECs) satisfy compliance. Community benefits and labor standards. New large data centers – and expansions adding 20 MW or more – would fund host-community benefit programs and measures addressing water pollution, wastewater strain, water scarcity, and related water impacts. The PSC must begin a proceeding within 90 days to establish that program, including community engagement and host-community preference mechanisms. Separately, construction or expansion of a covered data center (5 MW or more) would be subject to prevailing-wage requirements, apprenticeship or workforce-training obligations, building-service prevailing wage, and domestic iron and steel requirements.</w:t>
      </w:r>
      <w:r w:rsidDel="00000000" w:rsidR="00000000" w:rsidRPr="00000000">
        <w:rPr>
          <w:rtl w:val="0"/>
        </w:rPr>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national landscape</w:t>
      </w:r>
      <w:r w:rsidDel="00000000" w:rsidR="00000000" w:rsidRPr="00000000">
        <w:rPr>
          <w:rtl w:val="0"/>
        </w:rPr>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highlight w:val="cyan"/>
          <w:u w:val="single"/>
          <w:rtl w:val="0"/>
        </w:rPr>
        <w:t xml:space="preserve">300 data center-related bills have been filed across more than 30 states in 2026</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highlight w:val="cyan"/>
          <w:u w:val="single"/>
          <w:rtl w:val="0"/>
        </w:rPr>
        <w:t xml:space="preserve">at least 12 states have considered moratorium legislation</w:t>
      </w:r>
      <w:r w:rsidDel="00000000" w:rsidR="00000000" w:rsidRPr="00000000">
        <w:rPr>
          <w:rFonts w:ascii="Calibri" w:cs="Calibri" w:eastAsia="Calibri" w:hAnsi="Calibri"/>
          <w:sz w:val="16"/>
          <w:szCs w:val="16"/>
          <w:rtl w:val="0"/>
        </w:rPr>
        <w:t xml:space="preserve"> ; and more than 100 local moratoria have been adopted nationwide. An estimated $64 billion in projects have been blocked or delayed by community opposition.</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Virginia, 15 data center bills were enacted this session, and a court invalidated project approvals in Prince William County on procedural grounds. In Georgia, multiple counties adopted moratoria or zoning restrictions. </w:t>
      </w:r>
      <w:r w:rsidDel="00000000" w:rsidR="00000000" w:rsidRPr="00000000">
        <w:rPr>
          <w:rFonts w:ascii="Calibri" w:cs="Calibri" w:eastAsia="Calibri" w:hAnsi="Calibri"/>
          <w:b w:val="1"/>
          <w:bCs w:val="1"/>
          <w:highlight w:val="cyan"/>
          <w:u w:val="single"/>
          <w:rtl w:val="0"/>
        </w:rPr>
        <w:t xml:space="preserve">Maine's legislature passed a moratorium in April 2026, but Governor Janet Mills vetoed it.</w:t>
      </w:r>
      <w:r w:rsidDel="00000000" w:rsidR="00000000" w:rsidRPr="00000000">
        <w:rPr>
          <w:rFonts w:ascii="Calibri" w:cs="Calibri" w:eastAsia="Calibri" w:hAnsi="Calibri"/>
          <w:sz w:val="16"/>
          <w:szCs w:val="16"/>
          <w:rtl w:val="0"/>
        </w:rPr>
        <w:t xml:space="preserve"> In Texas, </w:t>
      </w:r>
      <w:r w:rsidDel="00000000" w:rsidR="00000000" w:rsidRPr="00000000">
        <w:rPr>
          <w:rFonts w:ascii="Calibri" w:cs="Calibri" w:eastAsia="Calibri" w:hAnsi="Calibri"/>
          <w:b w:val="1"/>
          <w:bCs w:val="1"/>
          <w:highlight w:val="cyan"/>
          <w:u w:val="single"/>
          <w:rtl w:val="0"/>
        </w:rPr>
        <w:t xml:space="preserve">Hill County briefly enacted a one-year moratorium in May 2026 but rescinded it on June 4, 2026 after a developer sued</w:t>
      </w:r>
      <w:r w:rsidDel="00000000" w:rsidR="00000000" w:rsidRPr="00000000">
        <w:rPr>
          <w:rFonts w:ascii="Calibri" w:cs="Calibri" w:eastAsia="Calibri" w:hAnsi="Calibri"/>
          <w:sz w:val="16"/>
          <w:szCs w:val="16"/>
          <w:rtl w:val="0"/>
        </w:rPr>
        <w:t xml:space="preserve"> ; the county replaced it with a project-review checklist. At the federal level, a moratorium bill has been introduced in the Senate, though passage remains uncertain.</w:t>
      </w:r>
    </w:p>
    <w:p w:rsidR="00000000" w:rsidDel="00000000" w:rsidP="00000000" w:rsidRDefault="00000000" w:rsidRPr="00000000" w14:paraId="000000B5">
      <w:pPr>
        <w:pStyle w:val="Heading4"/>
        <w:spacing w:after="160" w:before="200" w:line="259" w:lineRule="auto"/>
        <w:rPr>
          <w:rFonts w:ascii="Calibri" w:cs="Calibri" w:eastAsia="Calibri" w:hAnsi="Calibri"/>
          <w:b w:val="1"/>
          <w:bCs w:val="1"/>
          <w:color w:val="000000"/>
          <w:sz w:val="26"/>
          <w:szCs w:val="26"/>
        </w:rPr>
      </w:pPr>
      <w:bookmarkStart w:colFirst="0" w:colLast="0" w:name="_3y48dkf06jvf" w:id="4"/>
      <w:bookmarkEnd w:id="4"/>
      <w:r w:rsidDel="00000000" w:rsidR="00000000" w:rsidRPr="00000000">
        <w:rPr>
          <w:rFonts w:ascii="Calibri" w:cs="Calibri" w:eastAsia="Calibri" w:hAnsi="Calibri"/>
          <w:b w:val="1"/>
          <w:bCs w:val="1"/>
          <w:color w:val="000000"/>
          <w:sz w:val="26"/>
          <w:szCs w:val="26"/>
          <w:rtl w:val="0"/>
        </w:rPr>
        <w:t xml:space="preserve">2] Congress kills almost every bill it touches - industry's own model legislation clears a </w:t>
      </w:r>
      <w:r w:rsidDel="00000000" w:rsidR="00000000" w:rsidRPr="00000000">
        <w:rPr>
          <w:rFonts w:ascii="Calibri" w:cs="Calibri" w:eastAsia="Calibri" w:hAnsi="Calibri"/>
          <w:b w:val="1"/>
          <w:bCs w:val="1"/>
          <w:color w:val="000000"/>
          <w:sz w:val="26"/>
          <w:szCs w:val="26"/>
          <w:u w:val="single"/>
          <w:rtl w:val="0"/>
        </w:rPr>
        <w:t xml:space="preserve">state legislature nearly five times more easily</w:t>
      </w:r>
      <w:r w:rsidDel="00000000" w:rsidR="00000000" w:rsidRPr="00000000">
        <w:rPr>
          <w:rFonts w:ascii="Calibri" w:cs="Calibri" w:eastAsia="Calibri" w:hAnsi="Calibri"/>
          <w:b w:val="1"/>
          <w:bCs w:val="1"/>
          <w:color w:val="000000"/>
          <w:sz w:val="26"/>
          <w:szCs w:val="26"/>
          <w:rtl w:val="0"/>
        </w:rPr>
        <w:t xml:space="preserve"> than the average bill clears Congress</w:t>
      </w:r>
    </w:p>
    <w:p w:rsidR="00000000" w:rsidDel="00000000" w:rsidP="00000000" w:rsidRDefault="00000000" w:rsidRPr="00000000" w14:paraId="000000B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Jackman 13</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Molly Jackman, then a Governance Studies fellow @ The Brookings Institution, Ph.D. in political science, 12-6-2013, "ALEC's Influence over Lawmaking in State Legislatures," Brookings. DOA: 9-7-2026 https://www.brookings.edu/articles/alecs-influence-over-lawmaking-in-state-legislatures/ //za2</w:t>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marks the close of the annual policy summit of the American Legislative Exchange Council (ALEC) in Washington D.C. ALEC is known for writing model legislation with major industries and then encouraging their introduction – through their legislative partners – in statehouses nationwide. What ALEC does during its closed-door meetings is largely a mystery. This week, ALEC opened its doors to the Washington media – who quickly found the most important doors slamming in their faces. Not only are their meetings private, but so too are their legislative successes and failures. Specifically, we do not know where ALEC's model bills inspired the introduction and passage of new legislation. In other words, ALEC could have a tremendous influence over lawmaking in the American states, or it could have none at all – we just don't know. The goal of this article is to begin to fill the gap in our knowledge.</w:t>
      </w:r>
      <w:r w:rsidDel="00000000" w:rsidR="00000000" w:rsidRPr="00000000">
        <w:rPr>
          <w:rtl w:val="0"/>
        </w:rPr>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Given the pervasive gridlock in Congress, key legislative change is occurring predominantly in the states.</w:t>
      </w:r>
      <w:r w:rsidDel="00000000" w:rsidR="00000000" w:rsidRPr="00000000">
        <w:rPr>
          <w:rFonts w:ascii="Calibri" w:cs="Calibri" w:eastAsia="Calibri" w:hAnsi="Calibri"/>
          <w:sz w:val="16"/>
          <w:szCs w:val="16"/>
          <w:rtl w:val="0"/>
        </w:rPr>
        <w:t xml:space="preserve"> It is, then, all the more important to know who is affecting which bills are introduced in the state legislatures, and which bills pass. Using text analysis, I find where bills based on ALEC model legislation are introduced in the statehouses during the 2011-2012 session and track their progress in the legislative process.</w:t>
      </w:r>
      <w:r w:rsidDel="00000000" w:rsidR="00000000" w:rsidRPr="00000000">
        <w:rPr>
          <w:rtl w:val="0"/>
        </w:rPr>
      </w:r>
    </w:p>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My findings are threefold. First, ALEC model bills are, word-for-word, introduced in our state legislatures at a non-trivial rate. Second, </w:t>
      </w:r>
      <w:r w:rsidDel="00000000" w:rsidR="00000000" w:rsidRPr="00000000">
        <w:rPr>
          <w:rFonts w:ascii="Calibri" w:cs="Calibri" w:eastAsia="Calibri" w:hAnsi="Calibri"/>
          <w:u w:val="single"/>
          <w:rtl w:val="0"/>
        </w:rPr>
        <w:t xml:space="preserve">they have a good chance – better than most legislation – of being enacted into law.</w:t>
      </w:r>
      <w:r w:rsidDel="00000000" w:rsidR="00000000" w:rsidRPr="00000000">
        <w:rPr>
          <w:rFonts w:ascii="Calibri" w:cs="Calibri" w:eastAsia="Calibri" w:hAnsi="Calibri"/>
          <w:sz w:val="16"/>
          <w:szCs w:val="16"/>
          <w:rtl w:val="0"/>
        </w:rPr>
        <w:t xml:space="preserve"> Finally, the bills that pass are most often linked to controversial social and economic issues. In the end, I argue that this is not good for ALEC, its corporate partners, or for the democratic process.</w:t>
      </w:r>
      <w:r w:rsidDel="00000000" w:rsidR="00000000" w:rsidRPr="00000000">
        <w:rPr>
          <w:rtl w:val="0"/>
        </w:rPr>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American Legislative Exchange Council (ALEC) is a national policy organization that "provides a constructive forum for state legislators and private sector leaders to discuss and exchange practical, state-level public policy issues." (ALEC website). ALEC members, including state legislators and corporate representatives, meet in task forces on specific issue areas (i.e., environment and energy, worker's rights, etc.) and collaborate to write model legislation. Once the task force completes a model bill it is approved by the ALEC membership and governing board. Once bills clear those hurdles, they become official ALEC "model policies," which are disseminated to state legislators.</w:t>
      </w:r>
      <w:r w:rsidDel="00000000" w:rsidR="00000000" w:rsidRPr="00000000">
        <w:rPr>
          <w:rtl w:val="0"/>
        </w:rPr>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is notoriously secretive about the process by which members draft and approve model legislation. A recent Washington Post article by Dana Milbank detailed the closed-door policy at ALEC's annual policy summit. My own attempts to contact ALEC staff in order to understand the model bill drafting process were unsuccessful.</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does list on its website all official ALEC policies (though it does not say – and representatives claim not to have collected – information on where those policies have been introduced in the states). However, there is reason to believe that the list is incomplete. The ALEC board reviews the status of every piece of model legislation every five years, and adds and removes model bills from the website periodically. It is not surprising, then, that the Castle Doctrine (a.k.a. Stand Your Ground) was removed from the ALEC website following the public scrutiny that arose during the Trayvon Martin trial.</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Thus, obtaining a complete list of ALEC model bills and their rates of introduction and success in the U.S. statehouses requires a nuanced data collection strategy.</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discussed in the previous section, ALEC's public list of model bills is not complete – and may include some of their most controversial and influential bills. Rather than relying on the organization's own list, I turned to a third party website: ALEC Exposed. ALEC Exposed, a subsidiary of PR Watch, tracks all ALEC activity and keeps a list of the most significant ALEC model legislation approved between 2010 and 2013. From the ALEC Exposed database, I collected information on the 169 model bills that they tag as most significant, covering each of the nine ALEC task force areas.</w:t>
      </w:r>
      <w:r w:rsidDel="00000000" w:rsidR="00000000" w:rsidRPr="00000000">
        <w:rPr>
          <w:rtl w:val="0"/>
        </w:rPr>
      </w:r>
    </w:p>
    <w:p w:rsidR="00000000" w:rsidDel="00000000" w:rsidP="00000000" w:rsidRDefault="00000000" w:rsidRPr="00000000" w14:paraId="000000B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Using the text from those 169 model bills, I used Boolean string searches in LEXIS to find bills with the same language that were introduced in the 2011-2012 legislative session. In total, I recovered 132 bills. I then coded a variety of features of those bills including their state and chamber of origin, sponsors' party identification and connections to ALEC, and legislative history.</w:t>
      </w:r>
      <w:r w:rsidDel="00000000" w:rsidR="00000000" w:rsidRPr="00000000">
        <w:rPr>
          <w:rtl w:val="0"/>
        </w:rPr>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ALEC Bills Introduced During the 2011-2012 legislative session, 132 bills based on ALEC models were introduced in the states. Democrats sponsored nearly 10% of those bills, while Republicans sponsored more than 90%. Nearly two-thirds of those bills were introduced in state lower chambers, while only 34% were introduced in upper chambers. Of those legislators who sponsored ALEC model legislation, 57% can be explicitly connected to ALEC. However, that does not necessarily preclude the other legislators from having ALEC ties; ALEC does not disclose the names of their legislative members, so this figure is based primarily on information from leaked documents. ALEC model language appeared in bills in 34 states (see Figure 1). Those bills were most common in West Virginia, where legislators introduced 10 bills based on ALEC model legislation. Both the Oklahoma and Mississippi legislatures considered nine ALEC bills, Arizona eight, and Kansas and Montana saw seven apiece. One feature that separates ALEC from other lobbying ventures is that it partners with corporations whose interests span the space of conservative issues. This is reflected in the fact that legislation introduced based on ALEC models covers a variety of seemingly-unrelated subjects (see Figure 2). Most common were bills pertaining to immigration and the environment, followed by those relating to guns and crime. The now-infamous Castle Doctrine Act was introduced in nine chambers and was, thus, one of the more common pieces of ALEC legislation to appear in the statehouses. The five most common ALEC model bills introduced in the state legislatures include: Table 1: Top 5 ALEC Model Bills Introduced in the States. ALEC Model Bill / # of States Introduced / Description. No Sanctuary Cities for Illegal Immigrants Act / 23 / Closely resembles Arizona's SB1070 law in that it mandates local law enforcement of federal immigration law, and allows private citizens to sue their local government if they feel the law is not being fully enforced. In addition, it further criminalizes the employment of illegal immigrants, and creates a crime of "trespassing" on state land without immigration status, and a crime of having an illegal immigrant in one's vehicle, among other provisions. The Disclosure of Hydraulic Fracturing Fluid Composition Act / 10 / Requires the disclosure of fluid used in the production of natural gas through hydraulic fracturing. It would also allow operators not to disclose any materials that are considered a "trade secret" or present incidentally in the hydraulic fluid, and would limit the ability of individuals to challenge a the operator's claim to trade secret protection. Castle Doctrine Act / 9 / Also commonly referred to as "Stand Your Ground" legislation, this act authorizes the deadly use of force against an intruder in a residence or vehicle. It declares that a person has a right to stand his or her ground under reasonable fear of great bodily harm. It also reduces the grounds under which law enforcement may investigate the use of deadly force under these circumstances. ALEC State Withdrawal from Regional Climate Change Initiative / 9 / Declares the lack of benefit to reducing carbon emissions in the state that would adopt it, and would provide that state reasonable cover to withdraw from a regional climate initiative. Consistency of Firearm Regulation / 9 / Prohibits local jurisdictions from independently enacting restrictions on the possession of firearms. This bill would also preempt the right of local jurisdictions to bring certain civil actions against firearms or ammunition manufacturers, trade associations, and dealers.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the 132 ALEC model bills introduced, 12 were enacted. One additional bill passed the New Hampshire legislature only to be vetoed by the governor. Now, a </w:t>
      </w:r>
      <w:r w:rsidDel="00000000" w:rsidR="00000000" w:rsidRPr="00000000">
        <w:rPr>
          <w:rFonts w:ascii="Calibri" w:cs="Calibri" w:eastAsia="Calibri" w:hAnsi="Calibri"/>
          <w:b w:val="1"/>
          <w:bCs w:val="1"/>
          <w:highlight w:val="cyan"/>
          <w:u w:val="single"/>
          <w:rtl w:val="0"/>
        </w:rPr>
        <w:t xml:space="preserve">success rate of 9% may not seem high upon first glance. However, consider the fact that, in the 112th session of the U.S. Congress, less than 2% of introduced bills passed.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That means that bills based on ALEC policies have a survival rate nearly 5 times that of the average bill in Congress.</w:t>
      </w:r>
      <w:r w:rsidDel="00000000" w:rsidR="00000000" w:rsidRPr="00000000">
        <w:rPr>
          <w:rtl w:val="0"/>
        </w:rPr>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Table 2 summarizes the ALEC policies that were passed in the 2011-2012 session. Republicans sponsored all of the enacted bills, and 7 of those sponsors have explicit ties to ALEC. Two states – Pennsylvania and Oklahoma – passed the Castle Doctrine. Though the modal ALEC bill introduced in the states was the No Sanctuary Cities for Illegal Immigrants Act, only Alabama passed it. Table 2: ALEC Bills Enacted. Enacting State / ALEC bill / Sponsor / Known ALEC Tie? / Description. Alabama 2011 H.B. 56, No Sanctuary Cities for Illegal Immigrants Act, Rep. Micky Hammon (R) – See Table 1. Arizona 2011 S.B. 1546, Eminent Domain Authority for Federal Lands Act, Senator Al Melvin (R), Yes, Increases the state government's ability to appropriate federal lands (such as wilderness areas or national parks). Arizona 2012 H.B. 2503, Regulary Compliance Congruity with Liability Act, Rep, Kimberly Yee (R), Yes, Increases protection for corporations in product liability suits, and adopts a presumption in favor of the corporate defendant when it can show compliance with governmental standards. Kansas 2011 S.B. 9, Discovery of Electronically Stored Information and Limitations on Waiver of Attorney-Client Privilege, Judiciary Committee – Limits the ability to produce electronically-stored information during discovery. North Carolina 2011 H.B. 542, Regulatory Compliance Congruity With Liability Act, Rep. Johnathan Rhyne (R), Yes, Increases protection for corporations in product liability suits, and adopts a presumption in favor of the corporate defendant when it can show compliance with governmental standards. North Carolina 2011 H.B. 650, Consistency of Firearms Regulation Act, Rep. Mark Hilton (R) – See Table 1. Oklahoma 2011 S.B. 704, Class Actions Improvement Act, Senator Rob Johnson (R), Yes, Limits individual's ability to bring class action suits against large companies by specifying that class action suits cannot seek any monetary relief, and restrict the ability to bring a class action suit with plaintiffs from multiple states. Oklahoma 2011 H.B. 1439, Castle Doctrine Act, Rep. Steve Vaughan (R), Yes, See Table 1. Pennsylvania 2011 H.B. 40, Castle Doctrine Act, Rep. Scott Perry (R) – See Table 1. Tennessee 2011 H.B. 1030, Virtual Public Schools Act, Rep. Harry Brooks (R), Yes, Requires "virtual" or online schools be recognized as public schools and given equal resources as other public schools in the state. Texas 2011 H.B. 3328, The Disclosure of Hydraulic Fracturing Fluid Composition Act, Rep. James Keffer (R), Yes, See Table 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research shows that the American Legislative Exchange Council wields considerable influence in state legislatures. The bills that it writes find their way into the majority of state legislatures. </w:t>
      </w:r>
      <w:r w:rsidDel="00000000" w:rsidR="00000000" w:rsidRPr="00000000">
        <w:rPr>
          <w:rFonts w:ascii="Calibri" w:cs="Calibri" w:eastAsia="Calibri" w:hAnsi="Calibri"/>
          <w:u w:val="single"/>
          <w:rtl w:val="0"/>
        </w:rPr>
        <w:t xml:space="preserve">Moreover, the percentage of those bills that pass is strikingly high compared to the dismal rate at which all other bills are enacted into law.</w:t>
      </w:r>
      <w:r w:rsidDel="00000000" w:rsidR="00000000" w:rsidRPr="00000000">
        <w:rPr>
          <w:rtl w:val="0"/>
        </w:rPr>
      </w:r>
    </w:p>
    <w:p w:rsidR="00000000" w:rsidDel="00000000" w:rsidP="00000000" w:rsidRDefault="00000000" w:rsidRPr="00000000" w14:paraId="000000C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midst of this success, recent controversy over particular ALEC-inspired bills – such as the Castle Doctrine Act (a.k.a. Stand your Ground) – has caused the organization to come under increased scrutiny from journalists, transparency groups, and voters. As a result, almost 400 legislators and 60 corporations have cut ties with ALEC in the last two years, with some now publicly repudiating the organization's methods. Many of ALEC's prominent (former) corporate partners, such as Wal-Mart, General Electric, and McDonald's, were almost certainly displeased with the negative publicity and media criticism sparked by ALEC's foray into hot-button issues like gun control. That involvement damages ALEC's reputation, hindering their typical (corporate-friendly) efforts surrounding manufacturing regulations, court procedures, and environmental laws. ALEC's corporate partners are paying to influence legislators over those issues, which they want introduced and passed quickly and quietly. Dirtying its hands with social issues undermines ALEC's ability to exercise influence over fiscal ones.</w:t>
      </w:r>
      <w:r w:rsidDel="00000000" w:rsidR="00000000" w:rsidRPr="00000000">
        <w:rPr>
          <w:rtl w:val="0"/>
        </w:rPr>
      </w:r>
    </w:p>
    <w:p w:rsidR="00000000" w:rsidDel="00000000" w:rsidP="00000000" w:rsidRDefault="00000000" w:rsidRPr="00000000" w14:paraId="000000C5">
      <w:pPr>
        <w:spacing w:after="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has broader implications for how we think about lobbying. Consolidation of lobbying groups into broader organizations of legislators and corporations increases their reach but also creates significant hazards. Attempting to tie together such a wide range of interests undermines the ability of the umbrella organization to achieve any of its objectives. The bigger you get, the more likely it all is to fall apart. ALEC's Napoleonic reach may turn out to be its undoing.</w:t>
      </w:r>
    </w:p>
    <w:p w:rsidR="00000000" w:rsidDel="00000000" w:rsidP="00000000" w:rsidRDefault="00000000" w:rsidRPr="00000000" w14:paraId="000000C6">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C7">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Innovation</w:t>
      </w:r>
    </w:p>
    <w:p w:rsidR="00000000" w:rsidDel="00000000" w:rsidP="00000000" w:rsidRDefault="00000000" w:rsidRPr="00000000" w14:paraId="000000C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bookmarkStart w:colFirst="0" w:colLast="0" w:name="awhemci895w2" w:id="5"/>
      <w:bookmarkEnd w:id="5"/>
      <w:r w:rsidDel="00000000" w:rsidR="00000000" w:rsidRPr="00000000">
        <w:rPr>
          <w:rFonts w:ascii="Calibri" w:cs="Calibri" w:eastAsia="Calibri" w:hAnsi="Calibri"/>
          <w:b w:val="1"/>
          <w:bCs w:val="1"/>
          <w:color w:val="000000"/>
          <w:sz w:val="26"/>
          <w:szCs w:val="26"/>
          <w:rtl w:val="0"/>
        </w:rPr>
        <w:t xml:space="preserve">The biggest AI breakthrough of the decade came from having </w:t>
      </w:r>
      <w:r w:rsidDel="00000000" w:rsidR="00000000" w:rsidRPr="00000000">
        <w:rPr>
          <w:rFonts w:ascii="Calibri" w:cs="Calibri" w:eastAsia="Calibri" w:hAnsi="Calibri"/>
          <w:b w:val="1"/>
          <w:bCs w:val="1"/>
          <w:color w:val="000000"/>
          <w:sz w:val="26"/>
          <w:szCs w:val="26"/>
          <w:u w:val="single"/>
          <w:rtl w:val="0"/>
        </w:rPr>
        <w:t xml:space="preserve">LESS</w:t>
      </w:r>
      <w:r w:rsidDel="00000000" w:rsidR="00000000" w:rsidRPr="00000000">
        <w:rPr>
          <w:rFonts w:ascii="Calibri" w:cs="Calibri" w:eastAsia="Calibri" w:hAnsi="Calibri"/>
          <w:b w:val="1"/>
          <w:bCs w:val="1"/>
          <w:color w:val="000000"/>
          <w:sz w:val="26"/>
          <w:szCs w:val="26"/>
          <w:rtl w:val="0"/>
        </w:rPr>
        <w:t xml:space="preserve">, not more - constraints made them </w:t>
      </w:r>
      <w:r w:rsidDel="00000000" w:rsidR="00000000" w:rsidRPr="00000000">
        <w:rPr>
          <w:rFonts w:ascii="Calibri" w:cs="Calibri" w:eastAsia="Calibri" w:hAnsi="Calibri"/>
          <w:b w:val="1"/>
          <w:bCs w:val="1"/>
          <w:color w:val="000000"/>
          <w:sz w:val="26"/>
          <w:szCs w:val="26"/>
          <w:u w:val="single"/>
          <w:rtl w:val="0"/>
        </w:rPr>
        <w:t xml:space="preserve">smarter</w:t>
      </w:r>
      <w:r w:rsidDel="00000000" w:rsidR="00000000" w:rsidRPr="00000000">
        <w:rPr>
          <w:rtl w:val="0"/>
        </w:rPr>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Ruwitch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[John Ruwitch, International Correspondent @ NPR, 1-28-2025, "DeepSeek: Did a little-known Chinese startup cause a 'Sputnik moment' for AI?," NPR. DOA: 8-31-2026 https://www.npr.org/2025/01/28/g-s1-45061/deepseek-did-a-little-known-chinese-startup-cause-a-sputnik-moment-for-ai] //za2</w:t>
      </w:r>
    </w:p>
    <w:p w:rsidR="00000000" w:rsidDel="00000000" w:rsidP="00000000" w:rsidRDefault="00000000" w:rsidRPr="00000000" w14:paraId="000000C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Did AI just have a "Sputnik moment"? That's what some investors, after the little-known Chinese startup DeepSeek released a chatbot that experts say holds its own against industry leaders, like OpenAI and Google, </w:t>
      </w:r>
      <w:r w:rsidDel="00000000" w:rsidR="00000000" w:rsidRPr="00000000">
        <w:rPr>
          <w:rFonts w:ascii="Calibri" w:cs="Calibri" w:eastAsia="Calibri" w:hAnsi="Calibri"/>
          <w:highlight w:val="cyan"/>
          <w:u w:val="single"/>
          <w:rtl w:val="0"/>
        </w:rPr>
        <w:t xml:space="preserve">despite being made with </w:t>
      </w:r>
      <w:r w:rsidDel="00000000" w:rsidR="00000000" w:rsidRPr="00000000">
        <w:rPr>
          <w:rFonts w:ascii="Calibri" w:cs="Calibri" w:eastAsia="Calibri" w:hAnsi="Calibri"/>
          <w:b w:val="1"/>
          <w:bCs w:val="1"/>
          <w:highlight w:val="cyan"/>
          <w:u w:val="single"/>
          <w:rtl w:val="0"/>
        </w:rPr>
        <w:t xml:space="preserve">less money and computing power.</w:t>
      </w:r>
      <w:r w:rsidDel="00000000" w:rsidR="00000000" w:rsidRPr="00000000">
        <w:rPr>
          <w:rFonts w:ascii="Calibri" w:cs="Calibri" w:eastAsia="Calibri" w:hAnsi="Calibri"/>
          <w:sz w:val="16"/>
          <w:szCs w:val="16"/>
          <w:rtl w:val="0"/>
        </w:rPr>
        <w:t xml:space="preserve"> Buzz around DeepSeek built into a wave of concern that hammered tech stocks on Monday. It wiped almost $600bn from chipmaker Nvidia's market value.</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iterative or evolutionary, but pathbreaking</w:t>
      </w:r>
      <w:r w:rsidDel="00000000" w:rsidR="00000000" w:rsidRPr="00000000">
        <w:rPr>
          <w:rtl w:val="0"/>
        </w:rPr>
      </w:r>
    </w:p>
    <w:p w:rsidR="00000000" w:rsidDel="00000000" w:rsidP="00000000" w:rsidRDefault="00000000" w:rsidRPr="00000000" w14:paraId="000000C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I think, something that has really shown to some degree how much the U.S. was living in a bubble," said Antonia Hmaidi, a senior analyst at the Mercator Institute for China Studies in Berlin.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OpenAI and companies like OpenAI had really bet on </w:t>
      </w:r>
      <w:r w:rsidDel="00000000" w:rsidR="00000000" w:rsidRPr="00000000">
        <w:rPr>
          <w:rFonts w:ascii="Calibri" w:cs="Calibri" w:eastAsia="Calibri" w:hAnsi="Calibri"/>
          <w:b w:val="1"/>
          <w:bCs w:val="1"/>
          <w:highlight w:val="cyan"/>
          <w:u w:val="single"/>
          <w:rtl w:val="0"/>
        </w:rPr>
        <w:t xml:space="preserve">scaling being sort of infinite,</w:t>
      </w:r>
      <w:r w:rsidDel="00000000" w:rsidR="00000000" w:rsidRPr="00000000">
        <w:rPr>
          <w:rFonts w:ascii="Calibri" w:cs="Calibri" w:eastAsia="Calibri" w:hAnsi="Calibri"/>
          <w:highlight w:val="cyan"/>
          <w:u w:val="single"/>
          <w:rtl w:val="0"/>
        </w:rPr>
        <w:t xml:space="preserve"> and needing to </w:t>
      </w:r>
      <w:r w:rsidDel="00000000" w:rsidR="00000000" w:rsidRPr="00000000">
        <w:rPr>
          <w:rFonts w:ascii="Calibri" w:cs="Calibri" w:eastAsia="Calibri" w:hAnsi="Calibri"/>
          <w:b w:val="1"/>
          <w:bCs w:val="1"/>
          <w:highlight w:val="cyan"/>
          <w:u w:val="single"/>
          <w:rtl w:val="0"/>
        </w:rPr>
        <w:t xml:space="preserve">buy more and more and more chips</w:t>
      </w:r>
      <w:r w:rsidDel="00000000" w:rsidR="00000000" w:rsidRPr="00000000">
        <w:rPr>
          <w:rFonts w:ascii="Calibri" w:cs="Calibri" w:eastAsia="Calibri" w:hAnsi="Calibri"/>
          <w:highlight w:val="cyan"/>
          <w:u w:val="single"/>
          <w:rtl w:val="0"/>
        </w:rPr>
        <w:t xml:space="preserve"> for performance to improve."</w:t>
      </w:r>
      <w:r w:rsidDel="00000000" w:rsidR="00000000" w:rsidRPr="00000000">
        <w:rPr>
          <w:rtl w:val="0"/>
        </w:rPr>
      </w:r>
    </w:p>
    <w:p w:rsidR="00000000" w:rsidDel="00000000" w:rsidP="00000000" w:rsidRDefault="00000000" w:rsidRPr="00000000" w14:paraId="000000C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DeepSeek showed, she said, is that there are different paths.</w:t>
      </w:r>
      <w:r w:rsidDel="00000000" w:rsidR="00000000" w:rsidRPr="00000000">
        <w:rPr>
          <w:rtl w:val="0"/>
        </w:rPr>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says it used a little more than </w:t>
      </w:r>
      <w:r w:rsidDel="00000000" w:rsidR="00000000" w:rsidRPr="00000000">
        <w:rPr>
          <w:rFonts w:ascii="Calibri" w:cs="Calibri" w:eastAsia="Calibri" w:hAnsi="Calibri"/>
          <w:b w:val="1"/>
          <w:bCs w:val="1"/>
          <w:highlight w:val="cyan"/>
          <w:u w:val="single"/>
          <w:rtl w:val="0"/>
        </w:rPr>
        <w:t xml:space="preserve">2,000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Nvidia H800 GPUs to train the bot, and it did so in a matter of weeks for </w:t>
      </w:r>
      <w:r w:rsidDel="00000000" w:rsidR="00000000" w:rsidRPr="00000000">
        <w:rPr>
          <w:rFonts w:ascii="Calibri" w:cs="Calibri" w:eastAsia="Calibri" w:hAnsi="Calibri"/>
          <w:b w:val="1"/>
          <w:bCs w:val="1"/>
          <w:highlight w:val="cyan"/>
          <w:u w:val="single"/>
          <w:rtl w:val="0"/>
        </w:rPr>
        <w:t xml:space="preserve">$5.6 million.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Others have reportedly deployed </w:t>
      </w:r>
      <w:r w:rsidDel="00000000" w:rsidR="00000000" w:rsidRPr="00000000">
        <w:rPr>
          <w:rFonts w:ascii="Calibri" w:cs="Calibri" w:eastAsia="Calibri" w:hAnsi="Calibri"/>
          <w:b w:val="1"/>
          <w:bCs w:val="1"/>
          <w:highlight w:val="cyan"/>
          <w:u w:val="single"/>
          <w:rtl w:val="0"/>
        </w:rPr>
        <w:t xml:space="preserve">10,000 or more GPUs,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spent upwards of </w:t>
      </w:r>
      <w:r w:rsidDel="00000000" w:rsidR="00000000" w:rsidRPr="00000000">
        <w:rPr>
          <w:rFonts w:ascii="Calibri" w:cs="Calibri" w:eastAsia="Calibri" w:hAnsi="Calibri"/>
          <w:b w:val="1"/>
          <w:bCs w:val="1"/>
          <w:highlight w:val="cyan"/>
          <w:u w:val="single"/>
          <w:rtl w:val="0"/>
        </w:rPr>
        <w:t xml:space="preserve">$100 million or more</w:t>
      </w:r>
      <w:r w:rsidDel="00000000" w:rsidR="00000000" w:rsidRPr="00000000">
        <w:rPr>
          <w:rFonts w:ascii="Calibri" w:cs="Calibri" w:eastAsia="Calibri" w:hAnsi="Calibri"/>
          <w:highlight w:val="cyan"/>
          <w:u w:val="single"/>
          <w:rtl w:val="0"/>
        </w:rPr>
        <w:t xml:space="preserve"> to get similar results.</w:t>
      </w:r>
      <w:r w:rsidDel="00000000" w:rsidR="00000000" w:rsidRPr="00000000">
        <w:rPr>
          <w:rtl w:val="0"/>
        </w:rPr>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Marina Zhang, a scholar with University of Technology Sydney, said DeepSeek has also demonstrated a new kind of innovation for China - not iterative or evolutionary, but pathbreaking. "They're not really following existing models," she said.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basically based on </w:t>
      </w:r>
      <w:r w:rsidDel="00000000" w:rsidR="00000000" w:rsidRPr="00000000">
        <w:rPr>
          <w:rFonts w:ascii="Calibri" w:cs="Calibri" w:eastAsia="Calibri" w:hAnsi="Calibri"/>
          <w:b w:val="1"/>
          <w:bCs w:val="1"/>
          <w:highlight w:val="cyan"/>
          <w:u w:val="single"/>
          <w:rtl w:val="0"/>
        </w:rPr>
        <w:t xml:space="preserve">algorithm optimization,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using software to </w:t>
      </w:r>
      <w:r w:rsidDel="00000000" w:rsidR="00000000" w:rsidRPr="00000000">
        <w:rPr>
          <w:rFonts w:ascii="Calibri" w:cs="Calibri" w:eastAsia="Calibri" w:hAnsi="Calibri"/>
          <w:b w:val="1"/>
          <w:bCs w:val="1"/>
          <w:highlight w:val="cyan"/>
          <w:u w:val="single"/>
          <w:rtl w:val="0"/>
        </w:rPr>
        <w:t xml:space="preserve">break through the constraints</w:t>
      </w:r>
      <w:r w:rsidDel="00000000" w:rsidR="00000000" w:rsidRPr="00000000">
        <w:rPr>
          <w:rFonts w:ascii="Calibri" w:cs="Calibri" w:eastAsia="Calibri" w:hAnsi="Calibri"/>
          <w:highlight w:val="cyan"/>
          <w:u w:val="single"/>
          <w:rtl w:val="0"/>
        </w:rPr>
        <w:t xml:space="preserve"> of not enough computational power."</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Have the U.S. chip export controls failed? Those constraints were imposed on China by the United States. In 2022, the Biden Administration banned the export of cutting edge microchips to China, arguing that they could be used to enhance the Chinese military. Zhang said DeepSeek has shown that the chip blockade has not been successful so far. Beijing has been doubling down on a self-reliance drive in tech for several years, pouring money into chip development and other sectors, including AI. Others argue it's too early to say the chip export controls have failed. Gregory Allen, director of the Wadhwani AI Center at the Center for Strategic and International Studies in Washington, said DeepSeek could have acquired all its chips before the effect of the controls started to be felt. In a widely reported 2023 interview, DeepSeek founder Liang Wenfeng said the company had stockpiled some 10,000 Nvidia A100 GPUs - a variety that was put on the U.S. export control list. Experts think those may have been deployed in earlier versions of DeepSeek's model. After the chip blockade started, Nvidia developed a workaround, creating the slightly less powerful H800 GPU, which was legal to sell to China for a time. "We are currently living through the era of the lagging impact of the Biden administration's misfire in that first batch of AI export controls," said Allen. DeepSeek had a window in which it was able to buy H800s - before the administration eventually banned the sale of them to China, too.</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&lt;&lt;&lt;LINE BREAKS RESUME&gt;&gt;&gt;</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"DeepSeek has </w:t>
      </w:r>
      <w:r w:rsidDel="00000000" w:rsidR="00000000" w:rsidRPr="00000000">
        <w:rPr>
          <w:rFonts w:ascii="Calibri" w:cs="Calibri" w:eastAsia="Calibri" w:hAnsi="Calibri"/>
          <w:highlight w:val="cyan"/>
          <w:u w:val="single"/>
          <w:rtl w:val="0"/>
        </w:rPr>
        <w:t xml:space="preserve">discovered some architectural innovations, some </w:t>
      </w:r>
      <w:r w:rsidDel="00000000" w:rsidR="00000000" w:rsidRPr="00000000">
        <w:rPr>
          <w:rFonts w:ascii="Calibri" w:cs="Calibri" w:eastAsia="Calibri" w:hAnsi="Calibri"/>
          <w:b w:val="1"/>
          <w:bCs w:val="1"/>
          <w:highlight w:val="cyan"/>
          <w:u w:val="single"/>
          <w:rtl w:val="0"/>
        </w:rPr>
        <w:t xml:space="preserve">algorithmic innovations</w:t>
      </w:r>
      <w:r w:rsidDel="00000000" w:rsidR="00000000" w:rsidRPr="00000000">
        <w:rPr>
          <w:rFonts w:ascii="Calibri" w:cs="Calibri" w:eastAsia="Calibri" w:hAnsi="Calibri"/>
          <w:highlight w:val="cyan"/>
          <w:u w:val="single"/>
          <w:rtl w:val="0"/>
        </w:rPr>
        <w:t xml:space="preserve"> that sort of increase the number of </w:t>
      </w:r>
      <w:r w:rsidDel="00000000" w:rsidR="00000000" w:rsidRPr="00000000">
        <w:rPr>
          <w:rFonts w:ascii="Calibri" w:cs="Calibri" w:eastAsia="Calibri" w:hAnsi="Calibri"/>
          <w:b w:val="1"/>
          <w:bCs w:val="1"/>
          <w:highlight w:val="cyan"/>
          <w:u w:val="single"/>
          <w:rtl w:val="0"/>
        </w:rPr>
        <w:t xml:space="preserve">IQ points, the amount of intelligence,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a given AI model can get from a given quantity of computational resources,"</w:t>
      </w:r>
      <w:r w:rsidDel="00000000" w:rsidR="00000000" w:rsidRPr="00000000">
        <w:rPr>
          <w:rFonts w:ascii="Calibri" w:cs="Calibri" w:eastAsia="Calibri" w:hAnsi="Calibri"/>
          <w:sz w:val="16"/>
          <w:szCs w:val="16"/>
          <w:rtl w:val="0"/>
        </w:rPr>
        <w:t xml:space="preserve"> he said.</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AI development requires computing power, and the number of advanced GPUs that DeepSeek, or any other Chinese company, can access is limited by the export controls, he said. That will eventually bite. Allen says it means the U.S. has an edge: access to advanced chips without restrictions. "We can copy China's advantages. They cannot copy our advantages. At least not any time soon," he said.</w:t>
      </w:r>
      <w:r w:rsidDel="00000000" w:rsidR="00000000" w:rsidRPr="00000000">
        <w:rPr>
          <w:rtl w:val="0"/>
        </w:rPr>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terms of the hype around DeepSeek developing its near-cutting edge model on the cheap, </w:t>
      </w:r>
      <w:r w:rsidDel="00000000" w:rsidR="00000000" w:rsidRPr="00000000">
        <w:rPr>
          <w:rFonts w:ascii="Calibri" w:cs="Calibri" w:eastAsia="Calibri" w:hAnsi="Calibri"/>
          <w:u w:val="single"/>
          <w:rtl w:val="0"/>
        </w:rPr>
        <w:t xml:space="preserve">Allen said the cost was undoubtedly far north of the reported $5.6 million.</w:t>
      </w:r>
      <w:r w:rsidDel="00000000" w:rsidR="00000000" w:rsidRPr="00000000">
        <w:rPr>
          <w:rFonts w:ascii="Calibri" w:cs="Calibri" w:eastAsia="Calibri" w:hAnsi="Calibri"/>
          <w:sz w:val="16"/>
          <w:szCs w:val="16"/>
          <w:rtl w:val="0"/>
        </w:rPr>
        <w:t xml:space="preserve"> He likened it to the development of a drug. "The cost of developing a new medication is not just the cost of the clinical trial that worked," he said. "It's the cost of all the clinical trials that didn't work. And it's the same with this AI model training run. DeepSeek has published how much it cost them for that final successful training run." It's not known how much the company spent to get to that point, he said.</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Hmaidi says DeepSeek is a "very legitimate triumph of Chinese engineering". But she says it's not yet the threat that many are making it out to be. "I currently don't see how you get a significantly better model with their current pipeline - without more compute," she said. "Personally, I don't think it's a threat to America's AI prowess at this point."</w:t>
      </w:r>
      <w:r w:rsidDel="00000000" w:rsidR="00000000" w:rsidRPr="00000000">
        <w:rPr>
          <w:rtl w:val="0"/>
        </w:rPr>
      </w:r>
    </w:p>
    <w:p w:rsidR="00000000" w:rsidDel="00000000" w:rsidP="00000000" w:rsidRDefault="00000000" w:rsidRPr="00000000" w14:paraId="000000D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bookmarkStart w:colFirst="0" w:colLast="0" w:name="cgfmigk42hbm" w:id="6"/>
      <w:bookmarkEnd w:id="6"/>
      <w:r w:rsidDel="00000000" w:rsidR="00000000" w:rsidRPr="00000000">
        <w:rPr>
          <w:rFonts w:ascii="Calibri" w:cs="Calibri" w:eastAsia="Calibri" w:hAnsi="Calibri"/>
          <w:b w:val="1"/>
          <w:bCs w:val="1"/>
          <w:color w:val="000000"/>
          <w:sz w:val="26"/>
          <w:szCs w:val="26"/>
          <w:rtl w:val="0"/>
        </w:rPr>
        <w:t xml:space="preserve">Constraints breed </w:t>
      </w:r>
      <w:r w:rsidDel="00000000" w:rsidR="00000000" w:rsidRPr="00000000">
        <w:rPr>
          <w:rFonts w:ascii="Calibri" w:cs="Calibri" w:eastAsia="Calibri" w:hAnsi="Calibri"/>
          <w:b w:val="1"/>
          <w:bCs w:val="1"/>
          <w:color w:val="000000"/>
          <w:sz w:val="26"/>
          <w:szCs w:val="26"/>
          <w:u w:val="single"/>
          <w:rtl w:val="0"/>
        </w:rPr>
        <w:t xml:space="preserve">smarter engineering</w:t>
      </w:r>
      <w:r w:rsidDel="00000000" w:rsidR="00000000" w:rsidRPr="00000000">
        <w:rPr>
          <w:rFonts w:ascii="Calibri" w:cs="Calibri" w:eastAsia="Calibri" w:hAnsi="Calibri"/>
          <w:b w:val="1"/>
          <w:bCs w:val="1"/>
          <w:color w:val="000000"/>
          <w:sz w:val="26"/>
          <w:szCs w:val="26"/>
          <w:rtl w:val="0"/>
        </w:rPr>
        <w:t xml:space="preserve"> - a pause forces the </w:t>
      </w:r>
      <w:r w:rsidDel="00000000" w:rsidR="00000000" w:rsidRPr="00000000">
        <w:rPr>
          <w:rFonts w:ascii="Calibri" w:cs="Calibri" w:eastAsia="Calibri" w:hAnsi="Calibri"/>
          <w:b w:val="1"/>
          <w:bCs w:val="1"/>
          <w:color w:val="000000"/>
          <w:sz w:val="26"/>
          <w:szCs w:val="26"/>
          <w:u w:val="single"/>
          <w:rtl w:val="0"/>
        </w:rPr>
        <w:t xml:space="preserve">efficiency innovation</w:t>
      </w:r>
      <w:r w:rsidDel="00000000" w:rsidR="00000000" w:rsidRPr="00000000">
        <w:rPr>
          <w:rFonts w:ascii="Calibri" w:cs="Calibri" w:eastAsia="Calibri" w:hAnsi="Calibri"/>
          <w:b w:val="1"/>
          <w:bCs w:val="1"/>
          <w:color w:val="000000"/>
          <w:sz w:val="26"/>
          <w:szCs w:val="26"/>
          <w:rtl w:val="0"/>
        </w:rPr>
        <w:t xml:space="preserve"> the industry keeps skipping</w:t>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Yousuf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[Mohamed Yousuf, CEO @ Smart Workforce AI, 6-15-2026, "Impacts On the AI Boom If States Enact Data Center Construction Pauses," Finopotamus. DOA: 8-31-2026 https://www.finopotamus.com/post/impacts-on-the-ai-boom-if-states-enact-data-center-construction-pauses] //luke //recut za2</w:t>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pause in data center construction would slow down AI growth in the short term, but not derail it totally. AI companies need computing power, and data centers are a major part of that. But a shortage of power wouldn't lead companies to pull the plug completely.</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law of supply and demand would indicate that a pause in data center construction will lead to immediate pressure on cost and capacity. For companies using AI, that could mean higher costs and slower access to AI resources. For those developing AI, the outcome will likely be higher costs and longer development time.</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But those will be short-term issues.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Over the long term, </w:t>
      </w:r>
      <w:r w:rsidDel="00000000" w:rsidR="00000000" w:rsidRPr="00000000">
        <w:rPr>
          <w:rFonts w:ascii="Calibri" w:cs="Calibri" w:eastAsia="Calibri" w:hAnsi="Calibri"/>
          <w:b w:val="1"/>
          <w:bCs w:val="1"/>
          <w:highlight w:val="cyan"/>
          <w:u w:val="single"/>
          <w:rtl w:val="0"/>
        </w:rPr>
        <w:t xml:space="preserve">necessity will likely prove once again to be the mother of invention.</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 pause on data center development could trigger </w:t>
      </w:r>
      <w:r w:rsidDel="00000000" w:rsidR="00000000" w:rsidRPr="00000000">
        <w:rPr>
          <w:rFonts w:ascii="Calibri" w:cs="Calibri" w:eastAsia="Calibri" w:hAnsi="Calibri"/>
          <w:b w:val="1"/>
          <w:bCs w:val="1"/>
          <w:u w:val="single"/>
          <w:rtl w:val="0"/>
        </w:rPr>
        <w:t xml:space="preserve">AI efficiency gains</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We are already seeing a lot of AI companies pursuing efficiency, leveraging new techniques to </w:t>
      </w:r>
      <w:r w:rsidDel="00000000" w:rsidR="00000000" w:rsidRPr="00000000">
        <w:rPr>
          <w:rFonts w:ascii="Calibri" w:cs="Calibri" w:eastAsia="Calibri" w:hAnsi="Calibri"/>
          <w:b w:val="1"/>
          <w:bCs w:val="1"/>
          <w:u w:val="single"/>
          <w:rtl w:val="0"/>
        </w:rPr>
        <w:t xml:space="preserve">make models smaller, faster, and less dependent on massive computing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confronted with higher costs, AI companies will likely </w:t>
      </w:r>
      <w:r w:rsidDel="00000000" w:rsidR="00000000" w:rsidRPr="00000000">
        <w:rPr>
          <w:rFonts w:ascii="Calibri" w:cs="Calibri" w:eastAsia="Calibri" w:hAnsi="Calibri"/>
          <w:b w:val="1"/>
          <w:bCs w:val="1"/>
          <w:highlight w:val="cyan"/>
          <w:u w:val="single"/>
          <w:rtl w:val="0"/>
        </w:rPr>
        <w:t xml:space="preserve">seek to get more value from what they already have.</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pause could push companies to build more efficient AI models,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w:t>
      </w:r>
      <w:r w:rsidDel="00000000" w:rsidR="00000000" w:rsidRPr="00000000">
        <w:rPr>
          <w:rtl w:val="0"/>
        </w:rPr>
      </w:r>
    </w:p>
    <w:p w:rsidR="00000000" w:rsidDel="00000000" w:rsidP="00000000" w:rsidRDefault="00000000" w:rsidRPr="00000000" w14:paraId="000000DF">
      <w:pPr>
        <w:pStyle w:val="Heading4"/>
        <w:spacing w:after="160" w:before="200" w:line="259" w:lineRule="auto"/>
        <w:rPr>
          <w:rFonts w:ascii="Calibri" w:cs="Calibri" w:eastAsia="Calibri" w:hAnsi="Calibri"/>
          <w:b w:val="1"/>
          <w:bCs w:val="1"/>
          <w:color w:val="000000"/>
          <w:sz w:val="26"/>
          <w:szCs w:val="26"/>
        </w:rPr>
      </w:pPr>
      <w:bookmarkStart w:colFirst="0" w:colLast="0" w:name="_9p8vfjhpwlum" w:id="8"/>
      <w:bookmarkEnd w:id="8"/>
      <w:r w:rsidDel="00000000" w:rsidR="00000000" w:rsidRPr="00000000">
        <w:rPr>
          <w:rFonts w:ascii="Calibri" w:cs="Calibri" w:eastAsia="Calibri" w:hAnsi="Calibri"/>
          <w:b w:val="1"/>
          <w:bCs w:val="1"/>
          <w:color w:val="000000"/>
          <w:sz w:val="26"/>
          <w:szCs w:val="26"/>
          <w:rtl w:val="0"/>
        </w:rPr>
        <w:t xml:space="preserve">3] </w:t>
      </w:r>
      <w:bookmarkStart w:colFirst="0" w:colLast="0" w:name="rm9gfes9y6q5" w:id="7"/>
      <w:bookmarkEnd w:id="7"/>
      <w:r w:rsidDel="00000000" w:rsidR="00000000" w:rsidRPr="00000000">
        <w:rPr>
          <w:rFonts w:ascii="Calibri" w:cs="Calibri" w:eastAsia="Calibri" w:hAnsi="Calibri"/>
          <w:b w:val="1"/>
          <w:bCs w:val="1"/>
          <w:color w:val="000000"/>
          <w:sz w:val="26"/>
          <w:szCs w:val="26"/>
          <w:rtl w:val="0"/>
        </w:rPr>
        <w:t xml:space="preserve">A pause doesn't derail AI - it forces companies to build </w:t>
      </w:r>
      <w:r w:rsidDel="00000000" w:rsidR="00000000" w:rsidRPr="00000000">
        <w:rPr>
          <w:rFonts w:ascii="Calibri" w:cs="Calibri" w:eastAsia="Calibri" w:hAnsi="Calibri"/>
          <w:b w:val="1"/>
          <w:bCs w:val="1"/>
          <w:color w:val="000000"/>
          <w:sz w:val="26"/>
          <w:szCs w:val="26"/>
          <w:u w:val="single"/>
          <w:rtl w:val="0"/>
        </w:rPr>
        <w:t xml:space="preserve">more efficient models</w:t>
      </w:r>
      <w:r w:rsidDel="00000000" w:rsidR="00000000" w:rsidRPr="00000000">
        <w:rPr>
          <w:rFonts w:ascii="Calibri" w:cs="Calibri" w:eastAsia="Calibri" w:hAnsi="Calibri"/>
          <w:b w:val="1"/>
          <w:bCs w:val="1"/>
          <w:color w:val="000000"/>
          <w:sz w:val="26"/>
          <w:szCs w:val="26"/>
          <w:rtl w:val="0"/>
        </w:rPr>
        <w:t xml:space="preserve"> and come out </w:t>
      </w:r>
      <w:r w:rsidDel="00000000" w:rsidR="00000000" w:rsidRPr="00000000">
        <w:rPr>
          <w:rFonts w:ascii="Calibri" w:cs="Calibri" w:eastAsia="Calibri" w:hAnsi="Calibri"/>
          <w:b w:val="1"/>
          <w:bCs w:val="1"/>
          <w:color w:val="000000"/>
          <w:sz w:val="26"/>
          <w:szCs w:val="26"/>
          <w:u w:val="single"/>
          <w:rtl w:val="0"/>
        </w:rPr>
        <w:t xml:space="preserve">stronger on the other end</w:t>
      </w:r>
      <w:r w:rsidDel="00000000" w:rsidR="00000000" w:rsidRPr="00000000">
        <w:rPr>
          <w:rtl w:val="0"/>
        </w:rPr>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Yousuf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[Mohamed Yousuf, CEO and founder of Smart Workforce AI, a workforce intelligence platform focused on transforming how shift-based industries operate in an AI-driven world, 4-14-2026, "Impacts On the AI Boom If States Enact Data Center Construction Pauses," Finopotamus. DOA: 9-2-2026 https://www.finopotamus.com/post/impacts-on-the-ai-boom-if-states-enact-data-center-construction-pauses] //gandhi //recut za2</w:t>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pause on data center development could increase costs for users and developers. </w:t>
      </w:r>
      <w:r w:rsidDel="00000000" w:rsidR="00000000" w:rsidRPr="00000000">
        <w:rPr>
          <w:rFonts w:ascii="Calibri" w:cs="Calibri" w:eastAsia="Calibri" w:hAnsi="Calibri"/>
          <w:u w:val="single"/>
          <w:rtl w:val="0"/>
        </w:rPr>
        <w:t xml:space="preserve">A pause in data center construction would slow down AI growth in the short term, 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not derail it totally.</w:t>
      </w:r>
      <w:r w:rsidDel="00000000" w:rsidR="00000000" w:rsidRPr="00000000">
        <w:rPr>
          <w:rFonts w:ascii="Calibri" w:cs="Calibri" w:eastAsia="Calibri" w:hAnsi="Calibri"/>
          <w:sz w:val="16"/>
          <w:szCs w:val="16"/>
          <w:rtl w:val="0"/>
        </w:rPr>
        <w:t xml:space="preserve"> AI companies need computing power, and data centers are a major part of that. But a shortage of power wouldn't lead companies to pull the plug completely.</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law of supply and demand would indicate that a pause in data center construction will lead to immediate pressure on cost and capacity. For companies using AI, that could mean higher costs and slower access to AI resources. For those developing AI, the outcome will likely be higher costs and longer development time. But those will be short-term issues. </w:t>
      </w:r>
      <w:r w:rsidDel="00000000" w:rsidR="00000000" w:rsidRPr="00000000">
        <w:rPr>
          <w:rFonts w:ascii="Calibri" w:cs="Calibri" w:eastAsia="Calibri" w:hAnsi="Calibri"/>
          <w:u w:val="single"/>
          <w:rtl w:val="0"/>
        </w:rPr>
        <w:t xml:space="preserve">Over the long term, necessity will likely prove once again to be the mother of invention.</w:t>
      </w:r>
      <w:r w:rsidDel="00000000" w:rsidR="00000000" w:rsidRPr="00000000">
        <w:rPr>
          <w:rtl w:val="0"/>
        </w:rPr>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 pause on data center development could trigger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AI efficiency gains.</w:t>
      </w:r>
      <w:r w:rsidDel="00000000" w:rsidR="00000000" w:rsidRPr="00000000">
        <w:rPr>
          <w:rFonts w:ascii="Calibri" w:cs="Calibri" w:eastAsia="Calibri" w:hAnsi="Calibri"/>
          <w:sz w:val="16"/>
          <w:szCs w:val="16"/>
          <w:rtl w:val="0"/>
        </w:rPr>
        <w:t xml:space="preserve"> We are already seeing a lot of AI companies pursuing efficiency, leveraging new techniques to make models smaller, faster, and less dependent on massive computing power. When confronted with higher costs, AI companies will likely seek to get more value from what they already have. </w:t>
      </w:r>
      <w:r w:rsidDel="00000000" w:rsidR="00000000" w:rsidRPr="00000000">
        <w:rPr>
          <w:rFonts w:ascii="Calibri" w:cs="Calibri" w:eastAsia="Calibri" w:hAnsi="Calibri"/>
          <w:u w:val="single"/>
          <w:rtl w:val="0"/>
        </w:rPr>
        <w:t xml:space="preserve">A pause could push companies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build more efficient AI models,</w:t>
      </w:r>
      <w:r w:rsidDel="00000000" w:rsidR="00000000" w:rsidRPr="00000000">
        <w:rPr>
          <w:rFonts w:ascii="Calibri" w:cs="Calibri" w:eastAsia="Calibri" w:hAnsi="Calibri"/>
          <w:sz w:val="16"/>
          <w:szCs w:val="16"/>
          <w:rtl w:val="0"/>
        </w:rPr>
        <w:t xml:space="preserve">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the rapid rate of advancement AI is experiencing, it's common to experience some growing pains. If the pause is seen as one of those pains, </w:t>
      </w:r>
      <w:r w:rsidDel="00000000" w:rsidR="00000000" w:rsidRPr="00000000">
        <w:rPr>
          <w:rFonts w:ascii="Calibri" w:cs="Calibri" w:eastAsia="Calibri" w:hAnsi="Calibri"/>
          <w:u w:val="single"/>
          <w:rtl w:val="0"/>
        </w:rPr>
        <w:t xml:space="preserve">it could inspire the industry to come 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stronger and more efficient on the other end.</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The push for a pause on data center development shows the public has fears that must be addressed Recent reports say the majority of voters in the US feel the risks associated with AI development outweigh the benefits. The growth in opposition to data center growth seems to echo that sentiment. Most people can see the benefits of AI in health care, education, productivity, and scientific research. At the same time, however, they want reassurance that growth will be responsible and that their concerns will be heard and addressed. 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r w:rsidDel="00000000" w:rsidR="00000000" w:rsidRPr="00000000">
        <w:rPr>
          <w:rtl w:val="0"/>
        </w:rPr>
      </w:r>
    </w:p>
    <w:p w:rsidR="00000000" w:rsidDel="00000000" w:rsidP="00000000" w:rsidRDefault="00000000" w:rsidRPr="00000000" w14:paraId="000000E6">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Climate</w:t>
      </w:r>
    </w:p>
    <w:bookmarkStart w:colFirst="0" w:colLast="0" w:name="wmfnyc5kyt0q" w:id="9"/>
    <w:bookmarkEnd w:id="9"/>
    <w:p w:rsidR="00000000" w:rsidDel="00000000" w:rsidP="00000000" w:rsidRDefault="00000000" w:rsidRPr="00000000" w14:paraId="000000E7">
      <w:pPr>
        <w:pStyle w:val="Heading4"/>
        <w:spacing w:after="160" w:before="200" w:line="259" w:lineRule="auto"/>
        <w:rPr>
          <w:rFonts w:ascii="Calibri" w:cs="Calibri" w:eastAsia="Calibri" w:hAnsi="Calibri"/>
          <w:b w:val="1"/>
          <w:bCs w:val="1"/>
          <w:color w:val="000000"/>
          <w:sz w:val="26"/>
          <w:szCs w:val="26"/>
        </w:rPr>
      </w:pPr>
      <w:bookmarkStart w:colFirst="0" w:colLast="0" w:name="_iv5k9pvx4qnt" w:id="10"/>
      <w:bookmarkEnd w:id="10"/>
      <w:r w:rsidDel="00000000" w:rsidR="00000000" w:rsidRPr="00000000">
        <w:rPr>
          <w:rFonts w:ascii="Calibri" w:cs="Calibri" w:eastAsia="Calibri" w:hAnsi="Calibri"/>
          <w:b w:val="1"/>
          <w:bCs w:val="1"/>
          <w:color w:val="000000"/>
          <w:sz w:val="26"/>
          <w:szCs w:val="26"/>
          <w:rtl w:val="0"/>
        </w:rPr>
        <w:t xml:space="preserve">The data center buildout isn't running on wind and solar - it's </w:t>
      </w:r>
      <w:r w:rsidDel="00000000" w:rsidR="00000000" w:rsidRPr="00000000">
        <w:rPr>
          <w:rFonts w:ascii="Calibri" w:cs="Calibri" w:eastAsia="Calibri" w:hAnsi="Calibri"/>
          <w:b w:val="1"/>
          <w:bCs w:val="1"/>
          <w:color w:val="000000"/>
          <w:sz w:val="26"/>
          <w:szCs w:val="26"/>
          <w:u w:val="single"/>
          <w:rtl w:val="0"/>
        </w:rPr>
        <w:t xml:space="preserve">powered by a wave of new gas plants</w:t>
      </w:r>
      <w:r w:rsidDel="00000000" w:rsidR="00000000" w:rsidRPr="00000000">
        <w:rPr>
          <w:rFonts w:ascii="Calibri" w:cs="Calibri" w:eastAsia="Calibri" w:hAnsi="Calibri"/>
          <w:b w:val="1"/>
          <w:bCs w:val="1"/>
          <w:color w:val="000000"/>
          <w:sz w:val="26"/>
          <w:szCs w:val="26"/>
          <w:rtl w:val="0"/>
        </w:rPr>
        <w:t xml:space="preserve">, concentrated in states like </w:t>
      </w:r>
      <w:r w:rsidDel="00000000" w:rsidR="00000000" w:rsidRPr="00000000">
        <w:rPr>
          <w:rFonts w:ascii="Calibri" w:cs="Calibri" w:eastAsia="Calibri" w:hAnsi="Calibri"/>
          <w:b w:val="1"/>
          <w:bCs w:val="1"/>
          <w:color w:val="000000"/>
          <w:sz w:val="26"/>
          <w:szCs w:val="26"/>
          <w:u w:val="single"/>
          <w:rtl w:val="0"/>
        </w:rPr>
        <w:t xml:space="preserve">Texas and Ohio</w:t>
      </w:r>
      <w:r w:rsidDel="00000000" w:rsidR="00000000" w:rsidRPr="00000000">
        <w:rPr>
          <w:rtl w:val="0"/>
        </w:rPr>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EIP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[Environmental Integrity Project, nonprofit environmental watchdog organization; research and writing credited to Griffin Bird, Courtney Bernhardt, Kira Dunham, Brendan Gibbons, Keene Kelderman, Kim Laufenberg, Paul MacGillis-Falcon, Michelle Parker-Ortiz, Tom Pelton, Ari Phillips, Alexandra Shaykevich, and Victoria Zurner, 7-1-2026, "The Power Behind AI: Wave of Dirty Gas Power Plants Planned for Data Centers," Environmental Integrity Project. DOA: 9-1-2026 https://environmentalintegrity.org/wp-content/uploads/2026/06/EIP-Data-Center-Power-Report-EMBARGOED-for-7.1.26.pdf] //za2</w:t>
      </w:r>
    </w:p>
    <w:p w:rsidR="00000000" w:rsidDel="00000000" w:rsidP="00000000" w:rsidRDefault="00000000" w:rsidRPr="00000000" w14:paraId="000000E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At least </w:t>
      </w:r>
      <w:r w:rsidDel="00000000" w:rsidR="00000000" w:rsidRPr="00000000">
        <w:rPr>
          <w:rFonts w:ascii="Calibri" w:cs="Calibri" w:eastAsia="Calibri" w:hAnsi="Calibri"/>
          <w:b w:val="1"/>
          <w:bCs w:val="1"/>
          <w:highlight w:val="cyan"/>
          <w:u w:val="single"/>
          <w:rtl w:val="0"/>
        </w:rPr>
        <w:t xml:space="preserve">74 natural gas-fired power plants</w:t>
      </w:r>
      <w:r w:rsidDel="00000000" w:rsidR="00000000" w:rsidRPr="00000000">
        <w:rPr>
          <w:rFonts w:ascii="Calibri" w:cs="Calibri" w:eastAsia="Calibri" w:hAnsi="Calibri"/>
          <w:highlight w:val="cyan"/>
          <w:u w:val="single"/>
          <w:rtl w:val="0"/>
        </w:rPr>
        <w:t xml:space="preserve"> are planned across the U.S. to provide energy for the rapidly-growing data center 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proposed gas plants, which would be dedicated to serving data centers, are expected to generate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143 gigawatts of electricity</w:t>
      </w:r>
      <w:r w:rsidDel="00000000" w:rsidR="00000000" w:rsidRPr="00000000">
        <w:rPr>
          <w:rFonts w:ascii="Calibri" w:cs="Calibri" w:eastAsia="Calibri" w:hAnsi="Calibri"/>
          <w:sz w:val="16"/>
          <w:szCs w:val="16"/>
          <w:rtl w:val="0"/>
        </w:rPr>
        <w:t xml:space="preserve"> – enough to power the state of California nearly three times over. </w:t>
      </w:r>
      <w:r w:rsidDel="00000000" w:rsidR="00000000" w:rsidRPr="00000000">
        <w:rPr>
          <w:rFonts w:ascii="Calibri" w:cs="Calibri" w:eastAsia="Calibri" w:hAnsi="Calibri"/>
          <w:u w:val="single"/>
          <w:rtl w:val="0"/>
        </w:rPr>
        <w:t xml:space="preserve">The plants would also release nearly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662 million tons per year of greenhouse gas pollution,</w:t>
      </w:r>
      <w:r w:rsidDel="00000000" w:rsidR="00000000" w:rsidRPr="00000000">
        <w:rPr>
          <w:rFonts w:ascii="Calibri" w:cs="Calibri" w:eastAsia="Calibri" w:hAnsi="Calibri"/>
          <w:sz w:val="16"/>
          <w:szCs w:val="16"/>
          <w:rtl w:val="0"/>
        </w:rPr>
        <w:t xml:space="preserve"> which would have the climate-warming impact of 140 million cars and trucks driving for a year or the emissions from the entire nation of Australia. Beyond greenhouse gases, this wave of power plants for data centers could also release 159,142 tons of health-harming air pollutants, including 44,281 tons of nitrogen oxides that contribute to smog and lung damage and 32,684 tons of fine particulate matter, which can trigger heart and asthma attacks.</w:t>
      </w:r>
      <w:r w:rsidDel="00000000" w:rsidR="00000000" w:rsidRPr="00000000">
        <w:rPr>
          <w:rtl w:val="0"/>
        </w:rPr>
      </w:r>
    </w:p>
    <w:p w:rsidR="00000000" w:rsidDel="00000000" w:rsidP="00000000" w:rsidRDefault="00000000" w:rsidRPr="00000000" w14:paraId="000000E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And this is just the tip of the iceberg. This pollution is a small fraction of the likely environmental impact of the booming artificial intelligence (AI) industry and affiliated data centers. These 74 planned gas plants, including 71 new power plants and three plant expansions, would be </w:t>
      </w:r>
      <w:r w:rsidDel="00000000" w:rsidR="00000000" w:rsidRPr="00000000">
        <w:rPr>
          <w:rFonts w:ascii="Calibri" w:cs="Calibri" w:eastAsia="Calibri" w:hAnsi="Calibri"/>
          <w:u w:val="single"/>
          <w:rtl w:val="0"/>
        </w:rPr>
        <w:t xml:space="preserve">connected directly to data centers — so-called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"behind-the-meter" power plants.</w:t>
      </w:r>
      <w:r w:rsidDel="00000000" w:rsidR="00000000" w:rsidRPr="00000000">
        <w:rPr>
          <w:rFonts w:ascii="Calibri" w:cs="Calibri" w:eastAsia="Calibri" w:hAnsi="Calibri"/>
          <w:sz w:val="16"/>
          <w:szCs w:val="16"/>
          <w:rtl w:val="0"/>
        </w:rPr>
        <w:t xml:space="preserve"> These plants are designed to provide their electricity primarily to data centers and not to compete with local households and businesses on regional power grids. More power plants are being planned across the U.S. that will indirectly serve the growing data center industry along with other consumers on the grid, which will likely drive up electricity prices for nearby residents. Beyond the air and climate impacts from the gas-fired power plants discussed in this report, data centers also have diesel backup generators that release air pollution. The centers are also large consumers of water that are often built in water-stressed regions. In short, the economic and environmental ripple effects of the growing data center industry are far broader than what is discussed in this report.</w:t>
      </w:r>
      <w:r w:rsidDel="00000000" w:rsidR="00000000" w:rsidRPr="00000000">
        <w:rPr>
          <w:rtl w:val="0"/>
        </w:rPr>
      </w:r>
    </w:p>
    <w:p w:rsidR="00000000" w:rsidDel="00000000" w:rsidP="00000000" w:rsidRDefault="00000000" w:rsidRPr="00000000" w14:paraId="000000E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wave of proposed data center projects is triggering protests in local communities and legislative efforts at the state and local level, including proposed moratoriums in a half-dozen states and bills in Congress that would put a pause on the industry. At the same time, President Trump's Department of Justice is threatening to sue states that attempt to regulate data center growth and Trump's Environmental Protection Agency is actively promoting the AI industry. Because soaring electricity rates caused by data centers are controversial, in March, President Trump called on data center developers to build power plants dedicated to their own projects as part of his "Ratepayer Protection Pledge." The pledge is voluntary, so its impact is unclear. But even before the pledge, a growing number of data center companies started announcing that they would build their own dedicated or "behind-the-meter" power plants, </w:t>
      </w:r>
      <w:r w:rsidDel="00000000" w:rsidR="00000000" w:rsidRPr="00000000">
        <w:rPr>
          <w:rFonts w:ascii="Calibri" w:cs="Calibri" w:eastAsia="Calibri" w:hAnsi="Calibri"/>
          <w:highlight w:val="cyan"/>
          <w:u w:val="single"/>
          <w:rtl w:val="0"/>
        </w:rPr>
        <w:t xml:space="preserve">many of which 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fueled by natural gas.</w:t>
      </w:r>
      <w:r w:rsidDel="00000000" w:rsidR="00000000" w:rsidRPr="00000000">
        <w:rPr>
          <w:rtl w:val="0"/>
        </w:rPr>
      </w:r>
    </w:p>
    <w:p w:rsidR="00000000" w:rsidDel="00000000" w:rsidP="00000000" w:rsidRDefault="00000000" w:rsidRPr="00000000" w14:paraId="000000EC">
      <w:pPr>
        <w:spacing w:after="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Fossil fuels should not power a technology of the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additional data centers may be needed to accommodate shifts in technology, they should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powered by clean energy, including </w:t>
      </w:r>
      <w:r w:rsidDel="00000000" w:rsidR="00000000" w:rsidRPr="00000000">
        <w:rPr>
          <w:rFonts w:ascii="Calibri" w:cs="Calibri" w:eastAsia="Calibri" w:hAnsi="Calibri"/>
          <w:b w:val="1"/>
          <w:bCs w:val="1"/>
          <w:highlight w:val="cyan"/>
          <w:u w:val="single"/>
          <w:rtl w:val="0"/>
        </w:rPr>
        <w:t xml:space="preserve">solar farms and wind turbines with ample battery storage systems.</w:t>
      </w:r>
      <w:r w:rsidDel="00000000" w:rsidR="00000000" w:rsidRPr="00000000">
        <w:rPr>
          <w:rFonts w:ascii="Calibri" w:cs="Calibri" w:eastAsia="Calibri" w:hAnsi="Calibri"/>
          <w:sz w:val="16"/>
          <w:szCs w:val="16"/>
          <w:rtl w:val="0"/>
        </w:rPr>
        <w:t xml:space="preserve"> At a minimum, developers of data centers and their gas power plants should be required to use modern and efficient technology that minimizes air pollution. For example, combined-cycle natural gas turbines that capture waste heat and recycle it are more efficient and less polluting than simple-cycle turbines. Companies should also be required to implement technologies that minimize water use for cooling and power generation.</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At least 74 natural gas-fired power plants are planned that would be dedicated to new data centers across the U.S., with the largest number proposed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Texas, Ohio, Pennsylvania, West Virginia, and Wyoming.</w:t>
      </w:r>
      <w:r w:rsidDel="00000000" w:rsidR="00000000" w:rsidRPr="00000000">
        <w:rPr>
          <w:rtl w:val="0"/>
        </w:rPr>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boom has come to nearly every part of the United States, but the projects are unevenly distributed. An April 2026 analysis from Pew Research found that Virginia and Texas lead the country in sheer numbers of data centers; they are already home to 398 and 296 operating data centers, respectively. In the coming years, states in the Midwest and South are slated to see the largest growth in data centers. The same Pew Research analysis found that the South has 754 planned data centers, a 62 percent increase over existing data centers, while the Midwest could add 419 data centers, a 64 percent increase.</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similar trend is emerging for gas power plants that would serve data centers. Seventy four proposed power plants dedicated to data centers have been publicly announced, including 71 new plants and three expansions of existing power plants. </w:t>
      </w:r>
      <w:r w:rsidDel="00000000" w:rsidR="00000000" w:rsidRPr="00000000">
        <w:rPr>
          <w:rFonts w:ascii="Calibri" w:cs="Calibri" w:eastAsia="Calibri" w:hAnsi="Calibri"/>
          <w:u w:val="single"/>
          <w:rtl w:val="0"/>
        </w:rPr>
        <w:t xml:space="preserve">Nearly half of these 74 plants – </w:t>
      </w:r>
      <w:r w:rsidDel="00000000" w:rsidR="00000000" w:rsidRPr="00000000">
        <w:rPr>
          <w:rFonts w:ascii="Calibri" w:cs="Calibri" w:eastAsia="Calibri" w:hAnsi="Calibri"/>
          <w:b w:val="1"/>
          <w:bCs w:val="1"/>
          <w:highlight w:val="cyan"/>
          <w:u w:val="single"/>
          <w:rtl w:val="0"/>
        </w:rPr>
        <w:t xml:space="preserve">32 – would be located in Texas.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 proposed power plants would be in the Ohio River Valley,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10 in Ohio, 6 in western Pennsylvania,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4 in West Virginia. Some developers have turned their attention farther west, with 4 of the proposed plants in Wyoming.</w:t>
      </w:r>
      <w:r w:rsidDel="00000000" w:rsidR="00000000" w:rsidRPr="00000000">
        <w:rPr>
          <w:rtl w:val="0"/>
        </w:rPr>
      </w:r>
    </w:p>
    <w:p w:rsidR="00000000" w:rsidDel="00000000" w:rsidP="00000000" w:rsidRDefault="00000000" w:rsidRPr="00000000" w14:paraId="000000F0">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Developers consider several factors when choosing where to build a new data center with dedicated gas power. Chief among them are land availability, plentiful natural gas supply, and favorable regulatory environments. Wyoming and West Virginia are among the least populated states and have large areas available for development. More populous states like Texas, Ohio, and Pennsylvania include vast rural and exurban areas with relatively inexpensive land. These five states are also major natural gas producers. According to the most recent data available from the Energy Information Administration, these states routinely account for over 60 percent of all natural gas produced for consumers in the United States. Thus, these states also already have extensive infrastructure for extracting, processing, and transporting natural gas.</w:t>
      </w:r>
      <w:r w:rsidDel="00000000" w:rsidR="00000000" w:rsidRPr="00000000">
        <w:rPr>
          <w:rtl w:val="0"/>
        </w:rPr>
      </w:r>
    </w:p>
    <w:p w:rsidR="00000000" w:rsidDel="00000000" w:rsidP="00000000" w:rsidRDefault="00000000" w:rsidRPr="00000000" w14:paraId="000000F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Econ</w:t>
      </w:r>
    </w:p>
    <w:bookmarkStart w:colFirst="0" w:colLast="0" w:name="aawlx89om2qa" w:id="11"/>
    <w:bookmarkEnd w:id="11"/>
    <w:p w:rsidR="00000000" w:rsidDel="00000000" w:rsidP="00000000" w:rsidRDefault="00000000" w:rsidRPr="00000000" w14:paraId="000000F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F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at0u0ixu9mvj" w:id="12"/>
    <w:bookmarkEnd w:id="12"/>
    <w:p w:rsidR="00000000" w:rsidDel="00000000" w:rsidP="00000000" w:rsidRDefault="00000000" w:rsidRPr="00000000" w14:paraId="000000F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10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10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10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10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10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10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10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10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10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10E">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11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11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112">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bookmarkStart w:colFirst="0" w:colLast="0" w:name="r150nz3g99c6" w:id="13"/>
    <w:bookmarkEnd w:id="13"/>
    <w:p w:rsidR="00000000" w:rsidDel="00000000" w:rsidP="00000000" w:rsidRDefault="00000000" w:rsidRPr="00000000" w14:paraId="00000113">
      <w:pPr>
        <w:pStyle w:val="Heading4"/>
        <w:spacing w:after="160" w:before="200" w:line="259" w:lineRule="auto"/>
        <w:rPr>
          <w:rFonts w:ascii="Calibri" w:cs="Calibri" w:eastAsia="Calibri" w:hAnsi="Calibri"/>
          <w:b w:val="1"/>
          <w:bCs w:val="1"/>
          <w:color w:val="000000"/>
          <w:sz w:val="26"/>
          <w:szCs w:val="26"/>
        </w:rPr>
      </w:pPr>
      <w:bookmarkStart w:colFirst="0" w:colLast="0" w:name="_apat92o9adq" w:id="14"/>
      <w:bookmarkEnd w:id="14"/>
      <w:r w:rsidDel="00000000" w:rsidR="00000000" w:rsidRPr="00000000">
        <w:rPr>
          <w:rFonts w:ascii="Calibri" w:cs="Calibri" w:eastAsia="Calibri" w:hAnsi="Calibri"/>
          <w:b w:val="1"/>
          <w:bCs w:val="1"/>
          <w:color w:val="000000"/>
          <w:sz w:val="26"/>
          <w:szCs w:val="26"/>
          <w:rtl w:val="0"/>
        </w:rPr>
        <w:t xml:space="preserve">Their own link is the danger - balancing </w:t>
      </w:r>
      <w:r w:rsidDel="00000000" w:rsidR="00000000" w:rsidRPr="00000000">
        <w:rPr>
          <w:rFonts w:ascii="Calibri" w:cs="Calibri" w:eastAsia="Calibri" w:hAnsi="Calibri"/>
          <w:b w:val="1"/>
          <w:bCs w:val="1"/>
          <w:color w:val="000000"/>
          <w:sz w:val="26"/>
          <w:szCs w:val="26"/>
          <w:u w:val="single"/>
          <w:rtl w:val="0"/>
        </w:rPr>
        <w:t xml:space="preserve">half the economy</w:t>
      </w:r>
      <w:r w:rsidDel="00000000" w:rsidR="00000000" w:rsidRPr="00000000">
        <w:rPr>
          <w:rFonts w:ascii="Calibri" w:cs="Calibri" w:eastAsia="Calibri" w:hAnsi="Calibri"/>
          <w:b w:val="1"/>
          <w:bCs w:val="1"/>
          <w:color w:val="000000"/>
          <w:sz w:val="26"/>
          <w:szCs w:val="26"/>
          <w:rtl w:val="0"/>
        </w:rPr>
        <w:t xml:space="preserve"> on one industry is a </w:t>
      </w:r>
      <w:r w:rsidDel="00000000" w:rsidR="00000000" w:rsidRPr="00000000">
        <w:rPr>
          <w:rFonts w:ascii="Calibri" w:cs="Calibri" w:eastAsia="Calibri" w:hAnsi="Calibri"/>
          <w:b w:val="1"/>
          <w:bCs w:val="1"/>
          <w:color w:val="000000"/>
          <w:sz w:val="26"/>
          <w:szCs w:val="26"/>
          <w:u w:val="single"/>
          <w:rtl w:val="0"/>
        </w:rPr>
        <w:t xml:space="preserve">house of cards</w:t>
      </w:r>
      <w:r w:rsidDel="00000000" w:rsidR="00000000" w:rsidRPr="00000000">
        <w:rPr>
          <w:rtl w:val="0"/>
        </w:rPr>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IBT 7/16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AI-related economic activity now accounts for approximately </w:t>
      </w:r>
      <w:r w:rsidDel="00000000" w:rsidR="00000000" w:rsidRPr="00000000">
        <w:rPr>
          <w:rFonts w:ascii="Calibri" w:cs="Calibri" w:eastAsia="Calibri" w:hAnsi="Calibri"/>
          <w:b w:val="1"/>
          <w:bCs w:val="1"/>
          <w:highlight w:val="cyan"/>
          <w:u w:val="single"/>
          <w:rtl w:val="0"/>
        </w:rPr>
        <w:t xml:space="preserve">half of all U.S. economic growth</w:t>
      </w:r>
      <w:r w:rsidDel="00000000" w:rsidR="00000000" w:rsidRPr="00000000">
        <w:rPr>
          <w:rFonts w:ascii="Calibri" w:cs="Calibri" w:eastAsia="Calibri" w:hAnsi="Calibri"/>
          <w:u w:val="single"/>
          <w:rtl w:val="0"/>
        </w:rPr>
        <w:t xml:space="preserve"> in 2026, according to Apollo Global Management's Chief Economist Torsten Slok.</w:t>
      </w:r>
      <w:r w:rsidDel="00000000" w:rsidR="00000000" w:rsidRPr="00000000">
        <w:rPr>
          <w:rFonts w:ascii="Calibri" w:cs="Calibri" w:eastAsia="Calibri" w:hAnsi="Calibri"/>
          <w:sz w:val="16"/>
          <w:szCs w:val="16"/>
          <w:rtl w:val="0"/>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Eisman noted that </w:t>
      </w:r>
      <w:r w:rsidDel="00000000" w:rsidR="00000000" w:rsidRPr="00000000">
        <w:rPr>
          <w:rFonts w:ascii="Calibri" w:cs="Calibri" w:eastAsia="Calibri" w:hAnsi="Calibri"/>
          <w:b w:val="1"/>
          <w:bCs w:val="1"/>
          <w:highlight w:val="cyan"/>
          <w:u w:val="single"/>
          <w:rtl w:val="0"/>
        </w:rPr>
        <w:t xml:space="preserve">half of all newly originated corporate debt in 2026 is AI-linked,</w:t>
      </w:r>
      <w:r w:rsidDel="00000000" w:rsidR="00000000" w:rsidRPr="00000000">
        <w:rPr>
          <w:rFonts w:ascii="Calibri" w:cs="Calibri" w:eastAsia="Calibri" w:hAnsi="Calibri"/>
          <w:u w:val="single"/>
          <w:rtl w:val="0"/>
        </w:rPr>
        <w:t xml:space="preserve"> and AI-related corporate debt now accounts for </w:t>
      </w:r>
      <w:r w:rsidDel="00000000" w:rsidR="00000000" w:rsidRPr="00000000">
        <w:rPr>
          <w:rFonts w:ascii="Calibri" w:cs="Calibri" w:eastAsia="Calibri" w:hAnsi="Calibri"/>
          <w:b w:val="1"/>
          <w:bCs w:val="1"/>
          <w:u w:val="single"/>
          <w:rtl w:val="0"/>
        </w:rPr>
        <w:t xml:space="preserve">15% of the entire corporate bond market.</w:t>
      </w:r>
      <w:r w:rsidDel="00000000" w:rsidR="00000000" w:rsidRPr="00000000">
        <w:rPr>
          <w:rtl w:val="0"/>
        </w:rPr>
      </w:r>
    </w:p>
    <w:p w:rsidR="00000000" w:rsidDel="00000000" w:rsidP="00000000" w:rsidRDefault="00000000" w:rsidRPr="00000000" w14:paraId="0000011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same AI dominance is evident in the stock market with technology and technology-adjacent companies like Amazon and Google constituting 50% of the S&amp;P 500's total value according to Barron's.</w:t>
      </w:r>
      <w:r w:rsidDel="00000000" w:rsidR="00000000" w:rsidRPr="00000000">
        <w:rPr>
          <w:rtl w:val="0"/>
        </w:rPr>
      </w:r>
    </w:p>
    <w:p w:rsidR="00000000" w:rsidDel="00000000" w:rsidP="00000000" w:rsidRDefault="00000000" w:rsidRPr="00000000" w14:paraId="0000011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unprecedented concentration across stocks, corporate debt, and capital spending makes the broader economy </w:t>
      </w:r>
      <w:r w:rsidDel="00000000" w:rsidR="00000000" w:rsidRPr="00000000">
        <w:rPr>
          <w:rFonts w:ascii="Calibri" w:cs="Calibri" w:eastAsia="Calibri" w:hAnsi="Calibri"/>
          <w:b w:val="1"/>
          <w:bCs w:val="1"/>
          <w:highlight w:val="cyan"/>
          <w:u w:val="single"/>
          <w:rtl w:val="0"/>
        </w:rPr>
        <w:t xml:space="preserve">dependent on the fortunes of not only a single industry but a single technology within that industry.</w:t>
      </w:r>
      <w:r w:rsidDel="00000000" w:rsidR="00000000" w:rsidRPr="00000000">
        <w:rPr>
          <w:rtl w:val="0"/>
        </w:rPr>
      </w:r>
    </w:p>
    <w:p w:rsidR="00000000" w:rsidDel="00000000" w:rsidP="00000000" w:rsidRDefault="00000000" w:rsidRPr="00000000" w14:paraId="0000011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critics like journalist Ed Zitron have interpreted the circular character of AI financing as a sign that an asset bubble is brewing, with established tech companies investing in AI startups which then sign deals with the companies that invested in them.</w:t>
      </w:r>
      <w:r w:rsidDel="00000000" w:rsidR="00000000" w:rsidRPr="00000000">
        <w:rPr>
          <w:rtl w:val="0"/>
        </w:rPr>
      </w:r>
    </w:p>
    <w:p w:rsidR="00000000" w:rsidDel="00000000" w:rsidP="00000000" w:rsidRDefault="00000000" w:rsidRPr="00000000" w14:paraId="0000011B">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u w:val="single"/>
          <w:rtl w:val="0"/>
        </w:rPr>
        <w:t xml:space="preserve">Yet even if such bubble predictions turn out to be mistaken, </w:t>
      </w:r>
      <w:r w:rsidDel="00000000" w:rsidR="00000000" w:rsidRPr="00000000">
        <w:rPr>
          <w:rFonts w:ascii="Calibri" w:cs="Calibri" w:eastAsia="Calibri" w:hAnsi="Calibri"/>
          <w:b w:val="1"/>
          <w:bCs w:val="1"/>
          <w:highlight w:val="cyan"/>
          <w:u w:val="single"/>
          <w:rtl w:val="0"/>
        </w:rPr>
        <w:t xml:space="preserve">the real risk is concentration.</w:t>
      </w:r>
      <w:r w:rsidDel="00000000" w:rsidR="00000000" w:rsidRPr="00000000">
        <w:rPr>
          <w:rtl w:val="0"/>
        </w:rPr>
      </w:r>
    </w:p>
    <w:p w:rsidR="00000000" w:rsidDel="00000000" w:rsidP="00000000" w:rsidRDefault="00000000" w:rsidRPr="00000000" w14:paraId="0000011C">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Healthcare</w:t>
      </w:r>
    </w:p>
    <w:p w:rsidR="00000000" w:rsidDel="00000000" w:rsidP="00000000" w:rsidRDefault="00000000" w:rsidRPr="00000000" w14:paraId="0000011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medical miracles are always </w:t>
      </w:r>
      <w:r w:rsidDel="00000000" w:rsidR="00000000" w:rsidRPr="00000000">
        <w:rPr>
          <w:rFonts w:ascii="Calibri" w:cs="Calibri" w:eastAsia="Calibri" w:hAnsi="Calibri"/>
          <w:b w:val="1"/>
          <w:bCs w:val="1"/>
          <w:color w:val="000000"/>
          <w:sz w:val="26"/>
          <w:szCs w:val="26"/>
          <w:u w:val="single"/>
          <w:rtl w:val="0"/>
        </w:rPr>
        <w:t xml:space="preserve">five years away</w:t>
      </w:r>
      <w:r w:rsidDel="00000000" w:rsidR="00000000" w:rsidRPr="00000000">
        <w:rPr>
          <w:rFonts w:ascii="Calibri" w:cs="Calibri" w:eastAsia="Calibri" w:hAnsi="Calibri"/>
          <w:b w:val="1"/>
          <w:bCs w:val="1"/>
          <w:color w:val="000000"/>
          <w:sz w:val="26"/>
          <w:szCs w:val="26"/>
          <w:rtl w:val="0"/>
        </w:rPr>
        <w:t xml:space="preserve"> - almost none of the approved AI tools were ever </w:t>
      </w:r>
      <w:r w:rsidDel="00000000" w:rsidR="00000000" w:rsidRPr="00000000">
        <w:rPr>
          <w:rFonts w:ascii="Calibri" w:cs="Calibri" w:eastAsia="Calibri" w:hAnsi="Calibri"/>
          <w:b w:val="1"/>
          <w:bCs w:val="1"/>
          <w:color w:val="000000"/>
          <w:sz w:val="26"/>
          <w:szCs w:val="26"/>
          <w:u w:val="single"/>
          <w:rtl w:val="0"/>
        </w:rPr>
        <w:t xml:space="preserve">tested on real patients</w:t>
      </w:r>
      <w:r w:rsidDel="00000000" w:rsidR="00000000" w:rsidRPr="00000000">
        <w:rPr>
          <w:rtl w:val="0"/>
        </w:rPr>
      </w:r>
    </w:p>
    <w:p w:rsidR="00000000" w:rsidDel="00000000" w:rsidP="00000000" w:rsidRDefault="00000000" w:rsidRPr="00000000" w14:paraId="0000011E">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Abulibdeh et al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[Rawan Abulibdeh, University of Toronto, with Sebastián Andrés Cajas Ordóñez (MIT Critical Data), Leo Anthony Celi, MD (MIT, Beth Israel Deaconess Medical Center, Harvard Medical School), Rahul Gorijavolu (Johns Hopkins University), Nura Izath (Mbarara University of Science and Technology), and Torleif Markussen Lunde (University of Bergen), 8-19-2026, "1,357 AI medical devices cleared, 3 actually tested on patient outcomes," PLOS Digital Health. DOA: 9-1-2026 https://journals.plos.org/digitalhealth/article?id=10.1371%2Fjournal.pdig.0001597] //za2</w:t>
      </w:r>
    </w:p>
    <w:p w:rsidR="00000000" w:rsidDel="00000000" w:rsidP="00000000" w:rsidRDefault="00000000" w:rsidRPr="00000000" w14:paraId="0000011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tools are entering clinical practice at unprecedented speed. </w:t>
      </w:r>
      <w:r w:rsidDel="00000000" w:rsidR="00000000" w:rsidRPr="00000000">
        <w:rPr>
          <w:rFonts w:ascii="Calibri" w:cs="Calibri" w:eastAsia="Calibri" w:hAnsi="Calibri"/>
          <w:u w:val="single"/>
          <w:rtl w:val="0"/>
        </w:rPr>
        <w:t xml:space="preserve">1,357 AI/ML-enabled medical devices have received U.S. FDA clearance or approval,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their impact on </w:t>
      </w:r>
      <w:r w:rsidDel="00000000" w:rsidR="00000000" w:rsidRPr="00000000">
        <w:rPr>
          <w:rFonts w:ascii="Calibri" w:cs="Calibri" w:eastAsia="Calibri" w:hAnsi="Calibri"/>
          <w:b w:val="1"/>
          <w:bCs w:val="1"/>
          <w:highlight w:val="cyan"/>
          <w:u w:val="single"/>
          <w:rtl w:val="0"/>
        </w:rPr>
        <w:t xml:space="preserve">patient outcomes remains largely untested.</w:t>
      </w:r>
      <w:r w:rsidDel="00000000" w:rsidR="00000000" w:rsidRPr="00000000">
        <w:rPr>
          <w:rFonts w:ascii="Calibri" w:cs="Calibri" w:eastAsia="Calibri" w:hAnsi="Calibri"/>
          <w:sz w:val="16"/>
          <w:szCs w:val="16"/>
          <w:rtl w:val="0"/>
        </w:rPr>
        <w:t xml:space="preserve"> We conducted a systematic analysis of all FDA-cleared AI/ML-enabled medical devices through December 5, 2025 using the FDA device database and the ACR Data Science Institute catalogue, with linked searches of ClinicalTrials.gov and PubMed to identify registered trials and publications. </w:t>
      </w:r>
      <w:r w:rsidDel="00000000" w:rsidR="00000000" w:rsidRPr="00000000">
        <w:rPr>
          <w:rFonts w:ascii="Calibri" w:cs="Calibri" w:eastAsia="Calibri" w:hAnsi="Calibri"/>
          <w:u w:val="single"/>
          <w:rtl w:val="0"/>
        </w:rPr>
        <w:t xml:space="preserve">Of 1,357 cleared AI devices,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34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were linked to registered prospective trials,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12 (0.9%) posted results, 12 (0.9%) had peer-reviewed publications,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 (0.2%) evaluated patient-centered outcomes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such as mortality, morbidity, or readmissions.</w:t>
      </w:r>
      <w:r w:rsidDel="00000000" w:rsidR="00000000" w:rsidRPr="00000000">
        <w:rPr>
          <w:rFonts w:ascii="Calibri" w:cs="Calibri" w:eastAsia="Calibri" w:hAnsi="Calibri"/>
          <w:sz w:val="16"/>
          <w:szCs w:val="16"/>
          <w:rtl w:val="0"/>
        </w:rPr>
        <w:t xml:space="preserve"> Most studies (62%) employed observational designs with small, homogenous cohorts, limited subgroup analyses, and frequent exclusion of vulnerable populations. Structural barriers (including misaligned financial incentives, reliance on predicate-based regulatory pathways, and logistical challenges of multi-center trials) discourage rigorous evaluation. Internationally, FDA clearance often functions as a gateway for global deployment, raising ethical concerns when under-validated tools are introduced into low- and middle-income countries without contextual validation or safeguards. </w:t>
      </w:r>
      <w:r w:rsidDel="00000000" w:rsidR="00000000" w:rsidRPr="00000000">
        <w:rPr>
          <w:rFonts w:ascii="Calibri" w:cs="Calibri" w:eastAsia="Calibri" w:hAnsi="Calibri"/>
          <w:u w:val="single"/>
          <w:rtl w:val="0"/>
        </w:rPr>
        <w:t xml:space="preserve">Regulatory approval has outpaced clinical validation,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creating an ecosystem where </w:t>
      </w:r>
      <w:r w:rsidDel="00000000" w:rsidR="00000000" w:rsidRPr="00000000">
        <w:rPr>
          <w:rFonts w:ascii="Calibri" w:cs="Calibri" w:eastAsia="Calibri" w:hAnsi="Calibri"/>
          <w:b w:val="1"/>
          <w:bCs w:val="1"/>
          <w:highlight w:val="cyan"/>
          <w:u w:val="single"/>
          <w:rtl w:val="0"/>
        </w:rPr>
        <w:t xml:space="preserve">innovation advances without accountability.</w:t>
      </w:r>
      <w:r w:rsidDel="00000000" w:rsidR="00000000" w:rsidRPr="00000000">
        <w:rPr>
          <w:rFonts w:ascii="Calibri" w:cs="Calibri" w:eastAsia="Calibri" w:hAnsi="Calibri"/>
          <w:sz w:val="16"/>
          <w:szCs w:val="16"/>
          <w:rtl w:val="0"/>
        </w:rPr>
        <w:t xml:space="preserve"> The finding that only 0.2% of cleared devices have undergone evaluation for patient-centered outcomes reveals a profound validation gap and points to the need for evidence standards capable of keeping pace with the speed of regulatory clearance. Readiness should no longer be defined by FDA clearance alone, but by demonstrated, durable, and equitable benefit to patients.</w:t>
      </w:r>
      <w:r w:rsidDel="00000000" w:rsidR="00000000" w:rsidRPr="00000000">
        <w:rPr>
          <w:rtl w:val="0"/>
        </w:rPr>
      </w:r>
    </w:p>
    <w:p w:rsidR="00000000" w:rsidDel="00000000" w:rsidP="00000000" w:rsidRDefault="00000000" w:rsidRPr="00000000" w14:paraId="0000012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has entered healthcare at an unprecedented pace. 1,357 FDA-cleared AI-enabled devices are now marketed to clinicians, with radiology alone accounting for 78% (1,059/1,357) of cleared devices, followed by cardiovascular (9%), neurology (5%), and other specialties (8%). These systems already guide radiologists in interpreting mammograms, inform cardiologists about risk scores, and even influence surgical planning. Clinical decisions increasingly depend on algorithmic outputs. </w:t>
      </w:r>
      <w:r w:rsidDel="00000000" w:rsidR="00000000" w:rsidRPr="00000000">
        <w:rPr>
          <w:rFonts w:ascii="Calibri" w:cs="Calibri" w:eastAsia="Calibri" w:hAnsi="Calibri"/>
          <w:u w:val="single"/>
          <w:rtl w:val="0"/>
        </w:rPr>
        <w:t xml:space="preserve">Yet despite this rapid adoption, one question remains largely unanswered: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do these tools </w:t>
      </w:r>
      <w:r w:rsidDel="00000000" w:rsidR="00000000" w:rsidRPr="00000000">
        <w:rPr>
          <w:rFonts w:ascii="Calibri" w:cs="Calibri" w:eastAsia="Calibri" w:hAnsi="Calibri"/>
          <w:b w:val="1"/>
          <w:bCs w:val="1"/>
          <w:highlight w:val="cyan"/>
          <w:u w:val="single"/>
          <w:rtl w:val="0"/>
        </w:rPr>
        <w:t xml:space="preserve">actually improve patient outcomes?</w:t>
      </w:r>
      <w:r w:rsidDel="00000000" w:rsidR="00000000" w:rsidRPr="00000000">
        <w:rPr>
          <w:rFonts w:ascii="Calibri" w:cs="Calibri" w:eastAsia="Calibri" w:hAnsi="Calibri"/>
          <w:sz w:val="16"/>
          <w:szCs w:val="16"/>
          <w:rtl w:val="0"/>
        </w:rPr>
        <w:t xml:space="preserve"> The regulatory framework for AI devices, dominated by the FDA's 510(k) pathway, requires only that a new product demonstrate "substantial equivalence" to an existing one rather than prospective validation of clinical effectiveness. Unlike the De Novo pathway, which requires independent demonstration of safety and effectiveness for novel devices, the 510(k) route allows evidence gaps to propagate through chains of predicate devices, many of which themselves lack rigorous clinical validation. </w:t>
      </w:r>
      <w:r w:rsidDel="00000000" w:rsidR="00000000" w:rsidRPr="00000000">
        <w:rPr>
          <w:rFonts w:ascii="Calibri" w:cs="Calibri" w:eastAsia="Calibri" w:hAnsi="Calibri"/>
          <w:u w:val="single"/>
          <w:rtl w:val="0"/>
        </w:rPr>
        <w:t xml:space="preserve">This has created a paradox in which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market is crowded with AI tools, yet </w:t>
      </w:r>
      <w:r w:rsidDel="00000000" w:rsidR="00000000" w:rsidRPr="00000000">
        <w:rPr>
          <w:rFonts w:ascii="Calibri" w:cs="Calibri" w:eastAsia="Calibri" w:hAnsi="Calibri"/>
          <w:b w:val="1"/>
          <w:bCs w:val="1"/>
          <w:highlight w:val="cyan"/>
          <w:u w:val="single"/>
          <w:rtl w:val="0"/>
        </w:rPr>
        <w:t xml:space="preserve">the evidence supporting patient-centered outcomes remains remarkably thin.</w:t>
      </w:r>
      <w:r w:rsidDel="00000000" w:rsidR="00000000" w:rsidRPr="00000000">
        <w:rPr>
          <w:rFonts w:ascii="Calibri" w:cs="Calibri" w:eastAsia="Calibri" w:hAnsi="Calibri"/>
          <w:sz w:val="16"/>
          <w:szCs w:val="16"/>
          <w:rtl w:val="0"/>
        </w:rPr>
        <w:t xml:space="preserve"> The overwhelming majority of cleared devices lack linked prospective evaluation of patient-centered outcomes. The steep contrast between thousands of FDA-cleared devices and the handful with clinical validation is shown in Fig 1. This evidence attrition highlights the profound gap between regulatory authorization and clinically meaningful validation. Most devices instead rely on retrospective accuracy benchmarks, surrogate endpoints, or selective reporting, often using narrow datasets that fail to reflect the diversity of real-world populations.</w:t>
      </w:r>
      <w:r w:rsidDel="00000000" w:rsidR="00000000" w:rsidRPr="00000000">
        <w:rPr>
          <w:rtl w:val="0"/>
        </w:rPr>
      </w:r>
    </w:p>
    <w:p w:rsidR="00000000" w:rsidDel="00000000" w:rsidP="00000000" w:rsidRDefault="00000000" w:rsidRPr="00000000" w14:paraId="0000012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consequences of this evidence gap are tangible. This lack of rigorous validation carries risks once devices reach the clinic. An independent analysis of 950 FDA-cleared AI devices found that 6% were associated with recall events, and nearly half of those occurred within the first year of clearance. While a device-level linkage of MAUDE recall data to our full cohort of 1,357 devices was beyond the scope of this evidence census, the recall rate reported by Lee et al. provides a conservative benchmark for post-market safety signals. </w:t>
      </w:r>
      <w:r w:rsidDel="00000000" w:rsidR="00000000" w:rsidRPr="00000000">
        <w:rPr>
          <w:rFonts w:ascii="Calibri" w:cs="Calibri" w:eastAsia="Calibri" w:hAnsi="Calibri"/>
          <w:u w:val="single"/>
          <w:rtl w:val="0"/>
        </w:rPr>
        <w:t xml:space="preserve">High-profile failures further illustrate how algorithms can falter in real-world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Epic Sepsis Model,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deployed in more than half of U.S. hospitals, </w:t>
      </w:r>
      <w:r w:rsidDel="00000000" w:rsidR="00000000" w:rsidRPr="00000000">
        <w:rPr>
          <w:rFonts w:ascii="Calibri" w:cs="Calibri" w:eastAsia="Calibri" w:hAnsi="Calibri"/>
          <w:b w:val="1"/>
          <w:bCs w:val="1"/>
          <w:highlight w:val="cyan"/>
          <w:u w:val="single"/>
          <w:rtl w:val="0"/>
        </w:rPr>
        <w:t xml:space="preserve">failed to identify 67% of patients with sepsis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generating alerts for 18% of all hospitalized patients.</w:t>
      </w:r>
      <w:r w:rsidDel="00000000" w:rsidR="00000000" w:rsidRPr="00000000">
        <w:rPr>
          <w:rFonts w:ascii="Calibri" w:cs="Calibri" w:eastAsia="Calibri" w:hAnsi="Calibri"/>
          <w:sz w:val="16"/>
          <w:szCs w:val="16"/>
          <w:rtl w:val="0"/>
        </w:rPr>
        <w:t xml:space="preserve"> Similarly, IBM Watson for Oncology, adopted internationally after FDA clearance, achieved only 33% concordance with clinical decisions in Denmark and 12% for gastric cancer in China. </w:t>
      </w:r>
      <w:r w:rsidDel="00000000" w:rsidR="00000000" w:rsidRPr="00000000">
        <w:rPr>
          <w:rFonts w:ascii="Calibri" w:cs="Calibri" w:eastAsia="Calibri" w:hAnsi="Calibri"/>
          <w:u w:val="single"/>
          <w:rtl w:val="0"/>
        </w:rPr>
        <w:t xml:space="preserve">Drugs and implantable devices cannot be adopted without proof of clinical impact,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AI tools are permitted into </w:t>
      </w:r>
      <w:r w:rsidDel="00000000" w:rsidR="00000000" w:rsidRPr="00000000">
        <w:rPr>
          <w:rFonts w:ascii="Calibri" w:cs="Calibri" w:eastAsia="Calibri" w:hAnsi="Calibri"/>
          <w:b w:val="1"/>
          <w:bCs w:val="1"/>
          <w:highlight w:val="cyan"/>
          <w:u w:val="single"/>
          <w:rtl w:val="0"/>
        </w:rPr>
        <w:t xml:space="preserve">clinical practice without the same level of scrutiny.</w:t>
      </w:r>
      <w:r w:rsidDel="00000000" w:rsidR="00000000" w:rsidRPr="00000000">
        <w:rPr>
          <w:rFonts w:ascii="Calibri" w:cs="Calibri" w:eastAsia="Calibri" w:hAnsi="Calibri"/>
          <w:sz w:val="16"/>
          <w:szCs w:val="16"/>
          <w:rtl w:val="0"/>
        </w:rPr>
        <w:t xml:space="preserve"> Subgroup analyses by demographic and socioeconomic data are rarely conducted, leaving it unknown how these systems perform across diverse populations. This oversight not only threatens clinical confidence but risks entrenching disparities in care. </w:t>
      </w:r>
      <w:r w:rsidDel="00000000" w:rsidR="00000000" w:rsidRPr="00000000">
        <w:rPr>
          <w:rFonts w:ascii="Calibri" w:cs="Calibri" w:eastAsia="Calibri" w:hAnsi="Calibri"/>
          <w:u w:val="single"/>
          <w:rtl w:val="0"/>
        </w:rPr>
        <w:t xml:space="preserve">The central issue in clinical AI is not whether algorithms can classify images or predict risk; 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whether they </w:t>
      </w:r>
      <w:r w:rsidDel="00000000" w:rsidR="00000000" w:rsidRPr="00000000">
        <w:rPr>
          <w:rFonts w:ascii="Calibri" w:cs="Calibri" w:eastAsia="Calibri" w:hAnsi="Calibri"/>
          <w:b w:val="1"/>
          <w:bCs w:val="1"/>
          <w:highlight w:val="cyan"/>
          <w:u w:val="single"/>
          <w:rtl w:val="0"/>
        </w:rPr>
        <w:t xml:space="preserve">tangibly improve patient health.</w:t>
      </w:r>
      <w:r w:rsidDel="00000000" w:rsidR="00000000" w:rsidRPr="00000000">
        <w:rPr>
          <w:rFonts w:ascii="Calibri" w:cs="Calibri" w:eastAsia="Calibri" w:hAnsi="Calibri"/>
          <w:sz w:val="16"/>
          <w:szCs w:val="16"/>
          <w:rtl w:val="0"/>
        </w:rPr>
        <w:t xml:space="preserve"> Without systematic reform, the gap between algorithmic capability and clinical evidence will continue to widen. This study aims to quantify the attrition of clinical evidence from FDA clearance to patient-outcome evaluation across all 1,357 AI/ML-enabled medical devices, while characterizing the design features, transparency practices, and equity considerations of the registered trials identified. Building on these findings, we offer two interpretive contributions: first, an analysis of the regulatory, economic, and logistical conditions that discourage rigorous prospective validation; and second, a staged roadmap of evidence standards intended to support more accountable AI device development. </w:t>
      </w:r>
      <w:r w:rsidDel="00000000" w:rsidR="00000000" w:rsidRPr="00000000">
        <w:rPr>
          <w:rFonts w:ascii="Calibri" w:cs="Calibri" w:eastAsia="Calibri" w:hAnsi="Calibri"/>
          <w:highlight w:val="cyan"/>
          <w:u w:val="single"/>
          <w:rtl w:val="0"/>
        </w:rPr>
        <w:t xml:space="preserve">If AI in medicine is to be </w:t>
      </w:r>
      <w:r w:rsidDel="00000000" w:rsidR="00000000" w:rsidRPr="00000000">
        <w:rPr>
          <w:rFonts w:ascii="Calibri" w:cs="Calibri" w:eastAsia="Calibri" w:hAnsi="Calibri"/>
          <w:b w:val="1"/>
          <w:bCs w:val="1"/>
          <w:highlight w:val="cyan"/>
          <w:u w:val="single"/>
          <w:rtl w:val="0"/>
        </w:rPr>
        <w:t xml:space="preserve">life-saving, it must first be life-tested.</w:t>
      </w:r>
      <w:r w:rsidDel="00000000" w:rsidR="00000000" w:rsidRPr="00000000">
        <w:rPr>
          <w:rtl w:val="0"/>
        </w:rPr>
      </w:r>
    </w:p>
    <w:p w:rsidR="00000000" w:rsidDel="00000000" w:rsidP="00000000" w:rsidRDefault="00000000" w:rsidRPr="00000000" w14:paraId="00000122">
      <w:pPr>
        <w:pStyle w:val="Heading4"/>
        <w:spacing w:after="160" w:before="200" w:line="259" w:lineRule="auto"/>
        <w:rPr>
          <w:rFonts w:ascii="Calibri" w:cs="Calibri" w:eastAsia="Calibri" w:hAnsi="Calibri"/>
          <w:b w:val="1"/>
          <w:bCs w:val="1"/>
          <w:color w:val="000000"/>
          <w:sz w:val="26"/>
          <w:szCs w:val="26"/>
        </w:rPr>
      </w:pPr>
      <w:bookmarkStart w:colFirst="0" w:colLast="0" w:name="_y1t3m2ed2zce" w:id="15"/>
      <w:bookmarkEnd w:id="15"/>
      <w:r w:rsidDel="00000000" w:rsidR="00000000" w:rsidRPr="00000000">
        <w:rPr>
          <w:rFonts w:ascii="Calibri" w:cs="Calibri" w:eastAsia="Calibri" w:hAnsi="Calibri"/>
          <w:b w:val="1"/>
          <w:bCs w:val="1"/>
          <w:color w:val="000000"/>
          <w:sz w:val="26"/>
          <w:szCs w:val="26"/>
          <w:rtl w:val="0"/>
        </w:rPr>
        <w:t xml:space="preserve">Medical AI runs on </w:t>
      </w:r>
      <w:r w:rsidDel="00000000" w:rsidR="00000000" w:rsidRPr="00000000">
        <w:rPr>
          <w:rFonts w:ascii="Calibri" w:cs="Calibri" w:eastAsia="Calibri" w:hAnsi="Calibri"/>
          <w:b w:val="1"/>
          <w:bCs w:val="1"/>
          <w:color w:val="000000"/>
          <w:sz w:val="26"/>
          <w:szCs w:val="26"/>
          <w:u w:val="single"/>
          <w:rtl w:val="0"/>
        </w:rPr>
        <w:t xml:space="preserve">small models on ordinary hospital hardware</w:t>
      </w:r>
      <w:r w:rsidDel="00000000" w:rsidR="00000000" w:rsidRPr="00000000">
        <w:rPr>
          <w:rFonts w:ascii="Calibri" w:cs="Calibri" w:eastAsia="Calibri" w:hAnsi="Calibri"/>
          <w:b w:val="1"/>
          <w:bCs w:val="1"/>
          <w:color w:val="000000"/>
          <w:sz w:val="26"/>
          <w:szCs w:val="26"/>
          <w:rtl w:val="0"/>
        </w:rPr>
        <w:t xml:space="preserve">, not the massive GPU clusters frontier AI needs - privacy law requires it stay on-premise</w:t>
      </w:r>
    </w:p>
    <w:p w:rsidR="00000000" w:rsidDel="00000000" w:rsidP="00000000" w:rsidRDefault="00000000" w:rsidRPr="00000000" w14:paraId="0000012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Garg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[Muskan Garg, Artificial Intelligence &amp; Informatics @ Mayo Clinic, with Shaina Raza (Vector Institute), Shebuti Rayana (SUNY Old Westbury), Xingyi Liu &amp; Sunghwan Sohn (Mayo Clinic AI &amp; Informatics), 5-16-2026, "The Rise of Small Language Models in Healthcare: A Comprehensive Survey," Computer Science Review. DOA: 9-7-2026 https://pmc.ncbi.nlm.nih.gov/articles/PMC13221099/] //za2</w:t>
      </w:r>
    </w:p>
    <w:p w:rsidR="00000000" w:rsidDel="00000000" w:rsidP="00000000" w:rsidRDefault="00000000" w:rsidRPr="00000000" w14:paraId="0000012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Despite substantial progress in healthcare applications driven by large language models (LLMs), growing concerns around data privacy, and limited resources; </w:t>
      </w:r>
      <w:r w:rsidDel="00000000" w:rsidR="00000000" w:rsidRPr="00000000">
        <w:rPr>
          <w:rFonts w:ascii="Calibri" w:cs="Calibri" w:eastAsia="Calibri" w:hAnsi="Calibri"/>
          <w:highlight w:val="cyan"/>
          <w:u w:val="single"/>
          <w:rtl w:val="0"/>
        </w:rPr>
        <w:t xml:space="preserve">the small language models (SLMs) offer a scalable and clinically viable solution for efficient performance in resource-constrained environments for next-generation healthcare informatics.</w:t>
      </w:r>
      <w:r w:rsidDel="00000000" w:rsidR="00000000" w:rsidRPr="00000000">
        <w:rPr>
          <w:rFonts w:ascii="Calibri" w:cs="Calibri" w:eastAsia="Calibri" w:hAnsi="Calibri"/>
          <w:sz w:val="16"/>
          <w:szCs w:val="16"/>
          <w:rtl w:val="0"/>
        </w:rPr>
        <w:t xml:space="preserve"> Our comprehensive survey presents a taxonomic framework to identify and categorize them for healthcare professionals and informaticians. The timeline of healthcare SLM contributions establishes a foundational framework for analyzing models across three dimensions: NLP tasks, stakeholder roles, and the continuum of care. We present a taxonomic framework to identify the architectural foundations for building models from scratch; adapting SLMs to clinical precision through prompting, instruction fine-tuning, and reasoning; and accessibility and sustainability through compression techniques. Our primary objective is to offer a comprehensive survey for healthcare professionals, introducing recent innovations in model optimization and equipping them with curated resources to support future research and development in the field. Aiming to showcase the groundbreaking advancements in SLMs for healthcare, we present a comprehensive compilation of experimental results across widely studied NLP tasks in healthcare to highlight the transformative potential of SLMs in healthcare. The updated repository is available at Github.</w:t>
      </w:r>
      <w:r w:rsidDel="00000000" w:rsidR="00000000" w:rsidRPr="00000000">
        <w:rPr>
          <w:rtl w:val="0"/>
        </w:rPr>
      </w:r>
    </w:p>
    <w:p w:rsidR="00000000" w:rsidDel="00000000" w:rsidP="00000000" w:rsidRDefault="00000000" w:rsidRPr="00000000" w14:paraId="0000012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global small language model (SLM) market is projected to reach USD 29.64 billion by 2032, with the healthcare industry anticipated to experience the fastest compound annual growth rate (CAGR) of 18.31% from 2024 to 2032. </w:t>
      </w:r>
      <w:r w:rsidDel="00000000" w:rsidR="00000000" w:rsidRPr="00000000">
        <w:rPr>
          <w:rFonts w:ascii="Calibri" w:cs="Calibri" w:eastAsia="Calibri" w:hAnsi="Calibri"/>
          <w:u w:val="single"/>
          <w:rtl w:val="0"/>
        </w:rPr>
        <w:t xml:space="preserve">This growth is driven by the growing adoption of SLM in medical diagnosis, patient care, and administrative processes.</w:t>
      </w:r>
      <w:r w:rsidDel="00000000" w:rsidR="00000000" w:rsidRPr="00000000">
        <w:rPr>
          <w:rFonts w:ascii="Calibri" w:cs="Calibri" w:eastAsia="Calibri" w:hAnsi="Calibri"/>
          <w:sz w:val="16"/>
          <w:szCs w:val="16"/>
          <w:rtl w:val="0"/>
        </w:rPr>
        <w:t xml:space="preserve"> The use of SLM in analyzing extensive medical literature and patient data provides clinicians with evidence-based interpretations to support clinical decision support system (CDSS).</w:t>
      </w:r>
      <w:r w:rsidDel="00000000" w:rsidR="00000000" w:rsidRPr="00000000">
        <w:rPr>
          <w:rtl w:val="0"/>
        </w:rPr>
      </w:r>
    </w:p>
    <w:p w:rsidR="00000000" w:rsidDel="00000000" w:rsidP="00000000" w:rsidRDefault="00000000" w:rsidRPr="00000000" w14:paraId="0000012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rapid evolution of transformer-based architectures has catalyzed a paradigm shift in natural language processing (NLP), with large (or very large) language models (LLMs) exceeding hundreds of billions of parameters (e.g., Med-PaLM [199]), achieving state-of-the-art performance on various benchmarks [186]. </w:t>
      </w:r>
      <w:r w:rsidDel="00000000" w:rsidR="00000000" w:rsidRPr="00000000">
        <w:rPr>
          <w:rFonts w:ascii="Calibri" w:cs="Calibri" w:eastAsia="Calibri" w:hAnsi="Calibri"/>
          <w:u w:val="single"/>
          <w:rtl w:val="0"/>
        </w:rPr>
        <w:t xml:space="preserve">However, the computational and energy demands associated with the training, fine-tuning and deployment of LLMs in production require </w:t>
      </w:r>
      <w:r w:rsidDel="00000000" w:rsidR="00000000" w:rsidRPr="00000000">
        <w:rPr>
          <w:rFonts w:ascii="Calibri" w:cs="Calibri" w:eastAsia="Calibri" w:hAnsi="Calibri"/>
          <w:b w:val="1"/>
          <w:bCs w:val="1"/>
          <w:highlight w:val="cyan"/>
          <w:u w:val="single"/>
          <w:rtl w:val="0"/>
        </w:rPr>
        <w:t xml:space="preserve">GPU clusters and significant power consumption at the megawatt scale</w:t>
      </w:r>
      <w:r w:rsidDel="00000000" w:rsidR="00000000" w:rsidRPr="00000000">
        <w:rPr>
          <w:rFonts w:ascii="Calibri" w:cs="Calibri" w:eastAsia="Calibri" w:hAnsi="Calibri"/>
          <w:highlight w:val="cyan"/>
          <w:u w:val="single"/>
          <w:rtl w:val="0"/>
        </w:rPr>
        <w:t xml:space="preserve"> , driving substantial interest in SLMs in both research and healthcare applications</w:t>
      </w:r>
      <w:r w:rsidDel="00000000" w:rsidR="00000000" w:rsidRPr="00000000">
        <w:rPr>
          <w:rFonts w:ascii="Calibri" w:cs="Calibri" w:eastAsia="Calibri" w:hAnsi="Calibri"/>
          <w:sz w:val="16"/>
          <w:szCs w:val="16"/>
          <w:rtl w:val="0"/>
        </w:rPr>
        <w:t xml:space="preserve"> [163]. Healthcare is a broad, overarching system that encompasses the prevention, diagnosis, treatment, and management of illness, along with the preservation of physical and mental well-being through services offered by medical, nursing, and allied health professionals.</w:t>
      </w:r>
      <w:r w:rsidDel="00000000" w:rsidR="00000000" w:rsidRPr="00000000">
        <w:rPr>
          <w:rtl w:val="0"/>
        </w:rPr>
      </w:r>
    </w:p>
    <w:p w:rsidR="00000000" w:rsidDel="00000000" w:rsidP="00000000" w:rsidRDefault="00000000" w:rsidRPr="00000000" w14:paraId="0000012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deployment of language models in hospital settings demands an uncertain trade-off among high-stakes accuracy, regulatory compliance, and computational efficiency [185]. While LLMs effectively capture clinical concepts [49], </w:t>
      </w:r>
      <w:r w:rsidDel="00000000" w:rsidR="00000000" w:rsidRPr="00000000">
        <w:rPr>
          <w:rFonts w:ascii="Calibri" w:cs="Calibri" w:eastAsia="Calibri" w:hAnsi="Calibri"/>
          <w:u w:val="single"/>
          <w:rtl w:val="0"/>
        </w:rPr>
        <w:t xml:space="preserve">their high inference latency (&gt;500ms per query) and memory demands (&gt;16GB VRAM) make them unsuitable for real-time analysis of medical records with protected health information (PHI).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Healthcare data is governed by stringent regulations such as HIPAA and GDPR and requires on-premise processing to mitigate privacy risks</w:t>
      </w:r>
      <w:r w:rsidDel="00000000" w:rsidR="00000000" w:rsidRPr="00000000">
        <w:rPr>
          <w:rFonts w:ascii="Calibri" w:cs="Calibri" w:eastAsia="Calibri" w:hAnsi="Calibri"/>
          <w:sz w:val="16"/>
          <w:szCs w:val="16"/>
          <w:rtl w:val="0"/>
        </w:rPr>
        <w:t xml:space="preserve"> [88]. Regulatory agencies (e.g., FDA) encourages transparent AI-driven decision-making to promote interpretation. Knowledge-driven models generate interpretable results based on trusted external medical knowledge bases, supporting regulatory compliance such as EU Medical Device Regulation (MDR) [57]. </w:t>
      </w:r>
      <w:r w:rsidDel="00000000" w:rsidR="00000000" w:rsidRPr="00000000">
        <w:rPr>
          <w:rFonts w:ascii="Calibri" w:cs="Calibri" w:eastAsia="Calibri" w:hAnsi="Calibri"/>
          <w:u w:val="single"/>
          <w:rtl w:val="0"/>
        </w:rPr>
        <w:t xml:space="preserve">Training LLMs causes an immense carbon footprint of more than 500 metric tons CO2 which is not sustainable for environmental goals.</w:t>
      </w:r>
      <w:r w:rsidDel="00000000" w:rsidR="00000000" w:rsidRPr="00000000">
        <w:rPr>
          <w:rFonts w:ascii="Calibri" w:cs="Calibri" w:eastAsia="Calibri" w:hAnsi="Calibri"/>
          <w:sz w:val="16"/>
          <w:szCs w:val="16"/>
          <w:rtl w:val="0"/>
        </w:rPr>
        <w:t xml:space="preserve"> In contrast, SLM is optimized for watts per inference, a sustainability metric [164]. </w:t>
      </w:r>
      <w:r w:rsidDel="00000000" w:rsidR="00000000" w:rsidRPr="00000000">
        <w:rPr>
          <w:rFonts w:ascii="Calibri" w:cs="Calibri" w:eastAsia="Calibri" w:hAnsi="Calibri"/>
          <w:highlight w:val="cyan"/>
          <w:u w:val="single"/>
          <w:rtl w:val="0"/>
        </w:rPr>
        <w:t xml:space="preserve">They reduce energy consumption by </w:t>
      </w:r>
      <w:r w:rsidDel="00000000" w:rsidR="00000000" w:rsidRPr="00000000">
        <w:rPr>
          <w:rFonts w:ascii="Calibri" w:cs="Calibri" w:eastAsia="Calibri" w:hAnsi="Calibri"/>
          <w:b w:val="1"/>
          <w:bCs w:val="1"/>
          <w:highlight w:val="cyan"/>
          <w:u w:val="single"/>
          <w:rtl w:val="0"/>
        </w:rPr>
        <w:t xml:space="preserve">10 to 100 times</w:t>
      </w:r>
      <w:r w:rsidDel="00000000" w:rsidR="00000000" w:rsidRPr="00000000">
        <w:rPr>
          <w:rFonts w:ascii="Calibri" w:cs="Calibri" w:eastAsia="Calibri" w:hAnsi="Calibri"/>
          <w:highlight w:val="cyan"/>
          <w:u w:val="single"/>
          <w:rtl w:val="0"/>
        </w:rPr>
        <w:t xml:space="preserve"> through optimization and compression techniques</w:t>
      </w:r>
      <w:r w:rsidDel="00000000" w:rsidR="00000000" w:rsidRPr="00000000">
        <w:rPr>
          <w:rFonts w:ascii="Calibri" w:cs="Calibri" w:eastAsia="Calibri" w:hAnsi="Calibri"/>
          <w:sz w:val="16"/>
          <w:szCs w:val="16"/>
          <w:rtl w:val="0"/>
        </w:rPr>
        <w:t xml:space="preserve">, addressing the Jevons paradox in green AI (making models more energy-efficient can sometimes lead to an overall increase in resource consumption—not a decrease, as one might expect) [139]. Critical care scenarios require subsecond decision making driven by clinical NLP (cNLP) tasks where LLMs with high inference latencies are not suitable for time-sensitive applications [13]. As such, we opt to expose the potential of SLM to address specialized healthcare challenges under limited resources and time constraints.</w:t>
      </w:r>
      <w:r w:rsidDel="00000000" w:rsidR="00000000" w:rsidRPr="00000000">
        <w:rPr>
          <w:rtl w:val="0"/>
        </w:rPr>
      </w:r>
    </w:p>
    <w:p w:rsidR="00000000" w:rsidDel="00000000" w:rsidP="00000000" w:rsidRDefault="00000000" w:rsidRPr="00000000" w14:paraId="0000012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SLM models lie on the “knee” of Pareto frontier, a curve that represents the set of solutions to multi-objective optimization where no objective can be improved without worsening at least one other objective [35], maximizing the utility per parameter. These models with fewer parameters than LLMs, aim for Pareto efficiency, a change that makes at least one person better off without making anyone else worse off. This balances performance with minimal use of resources, reducing latency, memory consumption and environmental impact. Consequently, SLMs are optimized for production-ready deployment, which is achieved through architectural innovations and task-aware specializations [203]. Unlike LLMs, SLMs in healthcare are designed as democratization (Accessible, participatory, and equitable model development) tools [189], enabling decision-making in low-resource settings and shaping a design philosophy that extends beyond model size. </w:t>
      </w:r>
      <w:r w:rsidDel="00000000" w:rsidR="00000000" w:rsidRPr="00000000">
        <w:rPr>
          <w:rFonts w:ascii="Calibri" w:cs="Calibri" w:eastAsia="Calibri" w:hAnsi="Calibri"/>
          <w:highlight w:val="cyan"/>
          <w:u w:val="single"/>
          <w:rtl w:val="0"/>
        </w:rPr>
        <w:t xml:space="preserve">Platforms such as Pytorch, Hugging Face and Lamini define the practical deployability of language models that run on consumer hardware without specialized infrastructure.</w:t>
      </w:r>
      <w:r w:rsidDel="00000000" w:rsidR="00000000" w:rsidRPr="00000000">
        <w:rPr>
          <w:rFonts w:ascii="Calibri" w:cs="Calibri" w:eastAsia="Calibri" w:hAnsi="Calibri"/>
          <w:u w:val="single"/>
          <w:rtl w:val="0"/>
        </w:rPr>
        <w:t xml:space="preserve"> A single consumer workstation with an NVIDIA GPU with 16GB VRAM (e.g., RTX 4060 Ti 16GB or RTX 4070 Ti SUPER 16GB), 64GB system RAM, and a 2TB NVMe SSD can run a 7B model quantized to 4-bit for interactive clinical inference; 24GB VRAM (e.g., RTX 4090) is recommended for longer contexts and multi-user throughput.</w:t>
      </w:r>
      <w:r w:rsidDel="00000000" w:rsidR="00000000" w:rsidRPr="00000000">
        <w:rPr>
          <w:rtl w:val="0"/>
        </w:rPr>
      </w:r>
    </w:p>
    <w:p w:rsidR="00000000" w:rsidDel="00000000" w:rsidP="00000000" w:rsidRDefault="00000000" w:rsidRPr="00000000" w14:paraId="00000129">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In SLMs, the lower bound must represents the minimum size required to exhibit emergent abilities for healthcare applications, while the upper bound is constrained by the maximum size manageable under limited resource conditions [138]. While models exceeding 7B parameters typically require high-end GPUs, 7B represents a practical upper limit for local execution in the current scenario, though future models may surpass this. Consistent with neural scaling-law observations of smooth power-law performance gains [12], we conceptualize 7B threshold as approximating a resource-efficient region of the model scaling continuum. </w:t>
      </w:r>
      <w:r w:rsidDel="00000000" w:rsidR="00000000" w:rsidRPr="00000000">
        <w:rPr>
          <w:rFonts w:ascii="Calibri" w:cs="Calibri" w:eastAsia="Calibri" w:hAnsi="Calibri"/>
          <w:highlight w:val="cyan"/>
          <w:u w:val="single"/>
          <w:rtl w:val="0"/>
        </w:rPr>
        <w:t xml:space="preserve">The 7B range aligns with practical infrastructure realities in hospital IT environments, where single-GPU servers </w:t>
      </w:r>
      <w:r w:rsidDel="00000000" w:rsidR="00000000" w:rsidRPr="00000000">
        <w:rPr>
          <w:rFonts w:ascii="Calibri" w:cs="Calibri" w:eastAsia="Calibri" w:hAnsi="Calibri"/>
          <w:u w:val="single"/>
          <w:rtl w:val="0"/>
        </w:rPr>
        <w:t xml:space="preserve">(e.g., 16–24GB VRAM)</w:t>
      </w:r>
      <w:r w:rsidDel="00000000" w:rsidR="00000000" w:rsidRPr="00000000">
        <w:rPr>
          <w:rFonts w:ascii="Calibri" w:cs="Calibri" w:eastAsia="Calibri" w:hAnsi="Calibri"/>
          <w:b w:val="1"/>
          <w:bCs w:val="1"/>
          <w:highlight w:val="cyan"/>
          <w:u w:val="single"/>
          <w:rtl w:val="0"/>
        </w:rPr>
        <w:t xml:space="preserve"> , optimized edge accelerators, or quantized on-premise systems can realistically support inference without requiring distributed or cloud-based infrastructure</w:t>
      </w:r>
      <w:r w:rsidDel="00000000" w:rsidR="00000000" w:rsidRPr="00000000">
        <w:rPr>
          <w:rFonts w:ascii="Calibri" w:cs="Calibri" w:eastAsia="Calibri" w:hAnsi="Calibri"/>
          <w:sz w:val="16"/>
          <w:szCs w:val="16"/>
          <w:rtl w:val="0"/>
        </w:rPr>
        <w:t xml:space="preserve"> [218].</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jc w:val="cente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12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