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R6 UKSO University CC vs. James Logan SN</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h730cnt9jj3z" w:id="0"/>
    <w:bookmarkEnd w:id="0"/>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1"/>
      <w:bookmarkEnd w:id="1"/>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2"/>
      <w:bookmarkEnd w:id="2"/>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p>
    <w:p w:rsidR="00000000" w:rsidDel="00000000" w:rsidP="00000000" w:rsidRDefault="00000000" w:rsidRPr="00000000" w14:paraId="000000A7">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Econ</w:t>
      </w:r>
    </w:p>
    <w:bookmarkStart w:colFirst="0" w:colLast="0" w:name="65kv6s19pgri" w:id="3"/>
    <w:bookmarkEnd w:id="3"/>
    <w:p w:rsidR="00000000" w:rsidDel="00000000" w:rsidP="00000000" w:rsidRDefault="00000000" w:rsidRPr="00000000" w14:paraId="000000A9">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A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go5r9slkw4x1" w:id="4"/>
    <w:bookmarkEnd w:id="4"/>
    <w:p w:rsidR="00000000" w:rsidDel="00000000" w:rsidP="00000000" w:rsidRDefault="00000000" w:rsidRPr="00000000" w14:paraId="000000B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0B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0B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0BF">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0C1">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0C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0C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0C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0C7">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0C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bookmarkStart w:colFirst="0" w:colLast="0" w:name="msd2ct7gz45d" w:id="5"/>
    <w:bookmarkEnd w:id="5"/>
    <w:p w:rsidR="00000000" w:rsidDel="00000000" w:rsidP="00000000" w:rsidRDefault="00000000" w:rsidRPr="00000000" w14:paraId="000000C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Their own link is the danger - balancing </w:t>
      </w:r>
      <w:r w:rsidDel="00000000" w:rsidR="00000000" w:rsidRPr="00000000">
        <w:rPr>
          <w:rFonts w:ascii="Calibri" w:cs="Calibri" w:eastAsia="Calibri" w:hAnsi="Calibri"/>
          <w:b w:val="1"/>
          <w:bCs w:val="1"/>
          <w:color w:val="000000"/>
          <w:sz w:val="26"/>
          <w:szCs w:val="26"/>
          <w:u w:val="single"/>
          <w:rtl w:val="0"/>
        </w:rPr>
        <w:t xml:space="preserve">half the economy</w:t>
      </w:r>
      <w:r w:rsidDel="00000000" w:rsidR="00000000" w:rsidRPr="00000000">
        <w:rPr>
          <w:rFonts w:ascii="Calibri" w:cs="Calibri" w:eastAsia="Calibri" w:hAnsi="Calibri"/>
          <w:b w:val="1"/>
          <w:bCs w:val="1"/>
          <w:color w:val="000000"/>
          <w:sz w:val="26"/>
          <w:szCs w:val="26"/>
          <w:rtl w:val="0"/>
        </w:rPr>
        <w:t xml:space="preserve"> on one industry is a </w:t>
      </w:r>
      <w:r w:rsidDel="00000000" w:rsidR="00000000" w:rsidRPr="00000000">
        <w:rPr>
          <w:rFonts w:ascii="Calibri" w:cs="Calibri" w:eastAsia="Calibri" w:hAnsi="Calibri"/>
          <w:b w:val="1"/>
          <w:bCs w:val="1"/>
          <w:color w:val="000000"/>
          <w:sz w:val="26"/>
          <w:szCs w:val="26"/>
          <w:u w:val="single"/>
          <w:rtl w:val="0"/>
        </w:rPr>
        <w:t xml:space="preserve">house of cards</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IBT 7/16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rsidR="00000000" w:rsidDel="00000000" w:rsidP="00000000" w:rsidRDefault="00000000" w:rsidRPr="00000000" w14:paraId="000000C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AI-related economic activity now accounts for approximately </w:t>
      </w:r>
      <w:r w:rsidDel="00000000" w:rsidR="00000000" w:rsidRPr="00000000">
        <w:rPr>
          <w:rFonts w:ascii="Calibri" w:cs="Calibri" w:eastAsia="Calibri" w:hAnsi="Calibri"/>
          <w:b w:val="1"/>
          <w:bCs w:val="1"/>
          <w:highlight w:val="cyan"/>
          <w:u w:val="single"/>
          <w:rtl w:val="0"/>
        </w:rPr>
        <w:t xml:space="preserve">half of all U.S. economic growth</w:t>
      </w:r>
      <w:r w:rsidDel="00000000" w:rsidR="00000000" w:rsidRPr="00000000">
        <w:rPr>
          <w:rFonts w:ascii="Calibri" w:cs="Calibri" w:eastAsia="Calibri" w:hAnsi="Calibri"/>
          <w:u w:val="single"/>
          <w:rtl w:val="0"/>
        </w:rPr>
        <w:t xml:space="preserve"> in 2026, according to Apollo Global Management's Chief Economist Torsten Slok.</w:t>
      </w:r>
      <w:r w:rsidDel="00000000" w:rsidR="00000000" w:rsidRPr="00000000">
        <w:rPr>
          <w:rFonts w:ascii="Calibri" w:cs="Calibri" w:eastAsia="Calibri" w:hAnsi="Calibri"/>
          <w:sz w:val="16"/>
          <w:szCs w:val="16"/>
          <w:rtl w:val="0"/>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r w:rsidDel="00000000" w:rsidR="00000000" w:rsidRPr="00000000">
        <w:rPr>
          <w:rtl w:val="0"/>
        </w:rPr>
      </w:r>
    </w:p>
    <w:p w:rsidR="00000000" w:rsidDel="00000000" w:rsidP="00000000" w:rsidRDefault="00000000" w:rsidRPr="00000000" w14:paraId="000000C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r w:rsidDel="00000000" w:rsidR="00000000" w:rsidRPr="00000000">
        <w:rPr>
          <w:rtl w:val="0"/>
        </w:rPr>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Eisman noted that </w:t>
      </w:r>
      <w:r w:rsidDel="00000000" w:rsidR="00000000" w:rsidRPr="00000000">
        <w:rPr>
          <w:rFonts w:ascii="Calibri" w:cs="Calibri" w:eastAsia="Calibri" w:hAnsi="Calibri"/>
          <w:b w:val="1"/>
          <w:bCs w:val="1"/>
          <w:highlight w:val="cyan"/>
          <w:u w:val="single"/>
          <w:rtl w:val="0"/>
        </w:rPr>
        <w:t xml:space="preserve">half of all newly originated corporate debt in 2026 is AI-linked,</w:t>
      </w:r>
      <w:r w:rsidDel="00000000" w:rsidR="00000000" w:rsidRPr="00000000">
        <w:rPr>
          <w:rFonts w:ascii="Calibri" w:cs="Calibri" w:eastAsia="Calibri" w:hAnsi="Calibri"/>
          <w:u w:val="single"/>
          <w:rtl w:val="0"/>
        </w:rPr>
        <w:t xml:space="preserve"> and AI-related corporate debt now accounts for </w:t>
      </w:r>
      <w:r w:rsidDel="00000000" w:rsidR="00000000" w:rsidRPr="00000000">
        <w:rPr>
          <w:rFonts w:ascii="Calibri" w:cs="Calibri" w:eastAsia="Calibri" w:hAnsi="Calibri"/>
          <w:b w:val="1"/>
          <w:bCs w:val="1"/>
          <w:u w:val="single"/>
          <w:rtl w:val="0"/>
        </w:rPr>
        <w:t xml:space="preserve">15% of the entire corporate bond market.</w:t>
      </w:r>
      <w:r w:rsidDel="00000000" w:rsidR="00000000" w:rsidRPr="00000000">
        <w:rPr>
          <w:rtl w:val="0"/>
        </w:rPr>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same AI dominance is evident in the stock market with technology and technology-adjacent companies like Amazon and Google constituting 50% of the S&amp;P 500's total value according to Barron's.</w:t>
      </w:r>
      <w:r w:rsidDel="00000000" w:rsidR="00000000" w:rsidRPr="00000000">
        <w:rPr>
          <w:rtl w:val="0"/>
        </w:rPr>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unprecedented concentration across stocks, corporate debt, and capital spending makes the broader economy </w:t>
      </w:r>
      <w:r w:rsidDel="00000000" w:rsidR="00000000" w:rsidRPr="00000000">
        <w:rPr>
          <w:rFonts w:ascii="Calibri" w:cs="Calibri" w:eastAsia="Calibri" w:hAnsi="Calibri"/>
          <w:b w:val="1"/>
          <w:bCs w:val="1"/>
          <w:highlight w:val="cyan"/>
          <w:u w:val="single"/>
          <w:rtl w:val="0"/>
        </w:rPr>
        <w:t xml:space="preserve">dependent on the fortunes of not only a single industry but a single technology within that industry.</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critics like journalist Ed Zitron have interpreted the circular character of AI financing as a sign that an asset bubble is brewing, with established tech companies investing in AI startups which then sign deals with the companies that invested in them.</w:t>
      </w:r>
      <w:r w:rsidDel="00000000" w:rsidR="00000000" w:rsidRPr="00000000">
        <w:rPr>
          <w:rtl w:val="0"/>
        </w:rPr>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Yet even if such bubble predictions turn out to be mistaken, </w:t>
      </w:r>
      <w:r w:rsidDel="00000000" w:rsidR="00000000" w:rsidRPr="00000000">
        <w:rPr>
          <w:rFonts w:ascii="Calibri" w:cs="Calibri" w:eastAsia="Calibri" w:hAnsi="Calibri"/>
          <w:b w:val="1"/>
          <w:bCs w:val="1"/>
          <w:highlight w:val="cyan"/>
          <w:u w:val="single"/>
          <w:rtl w:val="0"/>
        </w:rPr>
        <w:t xml:space="preserve">the real risk is concentration.</w:t>
      </w:r>
      <w:r w:rsidDel="00000000" w:rsidR="00000000" w:rsidRPr="00000000">
        <w:rPr>
          <w:rtl w:val="0"/>
        </w:rPr>
      </w:r>
    </w:p>
    <w:bookmarkStart w:colFirst="0" w:colLast="0" w:name="swj4jvuo891c" w:id="6"/>
    <w:bookmarkEnd w:id="6"/>
    <w:p w:rsidR="00000000" w:rsidDel="00000000" w:rsidP="00000000" w:rsidRDefault="00000000" w:rsidRPr="00000000" w14:paraId="000000D3">
      <w:pPr>
        <w:pStyle w:val="Heading4"/>
        <w:spacing w:after="160" w:before="200" w:line="259" w:lineRule="auto"/>
        <w:rPr>
          <w:rFonts w:ascii="Calibri" w:cs="Calibri" w:eastAsia="Calibri" w:hAnsi="Calibri"/>
          <w:b w:val="1"/>
          <w:bCs w:val="1"/>
          <w:color w:val="000000"/>
          <w:sz w:val="26"/>
          <w:szCs w:val="26"/>
        </w:rPr>
      </w:pPr>
      <w:bookmarkStart w:colFirst="0" w:colLast="0" w:name="_s78v10hd6b7f" w:id="7"/>
      <w:bookmarkEnd w:id="7"/>
      <w:r w:rsidDel="00000000" w:rsidR="00000000" w:rsidRPr="00000000">
        <w:rPr>
          <w:rFonts w:ascii="Calibri" w:cs="Calibri" w:eastAsia="Calibri" w:hAnsi="Calibri"/>
          <w:b w:val="1"/>
          <w:bCs w:val="1"/>
          <w:color w:val="000000"/>
          <w:sz w:val="26"/>
          <w:szCs w:val="26"/>
          <w:rtl w:val="0"/>
        </w:rPr>
        <w:t xml:space="preserve">The job promises are a </w:t>
      </w:r>
      <w:r w:rsidDel="00000000" w:rsidR="00000000" w:rsidRPr="00000000">
        <w:rPr>
          <w:rFonts w:ascii="Calibri" w:cs="Calibri" w:eastAsia="Calibri" w:hAnsi="Calibri"/>
          <w:b w:val="1"/>
          <w:bCs w:val="1"/>
          <w:color w:val="000000"/>
          <w:sz w:val="26"/>
          <w:szCs w:val="26"/>
          <w:u w:val="single"/>
          <w:rtl w:val="0"/>
        </w:rPr>
        <w:t xml:space="preserve">mirage</w:t>
      </w:r>
      <w:r w:rsidDel="00000000" w:rsidR="00000000" w:rsidRPr="00000000">
        <w:rPr>
          <w:rFonts w:ascii="Calibri" w:cs="Calibri" w:eastAsia="Calibri" w:hAnsi="Calibri"/>
          <w:b w:val="1"/>
          <w:bCs w:val="1"/>
          <w:color w:val="000000"/>
          <w:sz w:val="26"/>
          <w:szCs w:val="26"/>
          <w:rtl w:val="0"/>
        </w:rPr>
        <w:t xml:space="preserve"> - a warehouse full of servers employs a few dozen people</w:t>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Pipa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[Anthony F. Pipa, Co-Director of the Center for Sustainable Development and Senior Fellow @ Brookings Institution, 5-4-2026, "New evidence on data center employment effects," Brookings Institution. DOA: 9-1-2026 https://www.brookings.edu/articles/new-evidence-on-data-center-employment-effects/] //AP //recut za2</w:t>
      </w:r>
    </w:p>
    <w:p w:rsidR="00000000" w:rsidDel="00000000" w:rsidP="00000000" w:rsidRDefault="00000000" w:rsidRPr="00000000" w14:paraId="000000D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Proponents counter that data centers bring high-paying jobs, construction activity, and tax revenue. A single hyperscale campus, such as those built by Amazon, Google, and Microsoft, can become one of a county's largest taxpayers. Supporters also argue that the United States cannot cede AI infrastructure to geopolitical competitors, and that pausing construction amounts to surrendering technological leadership.</w:t>
      </w:r>
      <w:r w:rsidDel="00000000" w:rsidR="00000000" w:rsidRPr="00000000">
        <w:rPr>
          <w:rtl w:val="0"/>
        </w:rPr>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Critics respond that these benefits are </w:t>
      </w:r>
      <w:r w:rsidDel="00000000" w:rsidR="00000000" w:rsidRPr="00000000">
        <w:rPr>
          <w:rFonts w:ascii="Calibri" w:cs="Calibri" w:eastAsia="Calibri" w:hAnsi="Calibri"/>
          <w:b w:val="1"/>
          <w:bCs w:val="1"/>
          <w:highlight w:val="cyan"/>
          <w:u w:val="single"/>
          <w:rtl w:val="0"/>
        </w:rPr>
        <w:t xml:space="preserve">overstated,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in part because data centers are among the least labor-intensive structures in the economy.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For instance, large data center projects often promise only </w:t>
      </w:r>
      <w:r w:rsidDel="00000000" w:rsidR="00000000" w:rsidRPr="00000000">
        <w:rPr>
          <w:rFonts w:ascii="Calibri" w:cs="Calibri" w:eastAsia="Calibri" w:hAnsi="Calibri"/>
          <w:b w:val="1"/>
          <w:bCs w:val="1"/>
          <w:highlight w:val="cyan"/>
          <w:u w:val="single"/>
          <w:rtl w:val="0"/>
        </w:rPr>
        <w:t xml:space="preserve">dozens to a few hundred permanent workers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while the associated construction jobs are </w:t>
      </w:r>
      <w:r w:rsidDel="00000000" w:rsidR="00000000" w:rsidRPr="00000000">
        <w:rPr>
          <w:rFonts w:ascii="Calibri" w:cs="Calibri" w:eastAsia="Calibri" w:hAnsi="Calibri"/>
          <w:b w:val="1"/>
          <w:bCs w:val="1"/>
          <w:highlight w:val="cyan"/>
          <w:u w:val="single"/>
          <w:rtl w:val="0"/>
        </w:rPr>
        <w:t xml:space="preserve">temporary.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the tax incentives are costly: In Virginia alone, the data-center sales-tax exemption cost an estimated </w:t>
      </w:r>
      <w:r w:rsidDel="00000000" w:rsidR="00000000" w:rsidRPr="00000000">
        <w:rPr>
          <w:rFonts w:ascii="Calibri" w:cs="Calibri" w:eastAsia="Calibri" w:hAnsi="Calibri"/>
          <w:b w:val="1"/>
          <w:bCs w:val="1"/>
          <w:u w:val="single"/>
          <w:rtl w:val="0"/>
        </w:rPr>
        <w:t xml:space="preserve">$1.6 billion in fiscal year 2025.</w:t>
      </w:r>
      <w:r w:rsidDel="00000000" w:rsidR="00000000" w:rsidRPr="00000000">
        <w:rPr>
          <w:rFonts w:ascii="Calibri" w:cs="Calibri" w:eastAsia="Calibri" w:hAnsi="Calibri"/>
          <w:sz w:val="16"/>
          <w:szCs w:val="16"/>
          <w:rtl w:val="0"/>
        </w:rPr>
        <w:t xml:space="preserve"> These incentives may simply be subsidizing investments that would have happened anyway.</w:t>
      </w:r>
      <w:r w:rsidDel="00000000" w:rsidR="00000000" w:rsidRPr="00000000">
        <w:rPr>
          <w:rtl w:val="0"/>
        </w:rPr>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the evidence says about jobs What has been largely missing from this debate is rigorous evidence on the economic effects that data centers actually produce. To this end, we assembled a dataset of approximately 770 U.S. data center facilities linked to county-level employment and wage data from the Bureau of Labor Statistics (2003-2024).1 The dataset covers 93 counties that received their first large data center between 2008 and 2024 and approximately 3,000 control counties that never received one. We estimate the impact of the data centers on jobs using the synthetic control method (SCM), which constructs a counterfactual for each treated county by finding a weighted combination of control counties that matches the treated county's pretreatment employment trajectory. This approach is important because before the facilities arrived, data center counties were growing faster than other counties. As a result, a naive comparison of treated and control counties, as some industry-sponsored reports have done, would overstate the impact on jobs by a factor of three.</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We find that data centers do create local jobs, with caveats (Figure 1). Counties that receive their first large data center see total private employment rise by 4%-5% over five to six years. Construction employment jumps 11%, and information sector employment—IT services, telecommunications, software—grows by 22%. Wages rise by 3%-4% for both existing workers and new hires, without a significant increase in home prices. At a typical treated county with 98,000 workers, these estimates imply roughly 2,000 to 4,000 additional jobs after six years, depending on facility type.</w:t>
      </w:r>
      <w:r w:rsidDel="00000000" w:rsidR="00000000" w:rsidRPr="00000000">
        <w:rPr>
          <w:rtl w:val="0"/>
        </w:rPr>
      </w:r>
    </w:p>
    <w:p w:rsidR="00000000" w:rsidDel="00000000" w:rsidP="00000000" w:rsidRDefault="00000000" w:rsidRPr="00000000" w14:paraId="000000D9">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Cyber</w:t>
      </w:r>
    </w:p>
    <w:bookmarkStart w:colFirst="0" w:colLast="0" w:name="ovkcz6709dop" w:id="8"/>
    <w:bookmarkEnd w:id="8"/>
    <w:p w:rsidR="00000000" w:rsidDel="00000000" w:rsidP="00000000" w:rsidRDefault="00000000" w:rsidRPr="00000000" w14:paraId="000000D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More AI means </w:t>
      </w:r>
      <w:r w:rsidDel="00000000" w:rsidR="00000000" w:rsidRPr="00000000">
        <w:rPr>
          <w:rFonts w:ascii="Calibri" w:cs="Calibri" w:eastAsia="Calibri" w:hAnsi="Calibri"/>
          <w:b w:val="1"/>
          <w:bCs w:val="1"/>
          <w:color w:val="000000"/>
          <w:sz w:val="26"/>
          <w:szCs w:val="26"/>
          <w:u w:val="single"/>
          <w:rtl w:val="0"/>
        </w:rPr>
        <w:t xml:space="preserve">more cyberattacks</w:t>
      </w:r>
      <w:r w:rsidDel="00000000" w:rsidR="00000000" w:rsidRPr="00000000">
        <w:rPr>
          <w:rFonts w:ascii="Calibri" w:cs="Calibri" w:eastAsia="Calibri" w:hAnsi="Calibri"/>
          <w:b w:val="1"/>
          <w:bCs w:val="1"/>
          <w:color w:val="000000"/>
          <w:sz w:val="26"/>
          <w:szCs w:val="26"/>
          <w:rtl w:val="0"/>
        </w:rPr>
        <w:t xml:space="preserve">, not fewer - their argument runs </w:t>
      </w:r>
      <w:r w:rsidDel="00000000" w:rsidR="00000000" w:rsidRPr="00000000">
        <w:rPr>
          <w:rFonts w:ascii="Calibri" w:cs="Calibri" w:eastAsia="Calibri" w:hAnsi="Calibri"/>
          <w:b w:val="1"/>
          <w:bCs w:val="1"/>
          <w:color w:val="000000"/>
          <w:sz w:val="26"/>
          <w:szCs w:val="26"/>
          <w:u w:val="single"/>
          <w:rtl w:val="0"/>
        </w:rPr>
        <w:t xml:space="preserve">backwards</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IBM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[No author, massive tech corporation, 2-25-2026, "IBM 2026 X-Force Threat Index: AI-Driven Attacks are Escalating as Basic Security Gaps Leave Enterprises Exposed," IBM Newsroom. DOA: 9-1-2026 https://newsroom.ibm.com/2026-02-25-ibm-2026-x-force-threat-index-ai-driven-attacks-are-escalating-as-basic-security-gaps-leave-enterprises-exposed] //goniichan //recut za2</w:t>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ARMONK, N.Y., Feb. 25, 2026 /PRNewswire/ -- IBM (NYSE: IBM) today released the 2026 X-Force Threat Intelligence Index, revealing that </w:t>
      </w:r>
      <w:r w:rsidDel="00000000" w:rsidR="00000000" w:rsidRPr="00000000">
        <w:rPr>
          <w:rFonts w:ascii="Calibri" w:cs="Calibri" w:eastAsia="Calibri" w:hAnsi="Calibri"/>
          <w:u w:val="single"/>
          <w:rtl w:val="0"/>
        </w:rPr>
        <w:t xml:space="preserve">cybercriminals are exploiting basic security gaps at dramatically higher rates,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now </w:t>
      </w:r>
      <w:r w:rsidDel="00000000" w:rsidR="00000000" w:rsidRPr="00000000">
        <w:rPr>
          <w:rFonts w:ascii="Calibri" w:cs="Calibri" w:eastAsia="Calibri" w:hAnsi="Calibri"/>
          <w:b w:val="1"/>
          <w:bCs w:val="1"/>
          <w:highlight w:val="cyan"/>
          <w:u w:val="single"/>
          <w:rtl w:val="0"/>
        </w:rPr>
        <w:t xml:space="preserve">accelerated by AI tools</w:t>
      </w:r>
      <w:r w:rsidDel="00000000" w:rsidR="00000000" w:rsidRPr="00000000">
        <w:rPr>
          <w:rFonts w:ascii="Calibri" w:cs="Calibri" w:eastAsia="Calibri" w:hAnsi="Calibri"/>
          <w:highlight w:val="cyan"/>
          <w:u w:val="single"/>
          <w:rtl w:val="0"/>
        </w:rPr>
        <w:t xml:space="preserve"> that </w:t>
      </w:r>
      <w:r w:rsidDel="00000000" w:rsidR="00000000" w:rsidRPr="00000000">
        <w:rPr>
          <w:rFonts w:ascii="Calibri" w:cs="Calibri" w:eastAsia="Calibri" w:hAnsi="Calibri"/>
          <w:b w:val="1"/>
          <w:bCs w:val="1"/>
          <w:highlight w:val="cyan"/>
          <w:u w:val="single"/>
          <w:rtl w:val="0"/>
        </w:rPr>
        <w:t xml:space="preserve">help attackers identify weaknesses faster than ever.</w:t>
      </w:r>
      <w:r w:rsidDel="00000000" w:rsidR="00000000" w:rsidRPr="00000000">
        <w:rPr>
          <w:rFonts w:ascii="Calibri" w:cs="Calibri" w:eastAsia="Calibri" w:hAnsi="Calibri"/>
          <w:sz w:val="16"/>
          <w:szCs w:val="16"/>
          <w:rtl w:val="0"/>
        </w:rPr>
        <w:t xml:space="preserve"> IBM X-Force observed a 44% increase in attacks that began with the exploitation of public-facing applications, largely driven by missing authentication controls and </w:t>
      </w:r>
      <w:r w:rsidDel="00000000" w:rsidR="00000000" w:rsidRPr="00000000">
        <w:rPr>
          <w:rFonts w:ascii="Calibri" w:cs="Calibri" w:eastAsia="Calibri" w:hAnsi="Calibri"/>
          <w:u w:val="single"/>
          <w:rtl w:val="0"/>
        </w:rPr>
        <w:t xml:space="preserve">AI-enabled vulnerability discovery.</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key highlights include: Active ransomware and extortion groups surged (</w:t>
      </w:r>
      <w:r w:rsidDel="00000000" w:rsidR="00000000" w:rsidRPr="00000000">
        <w:rPr>
          <w:rFonts w:ascii="Calibri" w:cs="Calibri" w:eastAsia="Calibri" w:hAnsi="Calibri"/>
          <w:b w:val="1"/>
          <w:bCs w:val="1"/>
          <w:u w:val="single"/>
          <w:rtl w:val="0"/>
        </w:rPr>
        <w:t xml:space="preserve">49%</w:t>
      </w:r>
      <w:r w:rsidDel="00000000" w:rsidR="00000000" w:rsidRPr="00000000">
        <w:rPr>
          <w:rFonts w:ascii="Calibri" w:cs="Calibri" w:eastAsia="Calibri" w:hAnsi="Calibri"/>
          <w:sz w:val="16"/>
          <w:szCs w:val="16"/>
          <w:rtl w:val="0"/>
        </w:rPr>
        <w:t xml:space="preserve">) year over year, marking ecosystem fragmentation, while publicly disclosed victim counts rose roughly 12%.</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Large supply chain and third-party compromises nearly quadrupled since 2020, as attackers increasingly exploit environments where software is built and deployed or SaaS integrations.</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Vulnerability exploitation became the leading cause of attacks, accounting for </w:t>
      </w:r>
      <w:r w:rsidDel="00000000" w:rsidR="00000000" w:rsidRPr="00000000">
        <w:rPr>
          <w:rFonts w:ascii="Calibri" w:cs="Calibri" w:eastAsia="Calibri" w:hAnsi="Calibri"/>
          <w:b w:val="1"/>
          <w:bCs w:val="1"/>
          <w:u w:val="single"/>
          <w:rtl w:val="0"/>
        </w:rPr>
        <w:t xml:space="preserve">40% of incidents</w:t>
      </w:r>
      <w:r w:rsidDel="00000000" w:rsidR="00000000" w:rsidRPr="00000000">
        <w:rPr>
          <w:rFonts w:ascii="Calibri" w:cs="Calibri" w:eastAsia="Calibri" w:hAnsi="Calibri"/>
          <w:sz w:val="16"/>
          <w:szCs w:val="16"/>
          <w:rtl w:val="0"/>
        </w:rPr>
        <w:t xml:space="preserve"> observed by X-Force in 2025.</w:t>
      </w:r>
      <w:r w:rsidDel="00000000" w:rsidR="00000000" w:rsidRPr="00000000">
        <w:rPr>
          <w:rtl w:val="0"/>
        </w:rPr>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cyan"/>
          <w:u w:val="single"/>
          <w:rtl w:val="0"/>
        </w:rPr>
        <w:t xml:space="preserve">Attackers aren't reinventing playbooks,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they're speeding them up with AI,</w:t>
      </w:r>
      <w:r w:rsidDel="00000000" w:rsidR="00000000" w:rsidRPr="00000000">
        <w:rPr>
          <w:rFonts w:ascii="Calibri" w:cs="Calibri" w:eastAsia="Calibri" w:hAnsi="Calibri"/>
          <w:sz w:val="16"/>
          <w:szCs w:val="16"/>
          <w:rtl w:val="0"/>
        </w:rPr>
        <w:t xml:space="preserve">" said Mark Hughes, Global Managing Partner for Cybersecurity Services, IBM. "The core issue is the same: businesses are overwhelmed by software vulnerabilities. The difference now is speed. </w:t>
      </w:r>
      <w:r w:rsidDel="00000000" w:rsidR="00000000" w:rsidRPr="00000000">
        <w:rPr>
          <w:rFonts w:ascii="Calibri" w:cs="Calibri" w:eastAsia="Calibri" w:hAnsi="Calibri"/>
          <w:u w:val="single"/>
          <w:rtl w:val="0"/>
        </w:rPr>
        <w:t xml:space="preserve">With so many vulnerabilities requiring no credentials,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attackers can bypass humans and </w:t>
      </w:r>
      <w:r w:rsidDel="00000000" w:rsidR="00000000" w:rsidRPr="00000000">
        <w:rPr>
          <w:rFonts w:ascii="Calibri" w:cs="Calibri" w:eastAsia="Calibri" w:hAnsi="Calibri"/>
          <w:b w:val="1"/>
          <w:bCs w:val="1"/>
          <w:highlight w:val="cyan"/>
          <w:u w:val="single"/>
          <w:rtl w:val="0"/>
        </w:rPr>
        <w:t xml:space="preserve">move straight from scanning to impact.</w:t>
      </w:r>
      <w:r w:rsidDel="00000000" w:rsidR="00000000" w:rsidRPr="00000000">
        <w:rPr>
          <w:rFonts w:ascii="Calibri" w:cs="Calibri" w:eastAsia="Calibri" w:hAnsi="Calibri"/>
          <w:sz w:val="16"/>
          <w:szCs w:val="16"/>
          <w:rtl w:val="0"/>
        </w:rPr>
        <w:t xml:space="preserve"> Security leaders need to shift to a more proactive approach, using agentic-powered threat detection and response to identify gaps and catch threats before they escalate."</w:t>
      </w:r>
      <w:r w:rsidDel="00000000" w:rsidR="00000000" w:rsidRPr="00000000">
        <w:rPr>
          <w:rtl w:val="0"/>
        </w:rPr>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br w:type="textWrapping"/>
        <w:t xml:space="preserve">    </w:t>
      </w:r>
      <w:r w:rsidDel="00000000" w:rsidR="00000000" w:rsidRPr="00000000">
        <w:rPr>
          <w:rFonts w:ascii="Calibri" w:cs="Calibri" w:eastAsia="Calibri" w:hAnsi="Calibri"/>
          <w:sz w:val="2"/>
          <w:szCs w:val="2"/>
          <w:rtl w:val="0"/>
        </w:rPr>
        <w:t xml:space="preserve">AI's Mounting Identity Problem Infostealer malware led to the exposure of over 300,000 ChatGPT credentials in 2025, signaling that AI platforms have reached the same credential risk as other core enterprise SaaS solutions. Compromised chatbot credentials create AI-specific risks beyond simple account access. Attackers can manipulate outputs, exfiltrate sensitive data or inject malicious prompts. This underscores the need to assess enterprise-wide AI adoption and enforce strong authentication, and conditional access controls. AI, Leaked Tooling Lower Barriers to Ransomware Ecosystem</w:t>
      </w:r>
      <w:r w:rsidDel="00000000" w:rsidR="00000000" w:rsidRPr="00000000">
        <w:rPr>
          <w:rFonts w:ascii="Calibri" w:cs="Calibri" w:eastAsia="Calibri" w:hAnsi="Calibri"/>
          <w:sz w:val="16"/>
          <w:szCs w:val="16"/>
          <w:rtl w:val="0"/>
        </w:rPr>
        <w:br w:type="textWrapping"/>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2025, X-Force observed a 49% increase in active ransomware groups compared to the prior year, as smaller, transient operators whose low volume campaigns complicate attribution. </w:t>
      </w:r>
      <w:r w:rsidDel="00000000" w:rsidR="00000000" w:rsidRPr="00000000">
        <w:rPr>
          <w:rFonts w:ascii="Calibri" w:cs="Calibri" w:eastAsia="Calibri" w:hAnsi="Calibri"/>
          <w:u w:val="single"/>
          <w:rtl w:val="0"/>
        </w:rPr>
        <w:t xml:space="preserve">This trend is accelerated by collapsing barriers to entry as threat actors reuse leaked tooling, rely on established playbooks and </w:t>
      </w:r>
      <w:r w:rsidDel="00000000" w:rsidR="00000000" w:rsidRPr="00000000">
        <w:rPr>
          <w:rFonts w:ascii="Calibri" w:cs="Calibri" w:eastAsia="Calibri" w:hAnsi="Calibri"/>
          <w:highlight w:val="cyan"/>
          <w:u w:val="single"/>
          <w:rtl w:val="0"/>
        </w:rPr>
        <w:t xml:space="preserve">increasingly tap AI to </w:t>
      </w:r>
      <w:r w:rsidDel="00000000" w:rsidR="00000000" w:rsidRPr="00000000">
        <w:rPr>
          <w:rFonts w:ascii="Calibri" w:cs="Calibri" w:eastAsia="Calibri" w:hAnsi="Calibri"/>
          <w:b w:val="1"/>
          <w:bCs w:val="1"/>
          <w:highlight w:val="cyan"/>
          <w:u w:val="single"/>
          <w:rtl w:val="0"/>
        </w:rPr>
        <w:t xml:space="preserve">automate operations.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As multimodal AI models mature, X-Force expects </w:t>
      </w:r>
      <w:r w:rsidDel="00000000" w:rsidR="00000000" w:rsidRPr="00000000">
        <w:rPr>
          <w:rFonts w:ascii="Calibri" w:cs="Calibri" w:eastAsia="Calibri" w:hAnsi="Calibri"/>
          <w:highlight w:val="cyan"/>
          <w:u w:val="single"/>
          <w:rtl w:val="0"/>
        </w:rPr>
        <w:t xml:space="preserve">adversaries to </w:t>
      </w:r>
      <w:r w:rsidDel="00000000" w:rsidR="00000000" w:rsidRPr="00000000">
        <w:rPr>
          <w:rFonts w:ascii="Calibri" w:cs="Calibri" w:eastAsia="Calibri" w:hAnsi="Calibri"/>
          <w:b w:val="1"/>
          <w:bCs w:val="1"/>
          <w:highlight w:val="cyan"/>
          <w:u w:val="single"/>
          <w:rtl w:val="0"/>
        </w:rPr>
        <w:t xml:space="preserve">automate complex tasks like reconnaissance and advanced ransomware attacks,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driving </w:t>
      </w:r>
      <w:r w:rsidDel="00000000" w:rsidR="00000000" w:rsidRPr="00000000">
        <w:rPr>
          <w:rFonts w:ascii="Calibri" w:cs="Calibri" w:eastAsia="Calibri" w:hAnsi="Calibri"/>
          <w:b w:val="1"/>
          <w:bCs w:val="1"/>
          <w:highlight w:val="cyan"/>
          <w:u w:val="single"/>
          <w:rtl w:val="0"/>
        </w:rPr>
        <w:t xml:space="preserve">faster-moving, more adaptive threats.</w:t>
      </w:r>
      <w:r w:rsidDel="00000000" w:rsidR="00000000" w:rsidRPr="00000000">
        <w:rPr>
          <w:rtl w:val="0"/>
        </w:rPr>
      </w:r>
    </w:p>
    <w:bookmarkStart w:colFirst="0" w:colLast="0" w:name="r1lyls47se5s" w:id="9"/>
    <w:bookmarkEnd w:id="9"/>
    <w:p w:rsidR="00000000" w:rsidDel="00000000" w:rsidP="00000000" w:rsidRDefault="00000000" w:rsidRPr="00000000" w14:paraId="000000E3">
      <w:pPr>
        <w:pStyle w:val="Heading4"/>
        <w:spacing w:after="160" w:before="200" w:line="259" w:lineRule="auto"/>
        <w:rPr>
          <w:rFonts w:ascii="Calibri" w:cs="Calibri" w:eastAsia="Calibri" w:hAnsi="Calibri"/>
          <w:b w:val="1"/>
          <w:bCs w:val="1"/>
          <w:color w:val="000000"/>
          <w:sz w:val="26"/>
          <w:szCs w:val="26"/>
        </w:rPr>
      </w:pPr>
      <w:bookmarkStart w:colFirst="0" w:colLast="0" w:name="_80lcslytu3ra" w:id="10"/>
      <w:bookmarkEnd w:id="10"/>
      <w:r w:rsidDel="00000000" w:rsidR="00000000" w:rsidRPr="00000000">
        <w:rPr>
          <w:rFonts w:ascii="Calibri" w:cs="Calibri" w:eastAsia="Calibri" w:hAnsi="Calibri"/>
          <w:b w:val="1"/>
          <w:bCs w:val="1"/>
          <w:color w:val="000000"/>
          <w:sz w:val="26"/>
          <w:szCs w:val="26"/>
          <w:rtl w:val="0"/>
        </w:rPr>
        <w:t xml:space="preserve">Concentrating compute into a handful of hyperscale facilities builds </w:t>
      </w:r>
      <w:r w:rsidDel="00000000" w:rsidR="00000000" w:rsidRPr="00000000">
        <w:rPr>
          <w:rFonts w:ascii="Calibri" w:cs="Calibri" w:eastAsia="Calibri" w:hAnsi="Calibri"/>
          <w:b w:val="1"/>
          <w:bCs w:val="1"/>
          <w:color w:val="000000"/>
          <w:sz w:val="26"/>
          <w:szCs w:val="26"/>
          <w:u w:val="single"/>
          <w:rtl w:val="0"/>
        </w:rPr>
        <w:t xml:space="preserve">single points of failure</w:t>
      </w:r>
      <w:r w:rsidDel="00000000" w:rsidR="00000000" w:rsidRPr="00000000">
        <w:rPr>
          <w:rFonts w:ascii="Calibri" w:cs="Calibri" w:eastAsia="Calibri" w:hAnsi="Calibri"/>
          <w:b w:val="1"/>
          <w:bCs w:val="1"/>
          <w:color w:val="000000"/>
          <w:sz w:val="26"/>
          <w:szCs w:val="26"/>
          <w:rtl w:val="0"/>
        </w:rPr>
        <w:t xml:space="preserve"> that </w:t>
      </w:r>
      <w:r w:rsidDel="00000000" w:rsidR="00000000" w:rsidRPr="00000000">
        <w:rPr>
          <w:rFonts w:ascii="Calibri" w:cs="Calibri" w:eastAsia="Calibri" w:hAnsi="Calibri"/>
          <w:b w:val="1"/>
          <w:bCs w:val="1"/>
          <w:color w:val="000000"/>
          <w:sz w:val="26"/>
          <w:szCs w:val="26"/>
          <w:u w:val="single"/>
          <w:rtl w:val="0"/>
        </w:rPr>
        <w:t xml:space="preserve">cascade across the whole internet</w:t>
      </w:r>
      <w:r w:rsidDel="00000000" w:rsidR="00000000" w:rsidRPr="00000000">
        <w:rPr>
          <w:rFonts w:ascii="Calibri" w:cs="Calibri" w:eastAsia="Calibri" w:hAnsi="Calibri"/>
          <w:b w:val="1"/>
          <w:bCs w:val="1"/>
          <w:color w:val="000000"/>
          <w:sz w:val="26"/>
          <w:szCs w:val="26"/>
          <w:rtl w:val="0"/>
        </w:rPr>
        <w:t xml:space="preserve"> when they break</w:t>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ThousandEyes 25</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[ThousandEyes Internet Research Team, Cisco-owned global internet and cloud outage-monitoring firm, 10-24-2025, "AWS Outage Analysis: October 20, 2025," ThousandEyes. DOA: 9-2-2026 https://www.thousandeyes.com/blog/aws-outage-analysis-october-20-2025] //za2</w:t>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On October 20, </w:t>
      </w:r>
      <w:r w:rsidDel="00000000" w:rsidR="00000000" w:rsidRPr="00000000">
        <w:rPr>
          <w:rFonts w:ascii="Calibri" w:cs="Calibri" w:eastAsia="Calibri" w:hAnsi="Calibri"/>
          <w:highlight w:val="cyan"/>
          <w:u w:val="single"/>
          <w:rtl w:val="0"/>
        </w:rPr>
        <w:t xml:space="preserve">Amazon Web Services (AWS) </w:t>
      </w:r>
      <w:r w:rsidDel="00000000" w:rsidR="00000000" w:rsidRPr="00000000">
        <w:rPr>
          <w:rFonts w:ascii="Calibri" w:cs="Calibri" w:eastAsia="Calibri" w:hAnsi="Calibri"/>
          <w:b w:val="1"/>
          <w:bCs w:val="1"/>
          <w:highlight w:val="cyan"/>
          <w:u w:val="single"/>
          <w:rtl w:val="0"/>
        </w:rPr>
        <w:t xml:space="preserve">experienced a significant disruption</w:t>
      </w:r>
      <w:r w:rsidDel="00000000" w:rsidR="00000000" w:rsidRPr="00000000">
        <w:rPr>
          <w:rFonts w:ascii="Calibri" w:cs="Calibri" w:eastAsia="Calibri" w:hAnsi="Calibri"/>
          <w:highlight w:val="cyan"/>
          <w:u w:val="single"/>
          <w:rtl w:val="0"/>
        </w:rPr>
        <w:t xml:space="preserve"> in its US-EAST-1 region </w:t>
      </w:r>
      <w:r w:rsidDel="00000000" w:rsidR="00000000" w:rsidRPr="00000000">
        <w:rPr>
          <w:rFonts w:ascii="Calibri" w:cs="Calibri" w:eastAsia="Calibri" w:hAnsi="Calibri"/>
          <w:b w:val="1"/>
          <w:bCs w:val="1"/>
          <w:highlight w:val="cyan"/>
          <w:u w:val="single"/>
          <w:rtl w:val="0"/>
        </w:rPr>
        <w:t xml:space="preserve">that lasted over 15 hours</w:t>
      </w:r>
      <w:r w:rsidDel="00000000" w:rsidR="00000000" w:rsidRPr="00000000">
        <w:rPr>
          <w:rFonts w:ascii="Calibri" w:cs="Calibri" w:eastAsia="Calibri" w:hAnsi="Calibri"/>
          <w:highlight w:val="cyan"/>
          <w:u w:val="single"/>
          <w:rtl w:val="0"/>
        </w:rPr>
        <w:t xml:space="preserve"> and </w:t>
      </w:r>
      <w:r w:rsidDel="00000000" w:rsidR="00000000" w:rsidRPr="00000000">
        <w:rPr>
          <w:rFonts w:ascii="Calibri" w:cs="Calibri" w:eastAsia="Calibri" w:hAnsi="Calibri"/>
          <w:b w:val="1"/>
          <w:bCs w:val="1"/>
          <w:highlight w:val="cyan"/>
          <w:u w:val="single"/>
          <w:rtl w:val="0"/>
        </w:rPr>
        <w:t xml:space="preserve">impacted multiple services</w:t>
      </w:r>
      <w:r w:rsidDel="00000000" w:rsidR="00000000" w:rsidRPr="00000000">
        <w:rPr>
          <w:rFonts w:ascii="Calibri" w:cs="Calibri" w:eastAsia="Calibri" w:hAnsi="Calibri"/>
          <w:highlight w:val="cyan"/>
          <w:u w:val="single"/>
          <w:rtl w:val="0"/>
        </w:rPr>
        <w:t xml:space="preserve"> that rely on AWS </w:t>
      </w:r>
      <w:r w:rsidDel="00000000" w:rsidR="00000000" w:rsidRPr="00000000">
        <w:rPr>
          <w:rFonts w:ascii="Calibri" w:cs="Calibri" w:eastAsia="Calibri" w:hAnsi="Calibri"/>
          <w:b w:val="1"/>
          <w:bCs w:val="1"/>
          <w:highlight w:val="cyan"/>
          <w:u w:val="single"/>
          <w:rtl w:val="0"/>
        </w:rPr>
        <w:t xml:space="preserve">including Slack, Atlassian, Snapchat, and others.</w:t>
      </w:r>
      <w:r w:rsidDel="00000000" w:rsidR="00000000" w:rsidRPr="00000000">
        <w:rPr>
          <w:rtl w:val="0"/>
        </w:rPr>
      </w:r>
    </w:p>
    <w:p w:rsidR="00000000" w:rsidDel="00000000" w:rsidP="00000000" w:rsidRDefault="00000000" w:rsidRPr="00000000" w14:paraId="000000E6">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What began as a DNS race condition </w:t>
      </w:r>
      <w:r w:rsidDel="00000000" w:rsidR="00000000" w:rsidRPr="00000000">
        <w:rPr>
          <w:rFonts w:ascii="Calibri" w:cs="Calibri" w:eastAsia="Calibri" w:hAnsi="Calibri"/>
          <w:b w:val="1"/>
          <w:bCs w:val="1"/>
          <w:highlight w:val="cyan"/>
          <w:u w:val="single"/>
          <w:rtl w:val="0"/>
        </w:rPr>
        <w:t xml:space="preserve">triggered a complex cascade of infrastructure failures</w:t>
      </w:r>
      <w:r w:rsidDel="00000000" w:rsidR="00000000" w:rsidRPr="00000000">
        <w:rPr>
          <w:rFonts w:ascii="Calibri" w:cs="Calibri" w:eastAsia="Calibri" w:hAnsi="Calibri"/>
          <w:highlight w:val="cyan"/>
          <w:u w:val="single"/>
          <w:rtl w:val="0"/>
        </w:rPr>
        <w:t xml:space="preserve"> across multiple dependent systems, </w:t>
      </w:r>
      <w:r w:rsidDel="00000000" w:rsidR="00000000" w:rsidRPr="00000000">
        <w:rPr>
          <w:rFonts w:ascii="Calibri" w:cs="Calibri" w:eastAsia="Calibri" w:hAnsi="Calibri"/>
          <w:b w:val="1"/>
          <w:bCs w:val="1"/>
          <w:highlight w:val="cyan"/>
          <w:u w:val="single"/>
          <w:rtl w:val="0"/>
        </w:rPr>
        <w:t xml:space="preserve">demonstrating how a single technical defect in critical infrastructure can create ripple effects throughout interconnected cloud services.</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 This analysis examines what ThousandEyes network monitoring observed throughout the incident, what the patterns revealed about the nature of the outage, and key takeaways for network infrastructure teams. Read on to learn more and check out the video below for insights from Kemal Sanjta of the ThousandEyes Internet Intelligence team. What Happened During the AWS Outages? At approximately 6:49 AM (UTC) on October 20, ThousandEyes monitoring detected packet loss at AWS edge nodes in Ashburn, Virginia—the first observable symptom of what would become an extended regional disruption. This loss was occurring at the last hop before AWS infrastructure, not on customer networks or intermediate providers, indicating the problem originated within AWS's network boundary. The timing of this packet loss coincided precisely with AWS's official reported start time for the incident, when they noted increased error rates and latencies for AWS services in the US-EAST-1 region. Packet loss at provider edge routers can indicate various conditions. Think of it like traffic problems: downstream congestion causes traffic to queue and overflow (packets get dropped when buffers fill), routing failures prevent forwarding (packets arrive but the router doesn't know where to send them), hardware issues cause random drops, or resource exhaustion means the router is simply overwhelmed. In this case, the packet loss location and timing suggested infrastructure-level problems—something wrong with AWS's internal systems rather than isolated failures in individual components. The Root Cause: A DNS Race Condition AWS's post-incident report revealed that the root technical cause was a latent race condition in DynamoDB's automated DNS management system. Understanding this requires some context about how DynamoDB operates at scale. DynamoDB maintains hundreds of thousands of DNS records to operate its massive fleet of load balancers across each region. Automation constantly updates these records to add capacity, handle hardware failures, and distribute traffic efficiently. This DNS management system is split into two independent components for reliability: 1. The DNS Planner monitors load balancer health and capacity, periodically creating new DNS plans for each service endpoint—essentially deciding which load balancers should receive traffic and with what weight distribution. 2. The DNS Enactor operates independently and redundantly across three different Availability Zones. Each instance watches for new plans and updates Route53 (AWS's DNS service) by replacing the current plan with the new plan, helping ensure consistent updates even when multiple DNS Enactors work concurrently. The race condition involved an unlikely interaction between two of these DNS Enactors. Here's what happened: One DNS Enactor began applying an older plan but experienced unusually high delays, requiring retries on several endpoints. While it slowly worked through updates, the DNS Planner continued producing newer plan generations. A second DNS Enactor then picked up one of these newer plans and rapidly applied it across all endpoints. When the second Enactor completed its updates, it triggered a cleanup process to delete significantly older plans. At that exact moment, the first (delayed) Enactor finally applied its much older plan to the regional DynamoDB endpoint, overwriting the newer plan. The timing meant that the initial check—which should have prevented applying an outdated plan—was stale due to the unusual delays. The cleanup process then deleted this older plan (because it was many generations old), immediately removing all IP addresses for the regional endpoint. Additionally, because the active plan was deleted, the system was left in an inconsistent state that prevented any DNS Enactor from applying subsequent updates. This ultimately required manual operator intervention to correct. To understand why this had such a big impact, it helps to understand what DNS does. DNS acts like a phone book for the Internet—when an application wants to connect to DynamoDB, it first looks up the DNS name (like dynamodb.us-east-1.amazonaws.com) to find the actual IP addresses where DynamoDB servers are located. With an empty DNS record, applications literally couldn't find DynamoDB—it was like trying to call someone when the phone book has no listing for them. By around 7:55 AM (UTC), the symptoms ThousandEyes was observing began to shift in a revealing way. The early packet loss at AWS edge routers had appeared to clear. Network conditions were no longer showing the consistent loss patterns seen at 6:49 AM (UTC). However, ThousandEyes monitoring revealed that a different issue was now happening: widespread connection timeouts at the application layer. Toward the end of this period, HTTP 503 (Service Unavailable) errors also began appearing, suggesting that some requests were reaching edge systems that were alive but too overwhelmed to process requests. The presence of connection timeouts without corresponding network loss suggested that the network paths were clear but the infrastructure behind them couldn't process or route requests properly. Think of it like a phone ringing but no one picking up, versus getting a busy signal—both are failures, but they indicate different problems. The evolution from network-layer symptoms (packet loss) to application-layer symptoms (timeouts and HTTP 503s) indicated that while network congestion might have been addressed, the underlying systems dependent on DynamoDB remained impaired. DNS Recovery and Persistent Cascading Effects AWS engineers identified the DNS issue by 7:26 AM (UTC) and began implementing temporary mitigations by 8:15 AM (UTC) that enabled some internal services to connect to DynamoDB. Full DNS information was restored by 9:25 AM (UTC), and customers were able to resolve the DynamoDB endpoint and establish successful connections as cached DNS records expired between 9:25 AM and 9:40 AM (UTC). However, restoring DNS didn't immediately restore all services. The three-hour DynamoDB outage had triggered cascading failures across systems that depend on it, and these effects persisted even after DynamoDB connectivity was restored. Consider EC2's Droplet Workflow Manager (DWFM)—the system responsible for managing the physical servers that host EC2 instances. EC2 (Elastic Compute Cloud) is AWS's virtual server service—when customers or AWS services need computing resources, they launch EC2 instances. These launches aren't simple operations; they require coordination across multiple AWS systems. EC2's DWFM requires DynamoDB to maintain leases on these servers, checking in with each server every few minutes to maintain proper state tracking. During the DynamoDB outage, DWFM couldn't complete these required state checks, causing lease management to fail and the state to become inconsistent. Even after DynamoDB connectivity was restored at 9:25 AM (UTC), the accumulated state inconsistencies from those three hours of lost leases continued to cause problems. New EC2 instance launches failed or experienced connectivity issues until 8:50 PM (UTC)—over 11 hours after DNS was restored. Between 12:30 PM and 9:09 PM (UTC), network load balancers experienced health check failures, resulting in increased connection errors during the broader recovery period. Services like Amazon Connect, AWS Security Token Service, and Amazon Redshift experienced extended impact as effects rippled through their dependencies. Some Redshift clusters remained impaired even after DynamoDB recovered because EC2 launch failures prevented replacement workflows from completing. The backlog of these workflows didn't begin draining until EC2 launches started succeeding, and full restoration took until 11:05 AM (UTC) on October 21—more than a day after the initial DNS issue. Understanding the Multiphase Recovery This incident demonstrated how modern infrastructure failures rarely resolve in a single step, even after identifying and fixing the root technical cause. The recovery unfolded across distinct phases: Phase 1: Identifying and fixing the root cause (DNS race condition): This took from the incident's start at 6:49 AM until 9:40 AM (UTC) when DNS was fully restored and DynamoDB connectivity recovered. AWS engineers had to diagnose the problem, understand the inconsistent state, and manually correct it since the automated systems couldn't recover on their own. During this phase, in our analysis of the network layer, ThousandEyes observed initial packet loss at AWS edge nodes indicating infrastructure-level stress or congestion. This cleared relatively quickly as AWS addressed immediate routing and capacity issues. Phase 2: Addressing cascading effects in dependent systems: Even with DynamoDB accessible, systems that had accumulated state problems during the outage needed additional recovery time. Health check systems experiencing state-related issues, lease management systems with expired or inconsistent leases, and coordination systems with stale or corrupted state all required additional remediation beyond the DNS fix. During this period, while network symptoms decreased, ThousandEyes started seeing issues in the application layer: Widespread connection timeouts emerged, indicating backend systems weren't responding even though network paths were functioning. The progression to HTTP 503 errors showed systems were reachable but unable to process requests—characteristic of systems with impaired routing logic or health check systems. Phase 3: Processing accumulated backlogs: Services needed to work through deferred operations, retry failed workflows, and process queued work that accumulated during the outage. Redshift cluster replacements, EC2 instance launch retries, and similar operations created backlogs that took hours to clear even after the underlying systems were functioning. Phase 4: Application-level recovery: Even after AWS infrastructure recovery, customer applications required additional time to fully recover. This included clearing accumulated queues, re-establishing dropped connections, processing backlogs built up during degraded operation, resetting circuit breakers that opened for protection, refreshing caches with stale data, and allowing retry logic to exhaust and reset. After AWS reported that all AWS services had returned to usual operations at 10:01 PM (UTC), ThousandEyes monitoring observed recovery patterns varying across different monitored endpoints during this period. The total recovery time exceeded 15 hours not because the DNS race condition took that long to fix, but because each subsequent phase required time to complete. Attempting to accelerate recovery by skipping phases or rushing restoration of normal traffic levels would likely have triggered new problems as fragile systems struggled under load they weren't ready to handle. Additionally, the multi-layered symptom progression—from network to application layer, from consistent failures to intermittent issues, from widespread impact to localized problems—reflected the complex dependencies in modern cloud infrastructure. Each layer of symptoms corresponded to a different aspect of the cascading failure and its recovery. Understanding these patterns matters for incident response. When you see symptom evolution rather than simple clearing, it signals that you're dealing with cascading effects rather than an isolated failure. When recovery appears incomplete or intermittent despite addressing what seemed like the root cause, it indicates downstream effects that require additional remediation time. Along those lines, it's also key to understand the difference between infrastructure recovery and application recovery. When infrastructure providers restore their core systems to operational status, that's a critical milestone—but application-level recovery work often extends beyond that point. Applications need to clear accumulated queues of deferred work, re-establish connections dropped during outages, process backlogs built up during degraded operation, reset circuit breakers that opened for protection, refresh caches that may contain stale responses, and allow retry logic to exhaust and reset. Infrastructure teams should plan for this application recovery phase in their runbooks: verify service health from actual user perspectives, monitor for elevated error rates as systems work through backlogs, check for circuit breakers or manual safety measures needing reset, validate data consistency, and plan for elevated resource usage as systems catch up on deferred work. What Does the AWS Outage Reveal About Modern Infrastructure Outages? &lt;&lt;&lt;LINE BREAKS RESUME&gt;&gt;&gt;</w:t>
      </w:r>
      <w:r w:rsidDel="00000000" w:rsidR="00000000" w:rsidRPr="00000000">
        <w:rPr>
          <w:rtl w:val="0"/>
        </w:rPr>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AWS incident revealed several key aspects of modern infrastructure outages and disruptions, highlighting key takeaways for infrastructure teams.</w:t>
      </w:r>
      <w:r w:rsidDel="00000000" w:rsidR="00000000" w:rsidRPr="00000000">
        <w:rPr>
          <w:rtl w:val="0"/>
        </w:rPr>
      </w:r>
    </w:p>
    <w:p w:rsidR="00000000" w:rsidDel="00000000" w:rsidP="00000000" w:rsidRDefault="00000000" w:rsidRPr="00000000" w14:paraId="000000E9">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1. Single points of failure can hide in the most sophisticated architectures.</w:t>
      </w:r>
      <w:r w:rsidDel="00000000" w:rsidR="00000000" w:rsidRPr="00000000">
        <w:rPr>
          <w:rFonts w:ascii="Calibri" w:cs="Calibri" w:eastAsia="Calibri" w:hAnsi="Calibri"/>
          <w:sz w:val="16"/>
          <w:szCs w:val="16"/>
          <w:rtl w:val="0"/>
        </w:rPr>
        <w:t xml:space="preserve"> AWS operates with extensive redundancy—multiple availability zones, distributed systems, automated failover. </w:t>
      </w:r>
      <w:r w:rsidDel="00000000" w:rsidR="00000000" w:rsidRPr="00000000">
        <w:rPr>
          <w:rFonts w:ascii="Calibri" w:cs="Calibri" w:eastAsia="Calibri" w:hAnsi="Calibri"/>
          <w:highlight w:val="cyan"/>
          <w:u w:val="single"/>
          <w:rtl w:val="0"/>
        </w:rPr>
        <w:t xml:space="preserve">Yet a </w:t>
      </w:r>
      <w:r w:rsidDel="00000000" w:rsidR="00000000" w:rsidRPr="00000000">
        <w:rPr>
          <w:rFonts w:ascii="Calibri" w:cs="Calibri" w:eastAsia="Calibri" w:hAnsi="Calibri"/>
          <w:b w:val="1"/>
          <w:bCs w:val="1"/>
          <w:highlight w:val="cyan"/>
          <w:u w:val="single"/>
          <w:rtl w:val="0"/>
        </w:rPr>
        <w:t xml:space="preserve">latent race condition in a single critical system</w:t>
      </w:r>
      <w:r w:rsidDel="00000000" w:rsidR="00000000" w:rsidRPr="00000000">
        <w:rPr>
          <w:rFonts w:ascii="Calibri" w:cs="Calibri" w:eastAsia="Calibri" w:hAnsi="Calibri"/>
          <w:highlight w:val="cyan"/>
          <w:u w:val="single"/>
          <w:rtl w:val="0"/>
        </w:rPr>
        <w:t xml:space="preserve"> was able to </w:t>
      </w:r>
      <w:r w:rsidDel="00000000" w:rsidR="00000000" w:rsidRPr="00000000">
        <w:rPr>
          <w:rFonts w:ascii="Calibri" w:cs="Calibri" w:eastAsia="Calibri" w:hAnsi="Calibri"/>
          <w:b w:val="1"/>
          <w:bCs w:val="1"/>
          <w:highlight w:val="cyan"/>
          <w:u w:val="single"/>
          <w:rtl w:val="0"/>
        </w:rPr>
        <w:t xml:space="preserve">trigger widespread failures.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sophistication of the architecture actually contributed to the complexity of the failure—</w:t>
      </w:r>
      <w:r w:rsidDel="00000000" w:rsidR="00000000" w:rsidRPr="00000000">
        <w:rPr>
          <w:rFonts w:ascii="Calibri" w:cs="Calibri" w:eastAsia="Calibri" w:hAnsi="Calibri"/>
          <w:highlight w:val="cyan"/>
          <w:u w:val="single"/>
          <w:rtl w:val="0"/>
        </w:rPr>
        <w:t xml:space="preserve">the more interconnected and automated systems become, </w:t>
      </w:r>
      <w:r w:rsidDel="00000000" w:rsidR="00000000" w:rsidRPr="00000000">
        <w:rPr>
          <w:rFonts w:ascii="Calibri" w:cs="Calibri" w:eastAsia="Calibri" w:hAnsi="Calibri"/>
          <w:b w:val="1"/>
          <w:bCs w:val="1"/>
          <w:highlight w:val="cyan"/>
          <w:u w:val="single"/>
          <w:rtl w:val="0"/>
        </w:rPr>
        <w:t xml:space="preserve">the more subtle race conditions and edge cases can emerge.</w:t>
      </w:r>
      <w:r w:rsidDel="00000000" w:rsidR="00000000" w:rsidRPr="00000000">
        <w:rPr>
          <w:rtl w:val="0"/>
        </w:rPr>
      </w:r>
    </w:p>
    <w:p w:rsidR="00000000" w:rsidDel="00000000" w:rsidP="00000000" w:rsidRDefault="00000000" w:rsidRPr="00000000" w14:paraId="000000E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key lesson is that </w:t>
      </w:r>
      <w:r w:rsidDel="00000000" w:rsidR="00000000" w:rsidRPr="00000000">
        <w:rPr>
          <w:rFonts w:ascii="Calibri" w:cs="Calibri" w:eastAsia="Calibri" w:hAnsi="Calibri"/>
          <w:highlight w:val="cyan"/>
          <w:u w:val="single"/>
          <w:rtl w:val="0"/>
        </w:rPr>
        <w:t xml:space="preserve">even with redundancy at multiple layers, </w:t>
      </w:r>
      <w:r w:rsidDel="00000000" w:rsidR="00000000" w:rsidRPr="00000000">
        <w:rPr>
          <w:rFonts w:ascii="Calibri" w:cs="Calibri" w:eastAsia="Calibri" w:hAnsi="Calibri"/>
          <w:b w:val="1"/>
          <w:bCs w:val="1"/>
          <w:highlight w:val="cyan"/>
          <w:u w:val="single"/>
          <w:rtl w:val="0"/>
        </w:rPr>
        <w:t xml:space="preserve">critical shared subsystems represent concentration risk.</w:t>
      </w:r>
      <w:r w:rsidDel="00000000" w:rsidR="00000000" w:rsidRPr="00000000">
        <w:rPr>
          <w:rFonts w:ascii="Calibri" w:cs="Calibri" w:eastAsia="Calibri" w:hAnsi="Calibri"/>
          <w:sz w:val="16"/>
          <w:szCs w:val="16"/>
          <w:rtl w:val="0"/>
        </w:rPr>
        <w:t xml:space="preserve"> DNS management, health check systems, coordination services, and similar infrastructure components often operate as hidden single points of failure. </w:t>
      </w:r>
      <w:r w:rsidDel="00000000" w:rsidR="00000000" w:rsidRPr="00000000">
        <w:rPr>
          <w:rFonts w:ascii="Calibri" w:cs="Calibri" w:eastAsia="Calibri" w:hAnsi="Calibri"/>
          <w:highlight w:val="cyan"/>
          <w:u w:val="single"/>
          <w:rtl w:val="0"/>
        </w:rPr>
        <w:t xml:space="preserve">When they fail, </w:t>
      </w:r>
      <w:r w:rsidDel="00000000" w:rsidR="00000000" w:rsidRPr="00000000">
        <w:rPr>
          <w:rFonts w:ascii="Calibri" w:cs="Calibri" w:eastAsia="Calibri" w:hAnsi="Calibri"/>
          <w:b w:val="1"/>
          <w:bCs w:val="1"/>
          <w:highlight w:val="cyan"/>
          <w:u w:val="single"/>
          <w:rtl w:val="0"/>
        </w:rPr>
        <w:t xml:space="preserve">they can affect an entire region regardless of how well individual services are architected.</w:t>
      </w:r>
      <w:r w:rsidDel="00000000" w:rsidR="00000000" w:rsidRPr="00000000">
        <w:rPr>
          <w:rFonts w:ascii="Calibri" w:cs="Calibri" w:eastAsia="Calibri" w:hAnsi="Calibri"/>
          <w:sz w:val="16"/>
          <w:szCs w:val="16"/>
          <w:rtl w:val="0"/>
        </w:rPr>
        <w:t xml:space="preserve"> Infrastructure teams should identify these critical shared components and understand what happens when they fail, even if they're designed to be highly reliable.</w:t>
      </w:r>
      <w:r w:rsidDel="00000000" w:rsidR="00000000" w:rsidRPr="00000000">
        <w:rPr>
          <w:rtl w:val="0"/>
        </w:rPr>
      </w:r>
    </w:p>
    <w:p w:rsidR="00000000" w:rsidDel="00000000" w:rsidP="00000000" w:rsidRDefault="00000000" w:rsidRPr="00000000" w14:paraId="000000EB">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2. Cascading failures create complexity that exceeds the initial problem.</w:t>
      </w:r>
      <w:r w:rsidDel="00000000" w:rsidR="00000000" w:rsidRPr="00000000">
        <w:rPr>
          <w:rFonts w:ascii="Calibri" w:cs="Calibri" w:eastAsia="Calibri" w:hAnsi="Calibri"/>
          <w:sz w:val="16"/>
          <w:szCs w:val="16"/>
          <w:rtl w:val="0"/>
        </w:rPr>
        <w:t xml:space="preserve"> The root cause was specific—a DNS race condition that created an empty record and an inconsistent state. </w:t>
      </w:r>
      <w:r w:rsidDel="00000000" w:rsidR="00000000" w:rsidRPr="00000000">
        <w:rPr>
          <w:rFonts w:ascii="Calibri" w:cs="Calibri" w:eastAsia="Calibri" w:hAnsi="Calibri"/>
          <w:highlight w:val="cyan"/>
          <w:u w:val="single"/>
          <w:rtl w:val="0"/>
        </w:rPr>
        <w:t xml:space="preserve">But the </w:t>
      </w:r>
      <w:r w:rsidDel="00000000" w:rsidR="00000000" w:rsidRPr="00000000">
        <w:rPr>
          <w:rFonts w:ascii="Calibri" w:cs="Calibri" w:eastAsia="Calibri" w:hAnsi="Calibri"/>
          <w:b w:val="1"/>
          <w:bCs w:val="1"/>
          <w:highlight w:val="cyan"/>
          <w:u w:val="single"/>
          <w:rtl w:val="0"/>
        </w:rPr>
        <w:t xml:space="preserve">operational impact extended far beyond DNS.</w:t>
      </w:r>
      <w:r w:rsidDel="00000000" w:rsidR="00000000" w:rsidRPr="00000000">
        <w:rPr>
          <w:rFonts w:ascii="Calibri" w:cs="Calibri" w:eastAsia="Calibri" w:hAnsi="Calibri"/>
          <w:sz w:val="16"/>
          <w:szCs w:val="16"/>
          <w:rtl w:val="0"/>
        </w:rPr>
        <w:t xml:space="preserve"> DynamoDB became unreachable. Services depending on DynamoDB failed. Systems that had been maintaining state via DynamoDB lost that state. Health checks failed. Lease management broke down. Instance launches failed.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cascade continued for hours after the root cause was fixed.</w:t>
      </w:r>
      <w:r w:rsidDel="00000000" w:rsidR="00000000" w:rsidRPr="00000000">
        <w:rPr>
          <w:rtl w:val="0"/>
        </w:rPr>
      </w:r>
    </w:p>
    <w:p w:rsidR="00000000" w:rsidDel="00000000" w:rsidP="00000000" w:rsidRDefault="00000000" w:rsidRPr="00000000" w14:paraId="000000EC">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 This is characteristic of modern distributed infrastructure. Services aren't just dependent on other services—they maintain state, hold leases, make assumptions about availability, and accumulate backlogs when dependencies fail. Fixing the root technical defect addresses only the first link in the chain. The accumulated state problems, lost leases, failed workflows, and stale caches all require additional time to resolve. Infrastructure teams should plan for this reality: Root cause fixes are milestones, not endpoints. Recovery requires working through the cascade of effects the failure created. Understanding your dependency chains helps predict what secondary effects to expect when critical infrastructure fails. 3. Different layers can reveal different aspects of the same failure. ThousandEyes observed this outage across multiple layers—network, transport, and application—and each layer told part of the story. Network layer packet loss appeared early, suggesting infrastructure stress. This cleared relatively quickly. Application layer timeouts then emerged, indicating routing or backend selection problems. HTTP 503 errors appeared, showing systems accepting connections but unable to process them. Each layer of symptoms corresponded to a different aspect of the cascading failure. Network symptoms reflected immediate infrastructure impact. Application symptoms revealed backend systems struggling with lost state and broken dependencies. The temporal progression of symptoms across layers helped understand how the failure was evolving and which recovery phases were complete versus ongoing. For incident response, this means visibility at a single layer provides incomplete understanding. Network monitoring might show recovery while applications still fail. Application monitoring might miss infrastructure problems that will cause subsequent issues. Observing multiple layers simultaneously provides more complete insight into both the nature of failures and the progress of recovery. 4. Recovery timelines are sums of dependent phases, not parallel operations. The AWS outage lasted over 15 hours from initial failure to complete restoration, not because any single fix took 15 hours, but because recovery required multiple sequential phases. DNS state had to be corrected manually. DynamoDB connectivity had to be restored. Systems that lost state during the outage had to rebuild it. Services with accumulated backlogs had to process them. Each phase depended on previous phases completing successfully. Attempting to compress these timelines by skipping phases or rushing traffic restoration often backfires. Systems that are technically functioning but still fragile can't handle normal load levels. Backlogs that aren't processed create downstream problems. A state that isn't properly restored causes subtle failures later. Infrastructure teams planning for outages should account for multi-phase recovery in their incident response procedures, communication plans, and recovery time objectives. A two-hour fix might require eight additional hours of phased recovery before normal operations can safely resume. Setting accurate expectations requires understanding that recovery is a process, not an event. &lt;&lt;&lt;LINE BREAKS RESUME&gt;&gt;&gt;</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5. Regional failures can have global impact through service dependencies.</w:t>
      </w:r>
      <w:r w:rsidDel="00000000" w:rsidR="00000000" w:rsidRPr="00000000">
        <w:rPr>
          <w:rFonts w:ascii="Calibri" w:cs="Calibri" w:eastAsia="Calibri" w:hAnsi="Calibri"/>
          <w:sz w:val="16"/>
          <w:szCs w:val="16"/>
          <w:rtl w:val="0"/>
        </w:rPr>
        <w:t xml:space="preserve"> Although the DNS issue was isolated to US-EAST-1, </w:t>
      </w:r>
      <w:r w:rsidDel="00000000" w:rsidR="00000000" w:rsidRPr="00000000">
        <w:rPr>
          <w:rFonts w:ascii="Calibri" w:cs="Calibri" w:eastAsia="Calibri" w:hAnsi="Calibri"/>
          <w:highlight w:val="cyan"/>
          <w:u w:val="single"/>
          <w:rtl w:val="0"/>
        </w:rPr>
        <w:t xml:space="preserve">services worldwide that depended on that region </w:t>
      </w:r>
      <w:r w:rsidDel="00000000" w:rsidR="00000000" w:rsidRPr="00000000">
        <w:rPr>
          <w:rFonts w:ascii="Calibri" w:cs="Calibri" w:eastAsia="Calibri" w:hAnsi="Calibri"/>
          <w:b w:val="1"/>
          <w:bCs w:val="1"/>
          <w:highlight w:val="cyan"/>
          <w:u w:val="single"/>
          <w:rtl w:val="0"/>
        </w:rPr>
        <w:t xml:space="preserve">experienced an impact.</w:t>
      </w:r>
      <w:r w:rsidDel="00000000" w:rsidR="00000000" w:rsidRPr="00000000">
        <w:rPr>
          <w:rFonts w:ascii="Calibri" w:cs="Calibri" w:eastAsia="Calibri" w:hAnsi="Calibri"/>
          <w:sz w:val="16"/>
          <w:szCs w:val="16"/>
          <w:rtl w:val="0"/>
        </w:rPr>
        <w:t xml:space="preserve"> Applications with proper multi-region architecture still experienced failures if they relied on coordination services, data replication, or API calls that touched US-EAST-1.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interconnected nature of modern cloud infrastructure means regional boundaries don't always contain failure impact.</w:t>
      </w:r>
      <w:r w:rsidDel="00000000" w:rsidR="00000000" w:rsidRPr="00000000">
        <w:rPr>
          <w:rtl w:val="0"/>
        </w:rPr>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Even when you architect applications with geographic redundancy, you remain exposed to failures in critical infrastructure components that aren't regionally isolated. A cloud provider might have redundancy within regions, but </w:t>
      </w:r>
      <w:r w:rsidDel="00000000" w:rsidR="00000000" w:rsidRPr="00000000">
        <w:rPr>
          <w:rFonts w:ascii="Calibri" w:cs="Calibri" w:eastAsia="Calibri" w:hAnsi="Calibri"/>
          <w:highlight w:val="cyan"/>
          <w:u w:val="single"/>
          <w:rtl w:val="0"/>
        </w:rPr>
        <w:t xml:space="preserve">if a critical shared subsystem fails, </w:t>
      </w:r>
      <w:r w:rsidDel="00000000" w:rsidR="00000000" w:rsidRPr="00000000">
        <w:rPr>
          <w:rFonts w:ascii="Calibri" w:cs="Calibri" w:eastAsia="Calibri" w:hAnsi="Calibri"/>
          <w:b w:val="1"/>
          <w:bCs w:val="1"/>
          <w:highlight w:val="cyan"/>
          <w:u w:val="single"/>
          <w:rtl w:val="0"/>
        </w:rPr>
        <w:t xml:space="preserve">it can affect that entire region regardless of your application architecture.</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Understanding your failure domains means recognizing that provider-level failures can bypass your architectural safeguards. Defense-in-depth strategies become important: multi-cloud approaches for truly critical workloads, tested procedures for failing to alternative providers or regions, ability to operate with degraded functionality, and communication plans that account for provider-level disruptions you cannot predict or prevent.</w:t>
      </w:r>
      <w:r w:rsidDel="00000000" w:rsidR="00000000" w:rsidRPr="00000000">
        <w:rPr>
          <w:rtl w:val="0"/>
        </w:rPr>
      </w:r>
    </w:p>
    <w:p w:rsidR="00000000" w:rsidDel="00000000" w:rsidP="00000000" w:rsidRDefault="00000000" w:rsidRPr="00000000" w14:paraId="000000F0">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Your resilience has limits defined by your dependencies. Planning for infrastructure failures means accepting that some scenarios will exceed your architectural controls and having response plans ready when they do.</w:t>
      </w:r>
      <w:r w:rsidDel="00000000" w:rsidR="00000000" w:rsidRPr="00000000">
        <w:rPr>
          <w:rtl w:val="0"/>
        </w:rPr>
      </w:r>
    </w:p>
    <w:p w:rsidR="00000000" w:rsidDel="00000000" w:rsidP="00000000" w:rsidRDefault="00000000" w:rsidRPr="00000000" w14:paraId="000000F1">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Renewables</w:t>
      </w:r>
    </w:p>
    <w:bookmarkStart w:colFirst="0" w:colLast="0" w:name="pgcnktrjcctt" w:id="11"/>
    <w:bookmarkEnd w:id="11"/>
    <w:p w:rsidR="00000000" w:rsidDel="00000000" w:rsidP="00000000" w:rsidRDefault="00000000" w:rsidRPr="00000000" w14:paraId="000000F2">
      <w:pPr>
        <w:pStyle w:val="Heading4"/>
        <w:spacing w:after="160" w:before="200" w:line="259" w:lineRule="auto"/>
        <w:rPr>
          <w:rFonts w:ascii="Calibri" w:cs="Calibri" w:eastAsia="Calibri" w:hAnsi="Calibri"/>
          <w:b w:val="1"/>
          <w:bCs w:val="1"/>
          <w:color w:val="000000"/>
          <w:sz w:val="26"/>
          <w:szCs w:val="26"/>
        </w:rPr>
      </w:pPr>
      <w:bookmarkStart w:colFirst="0" w:colLast="0" w:name="_b43cy23bz9bn" w:id="12"/>
      <w:bookmarkEnd w:id="12"/>
      <w:r w:rsidDel="00000000" w:rsidR="00000000" w:rsidRPr="00000000">
        <w:rPr>
          <w:rFonts w:ascii="Calibri" w:cs="Calibri" w:eastAsia="Calibri" w:hAnsi="Calibri"/>
          <w:b w:val="1"/>
          <w:bCs w:val="1"/>
          <w:color w:val="000000"/>
          <w:sz w:val="26"/>
          <w:szCs w:val="26"/>
          <w:rtl w:val="0"/>
        </w:rPr>
        <w:t xml:space="preserve">The data center buildout isn't running on wind and solar - it's </w:t>
      </w:r>
      <w:r w:rsidDel="00000000" w:rsidR="00000000" w:rsidRPr="00000000">
        <w:rPr>
          <w:rFonts w:ascii="Calibri" w:cs="Calibri" w:eastAsia="Calibri" w:hAnsi="Calibri"/>
          <w:b w:val="1"/>
          <w:bCs w:val="1"/>
          <w:color w:val="000000"/>
          <w:sz w:val="26"/>
          <w:szCs w:val="26"/>
          <w:u w:val="single"/>
          <w:rtl w:val="0"/>
        </w:rPr>
        <w:t xml:space="preserve">powered by a wave of new gas plants</w:t>
      </w:r>
      <w:r w:rsidDel="00000000" w:rsidR="00000000" w:rsidRPr="00000000">
        <w:rPr>
          <w:rFonts w:ascii="Calibri" w:cs="Calibri" w:eastAsia="Calibri" w:hAnsi="Calibri"/>
          <w:b w:val="1"/>
          <w:bCs w:val="1"/>
          <w:color w:val="000000"/>
          <w:sz w:val="26"/>
          <w:szCs w:val="26"/>
          <w:rtl w:val="0"/>
        </w:rPr>
        <w:t xml:space="preserve">, concentrated in states like </w:t>
      </w:r>
      <w:r w:rsidDel="00000000" w:rsidR="00000000" w:rsidRPr="00000000">
        <w:rPr>
          <w:rFonts w:ascii="Calibri" w:cs="Calibri" w:eastAsia="Calibri" w:hAnsi="Calibri"/>
          <w:b w:val="1"/>
          <w:bCs w:val="1"/>
          <w:color w:val="000000"/>
          <w:sz w:val="26"/>
          <w:szCs w:val="26"/>
          <w:u w:val="single"/>
          <w:rtl w:val="0"/>
        </w:rPr>
        <w:t xml:space="preserve">Texas and Ohio</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EIP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[Environmental Integrity Project, nonprofit environmental watchdog organization; research and writing credited to Griffin Bird, Courtney Bernhardt, Kira Dunham, Brendan Gibbons, Keene Kelderman, Kim Laufenberg, Paul MacGillis-Falcon, Michelle Parker-Ortiz, Tom Pelton, Ari Phillips, Alexandra Shaykevich, and Victoria Zurner, 7-1-2026, "The Power Behind AI: Wave of Dirty Gas Power Plants Planned for Data Centers," Environmental Integrity Project. DOA: 9-1-2026 https://environmentalintegrity.org/wp-content/uploads/2026/06/EIP-Data-Center-Power-Report-EMBARGOED-for-7.1.26.pdf] //za2</w:t>
      </w:r>
    </w:p>
    <w:p w:rsidR="00000000" w:rsidDel="00000000" w:rsidP="00000000" w:rsidRDefault="00000000" w:rsidRPr="00000000" w14:paraId="000000F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At least </w:t>
      </w:r>
      <w:r w:rsidDel="00000000" w:rsidR="00000000" w:rsidRPr="00000000">
        <w:rPr>
          <w:rFonts w:ascii="Calibri" w:cs="Calibri" w:eastAsia="Calibri" w:hAnsi="Calibri"/>
          <w:b w:val="1"/>
          <w:bCs w:val="1"/>
          <w:highlight w:val="cyan"/>
          <w:u w:val="single"/>
          <w:rtl w:val="0"/>
        </w:rPr>
        <w:t xml:space="preserve">74 natural gas-fired power plants</w:t>
      </w:r>
      <w:r w:rsidDel="00000000" w:rsidR="00000000" w:rsidRPr="00000000">
        <w:rPr>
          <w:rFonts w:ascii="Calibri" w:cs="Calibri" w:eastAsia="Calibri" w:hAnsi="Calibri"/>
          <w:highlight w:val="cyan"/>
          <w:u w:val="single"/>
          <w:rtl w:val="0"/>
        </w:rPr>
        <w:t xml:space="preserve"> are planned across the U.S. to provide energy for the rapidly-growing data center 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proposed gas plants, which would be dedicated to serving data centers, are expected to generate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143 gigawatts of electricity</w:t>
      </w:r>
      <w:r w:rsidDel="00000000" w:rsidR="00000000" w:rsidRPr="00000000">
        <w:rPr>
          <w:rFonts w:ascii="Calibri" w:cs="Calibri" w:eastAsia="Calibri" w:hAnsi="Calibri"/>
          <w:sz w:val="16"/>
          <w:szCs w:val="16"/>
          <w:rtl w:val="0"/>
        </w:rPr>
        <w:t xml:space="preserve"> – enough to power the state of California nearly three times over. </w:t>
      </w:r>
      <w:r w:rsidDel="00000000" w:rsidR="00000000" w:rsidRPr="00000000">
        <w:rPr>
          <w:rFonts w:ascii="Calibri" w:cs="Calibri" w:eastAsia="Calibri" w:hAnsi="Calibri"/>
          <w:u w:val="single"/>
          <w:rtl w:val="0"/>
        </w:rPr>
        <w:t xml:space="preserve">The plants would also release nearly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662 million tons per year of greenhouse gas pollution,</w:t>
      </w:r>
      <w:r w:rsidDel="00000000" w:rsidR="00000000" w:rsidRPr="00000000">
        <w:rPr>
          <w:rFonts w:ascii="Calibri" w:cs="Calibri" w:eastAsia="Calibri" w:hAnsi="Calibri"/>
          <w:sz w:val="16"/>
          <w:szCs w:val="16"/>
          <w:rtl w:val="0"/>
        </w:rPr>
        <w:t xml:space="preserve"> which would have the climate-warming impact of 140 million cars and trucks driving for a year or the emissions from the entire nation of Australia. Beyond greenhouse gases, this wave of power plants for data centers could also release 159,142 tons of health-harming air pollutants, including 44,281 tons of nitrogen oxides that contribute to smog and lung damage and 32,684 tons of fine particulate matter, which can trigger heart and asthma attacks.</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And this is just the tip of the iceberg. This pollution is a small fraction of the likely environmental impact of the booming artificial intelligence (AI) industry and affiliated data centers. These 74 planned gas plants, including 71 new power plants and three plant expansions, would be </w:t>
      </w:r>
      <w:r w:rsidDel="00000000" w:rsidR="00000000" w:rsidRPr="00000000">
        <w:rPr>
          <w:rFonts w:ascii="Calibri" w:cs="Calibri" w:eastAsia="Calibri" w:hAnsi="Calibri"/>
          <w:u w:val="single"/>
          <w:rtl w:val="0"/>
        </w:rPr>
        <w:t xml:space="preserve">connected directly to data centers — so-called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"behind-the-meter" power plants.</w:t>
      </w:r>
      <w:r w:rsidDel="00000000" w:rsidR="00000000" w:rsidRPr="00000000">
        <w:rPr>
          <w:rFonts w:ascii="Calibri" w:cs="Calibri" w:eastAsia="Calibri" w:hAnsi="Calibri"/>
          <w:sz w:val="16"/>
          <w:szCs w:val="16"/>
          <w:rtl w:val="0"/>
        </w:rPr>
        <w:t xml:space="preserve"> These plants are designed to provide their electricity primarily to data centers and not to compete with local households and businesses on regional power grids. More power plants are being planned across the U.S. that will indirectly serve the growing data center industry along with other consumers on the grid, which will likely drive up electricity prices for nearby residents. Beyond the air and climate impacts from the gas-fired power plants discussed in this report, data centers also have diesel backup generators that release air pollution. The centers are also large consumers of water that are often built in water-stressed regions. In short, the economic and environmental ripple effects of the growing data center industry are far broader than what is discussed in this report.</w:t>
      </w:r>
      <w:r w:rsidDel="00000000" w:rsidR="00000000" w:rsidRPr="00000000">
        <w:rPr>
          <w:rtl w:val="0"/>
        </w:rPr>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wave of proposed data center projects is triggering protests in local communities and legislative efforts at the state and local level, including proposed moratoriums in a half-dozen states and bills in Congress that would put a pause on the industry. At the same time, President Trump's Department of Justice is threatening to sue states that attempt to regulate data center growth and Trump's Environmental Protection Agency is actively promoting the AI industry. Because soaring electricity rates caused by data centers are controversial, in March, President Trump called on data center developers to build power plants dedicated to their own projects as part of his "Ratepayer Protection Pledge." The pledge is voluntary, so its impact is unclear. But even before the pledge, a growing number of data center companies started announcing that they would build their own dedicated or "behind-the-meter" power plants, </w:t>
      </w:r>
      <w:r w:rsidDel="00000000" w:rsidR="00000000" w:rsidRPr="00000000">
        <w:rPr>
          <w:rFonts w:ascii="Calibri" w:cs="Calibri" w:eastAsia="Calibri" w:hAnsi="Calibri"/>
          <w:highlight w:val="cyan"/>
          <w:u w:val="single"/>
          <w:rtl w:val="0"/>
        </w:rPr>
        <w:t xml:space="preserve">many of which 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fueled by natural gas.</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Fossil fuels should not power a technology of the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additional data centers may be needed to accommodate shifts in technology, they should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powered by clean energy, including </w:t>
      </w:r>
      <w:r w:rsidDel="00000000" w:rsidR="00000000" w:rsidRPr="00000000">
        <w:rPr>
          <w:rFonts w:ascii="Calibri" w:cs="Calibri" w:eastAsia="Calibri" w:hAnsi="Calibri"/>
          <w:b w:val="1"/>
          <w:bCs w:val="1"/>
          <w:highlight w:val="cyan"/>
          <w:u w:val="single"/>
          <w:rtl w:val="0"/>
        </w:rPr>
        <w:t xml:space="preserve">solar farms and wind turbines with ample battery storage systems.</w:t>
      </w:r>
      <w:r w:rsidDel="00000000" w:rsidR="00000000" w:rsidRPr="00000000">
        <w:rPr>
          <w:rFonts w:ascii="Calibri" w:cs="Calibri" w:eastAsia="Calibri" w:hAnsi="Calibri"/>
          <w:sz w:val="16"/>
          <w:szCs w:val="16"/>
          <w:rtl w:val="0"/>
        </w:rPr>
        <w:t xml:space="preserve"> At a minimum, developers of data centers and their gas power plants should be required to use modern and efficient technology that minimizes air pollution. For example, combined-cycle natural gas turbines that capture waste heat and recycle it are more efficient and less polluting than simple-cycle turbines. Companies should also be required to implement technologies that minimize water use for cooling and power generation.</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At least 74 natural gas-fired power plants are planned that would be dedicated to new data centers across the U.S., with the largest number proposed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Texas, Ohio, Pennsylvania, West Virginia, and Wyoming.</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boom has come to nearly every part of the United States, but the projects are unevenly distributed. An April 2026 analysis from Pew Research found that Virginia and Texas lead the country in sheer numbers of data centers; they are already home to 398 and 296 operating data centers, respectively. In the coming years, states in the Midwest and South are slated to see the largest growth in data centers. The same Pew Research analysis found that the South has 754 planned data centers, a 62 percent increase over existing data centers, while the Midwest could add 419 data centers, a 64 percent increase.</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similar trend is emerging for gas power plants that would serve data centers. Seventy four proposed power plants dedicated to data centers have been publicly announced, including 71 new plants and three expansions of existing power plants. </w:t>
      </w:r>
      <w:r w:rsidDel="00000000" w:rsidR="00000000" w:rsidRPr="00000000">
        <w:rPr>
          <w:rFonts w:ascii="Calibri" w:cs="Calibri" w:eastAsia="Calibri" w:hAnsi="Calibri"/>
          <w:u w:val="single"/>
          <w:rtl w:val="0"/>
        </w:rPr>
        <w:t xml:space="preserve">Nearly half of these 74 plants – </w:t>
      </w:r>
      <w:r w:rsidDel="00000000" w:rsidR="00000000" w:rsidRPr="00000000">
        <w:rPr>
          <w:rFonts w:ascii="Calibri" w:cs="Calibri" w:eastAsia="Calibri" w:hAnsi="Calibri"/>
          <w:b w:val="1"/>
          <w:bCs w:val="1"/>
          <w:highlight w:val="cyan"/>
          <w:u w:val="single"/>
          <w:rtl w:val="0"/>
        </w:rPr>
        <w:t xml:space="preserve">32 – would be located in Texas.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 proposed power plants would be in the Ohio River Valley,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10 in Ohio, 6 in western Pennsylvania,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4 in West Virginia. Some developers have turned their attention farther west, with 4 of the proposed plants in Wyoming.</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sz w:val="16"/>
          <w:szCs w:val="16"/>
          <w:rtl w:val="0"/>
        </w:rPr>
        <w:t xml:space="preserve">Developers consider several factors when choosing where to build a new data center with dedicated gas power. Chief among them are land availability, plentiful natural gas supply, and favorable regulatory environments. Wyoming and West Virginia are among the least populated states and have large areas available for development. More populous states like Texas, Ohio, and Pennsylvania include vast rural and exurban areas with relatively inexpensive land. These five states are also major natural gas producers. According to the most recent data available from the Energy Information Administration, these states routinely account for over 60 percent of all natural gas produced for consumers in the United States. Thus, these states also already have extensive infrastructure for extracting, processing, and transporting natural gas.</w:t>
      </w:r>
      <w:r w:rsidDel="00000000" w:rsidR="00000000" w:rsidRPr="00000000">
        <w:rPr>
          <w:rtl w:val="0"/>
        </w:rPr>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jc w:val="cente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