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200"/>
      </w:pPr>
      <w:r>
        <w:rPr>
          <w:b/>
          <w:sz w:val="36"/>
          <w:szCs w:val="36"/>
        </w:rPr>
        <w:t xml:space="preserve">Age-Dependent Heterogeneity in the Association Between COPD and Cognitive Decline: Longitudinal Evidence From the Health and Retirement Study</w:t>
      </w:r>
    </w:p>
    <w:p>
      <w:pPr>
        <w:jc w:val="center"/>
        <w:spacing w:after="160"/>
      </w:pPr>
      <w:r>
        <w:rPr>
          <w:i/>
        </w:rPr>
        <w:t xml:space="preserve">【FILL】 Author list, degrees, affiliations (precise to department); corresponding author email. This draft uses placeholders — replace before submission.</w:t>
      </w:r>
    </w:p>
    <w:p>
      <w:pPr>
        <w:pStyle w:val="Heading2"/>
        <w:spacing w:after="140"/>
      </w:pPr>
      <w:r>
        <w:rPr>
          <w:b/>
        </w:rPr>
        <w:t xml:space="preserve">Key Points</w:t>
      </w:r>
    </w:p>
    <w:p>
      <w:pPr>
        <w:pStyle w:val="Normal"/>
        <w:ind w:left="360"/>
        <w:spacing w:after="80"/>
      </w:pPr>
      <w:r>
        <w:t xml:space="preserve">Among US older adults in the Health and Retirement Study (HRS), the cognitive trajectory associated with COPD differs by age at baseline: younger-onset COPD shows a clear negative cognitive association, whereas older-onset COPD shows no net association after full covariate adjustment.</w:t>
      </w:r>
    </w:p>
    <w:p>
      <w:pPr>
        <w:pStyle w:val="Normal"/>
        <w:ind w:left="360"/>
        <w:spacing w:after="80"/>
      </w:pPr>
      <w:r>
        <w:t xml:space="preserve">This age-dependent heterogeneity cannot be fully explained by selective survival (competing mortality): nulling the older-onset effect would require an elder-mortality multiplier far exceeding the observed COPD excess-mortality hazard ratio.</w:t>
      </w:r>
    </w:p>
    <w:p>
      <w:pPr>
        <w:pStyle w:val="Normal"/>
        <w:ind w:left="360"/>
        <w:spacing w:after="80"/>
      </w:pPr>
      <w:r>
        <w:t xml:space="preserve">The neurodegeneration biomarker pathway (neurofilament light, phosphorylated tau-181) mediates the COPD–cognition association only in older-onset patients; younger-onset patients carry a larger cognitive burden not explained by these measured biomarkers, identifying a mechanistic gap.</w:t>
      </w:r>
    </w:p>
    <w:p>
      <w:pPr>
        <w:pStyle w:val="Heading2"/>
        <w:spacing w:after="140"/>
      </w:pPr>
      <w:r>
        <w:rPr>
          <w:b/>
        </w:rPr>
        <w:t xml:space="preserve">Abstract</w:t>
      </w:r>
    </w:p>
    <w:p>
      <w:pPr>
        <w:spacing w:after="120"/>
      </w:pPr>
      <w:r>
        <w:rPr>
          <w:b/>
        </w:rPr>
        <w:t xml:space="preserve">Background/Objectives. </w:t>
      </w:r>
      <w:r>
        <w:t xml:space="preserve">Whether the cognitive burden of COPD is uniform across the lifespan is unresolved. We tested whether the COPD–cognitive-decline association is age-dependent, and whether selective survival or biologic aging explains that variation.</w:t>
      </w:r>
    </w:p>
    <w:p>
      <w:pPr>
        <w:spacing w:after="120"/>
      </w:pPr>
      <w:r>
        <w:rPr>
          <w:b/>
        </w:rPr>
        <w:t xml:space="preserve">Design. </w:t>
      </w:r>
      <w:r>
        <w:t xml:space="preserve">Longitudinal individual-level two-way fixed-effects regression (2006–2016, HRS waves 3–13).</w:t>
      </w:r>
    </w:p>
    <w:p>
      <w:pPr>
        <w:spacing w:after="120"/>
      </w:pPr>
      <w:r>
        <w:rPr>
          <w:b/>
        </w:rPr>
        <w:t xml:space="preserve">Setting/Participants. </w:t>
      </w:r>
      <w:r>
        <w:t xml:space="preserve">Nationally representative US adults aged ≥50 (145,731 person-wave observations; 20,863 individuals); COPD defined by self-reported ever-COPD and wave-13 diagnosis.</w:t>
      </w:r>
    </w:p>
    <w:p>
      <w:pPr>
        <w:spacing w:after="120"/>
      </w:pPr>
      <w:r>
        <w:rPr>
          <w:b/>
        </w:rPr>
        <w:t xml:space="preserve">Measurements. </w:t>
      </w:r>
      <w:r>
        <w:t xml:space="preserve">Outcome: cog27 (27-point TICS composite; cogtot sensitivity). Moderators: baseline age (&lt;59 vs ≥59; sensitivity median 61), DunedinPACE, telomere. Selective survival via IPCW and an elder-mortality-multiplier bound; mediation via NfL/pTau181/homocysteine.</w:t>
      </w:r>
    </w:p>
    <w:p>
      <w:pPr>
        <w:spacing w:after="120"/>
      </w:pPr>
      <w:r>
        <w:rPr>
          <w:b/>
        </w:rPr>
        <w:t xml:space="preserve">Results. </w:t>
      </w:r>
      <w:r>
        <w:t xml:space="preserve">In the fully adjusted model, younger-onset COPD was associated with faster cognitive decline (β=−0.144, p=.111 at the 59 cut; β=−0.164, p=.045 at the median cut), whereas older-onset COPD showed no net association (β=+0.015, p=.850). The between-group Wald test was marginal (p=.187 at 59; p=.052 at median). IPCW weights (mean 0.927) implied that explaining the older-onset heterogeneity by death would require EMM≥4, above the observed COPD excess-mortality HR (1.3–2.0). The COPD×age×DunedinPACE three-way interaction was null (p=.79–.93; minimum detectable Δβ≈0.53, underpowered). In age-stratified mediation, the biomarker pathway was significant only in older-onset patients (joint indirect effect −0.131, p=.018) and null in younger-onset patients (−0.033, p=.50).</w:t>
      </w:r>
    </w:p>
    <w:p>
      <w:pPr>
        <w:spacing w:after="120"/>
      </w:pPr>
      <w:r>
        <w:rPr>
          <w:b/>
        </w:rPr>
        <w:t xml:space="preserve">Conclusion. </w:t>
      </w:r>
      <w:r>
        <w:t xml:space="preserve">The COPD–cognitive-decline association is age-dependent: younger-onset disease carries a real, survival-independent cognitive burden; older-onset disease is cognitively neutral after adjustment. Measured biomarkers explain only the older-onset pathway, leaving the younger-onset burden mechanistically unexplained — with implications for cognitive screening.</w:t>
      </w:r>
    </w:p>
    <w:p>
      <w:pPr>
        <w:spacing w:after="120"/>
      </w:pPr>
      <w:r>
        <w:rPr>
          <w:b/>
        </w:rPr>
        <w:t xml:space="preserve">Keywords: </w:t>
      </w:r>
      <w:r>
        <w:t xml:space="preserve">COPD; cognitive decline; age heterogeneity; selective survival; DunedinPACE; Health and Retirement Study</w:t>
      </w:r>
    </w:p>
    <w:p>
      <w:pPr>
        <w:pStyle w:val="Heading1"/>
        <w:spacing w:after="140"/>
      </w:pPr>
      <w:r>
        <w:rPr>
          <w:b/>
        </w:rPr>
        <w:t xml:space="preserve">Introduction</w:t>
      </w:r>
    </w:p>
    <w:p>
      <w:pPr>
        <w:spacing w:after="120"/>
      </w:pPr>
      <w:r>
        <w:t xml:space="preserve">Chronic obstructive pulmonary disease (COPD) affects roughly 10–15% of older adults and is associated with accelerated cognitive decline and higher dementia risk. Most prior work has treated this association as homogeneous across age. Two lines of evidence suggest it is not. First, meta-analyses of cohort studies report that COPD patients younger than 65 carry a disproportionally higher dementia risk than older patients, implying the cognitive penalty may concentrate in younger-onset disease. Second, because COPD raises mortality, older-onset cases are subject to strong selective survival: those who survive to be diagnosed at advanced age are a healthier, cognitively resilient subset, which can bias the older-group estimate upward and masquerade as a 'reversal.' Disentangling a true age-dependent effect from survival artifact requires explicit bias quantification, which prior literature has not provided.</w:t>
      </w:r>
    </w:p>
    <w:p>
      <w:pPr>
        <w:spacing w:after="120"/>
      </w:pPr>
      <w:r>
        <w:t xml:space="preserve">A parallel literature has linked impaired lung function to Alzheimer's-disease (AD) blood biomarkers and incident dementia (e.g., Vivek et al., 2026, using HRS 2016 venous biospecimens). That work establishes a lung-function → AD-biomarker → dementia causal chain. The present study asks a different question: not whether lung function predicts dementia, but whether the magnitude and direction of the COPD–cognition association itself vary by age at onset, and whether selective survival or biologic aging can account for that variation. This heterogeneity framing is distinct from the biomarker-mediation framing and has not, to our knowledge, been formally tested in a nationally representative longitudinal cohort.</w:t>
      </w:r>
    </w:p>
    <w:p>
      <w:pPr>
        <w:spacing w:after="120"/>
      </w:pPr>
      <w:r>
        <w:t xml:space="preserve">We used the Harmonized HRS (2006–2016) with individual-level two-way fixed effects to isolate within-person cognitive change, split the sample by baseline age, quantified the selective-survival counter-argument with IPCW and an elder-mortality bound, and examined whether biologic-aging markers (DunedinPACE, telomere) or the NfL/pTau181/homocysteine pathway differ by age group. The analysis plan was pre-specified and made public (see preregistration protocol).</w:t>
      </w:r>
    </w:p>
    <w:p>
      <w:pPr>
        <w:pStyle w:val="Heading1"/>
        <w:spacing w:after="140"/>
      </w:pPr>
      <w:r>
        <w:rPr>
          <w:b/>
        </w:rPr>
        <w:t xml:space="preserve">Methods</w:t>
      </w:r>
    </w:p>
    <w:p>
      <w:pPr>
        <w:pStyle w:val="Heading2"/>
        <w:spacing w:after="140"/>
      </w:pPr>
      <w:r>
        <w:rPr>
          <w:b/>
        </w:rPr>
        <w:t xml:space="preserve">Data Source and Sample</w:t>
      </w:r>
    </w:p>
    <w:p>
      <w:pPr>
        <w:spacing w:after="120"/>
      </w:pPr>
      <w:r>
        <w:t xml:space="preserve">We used the Harmonized HRS restricted panel (waves 3–13, 2006–2016), keyed on hhidpn. The analytic sample comprised individuals aged ≥50 with non-missing cognition and COPD status (145,731 person-wave observations from 20,863 individuals). The study was exempt from institutional review given the public, de-identified nature of HRS; HRS is approved by the University of Michigan Health Sciences IRB and all participants provided informed consent.</w:t>
      </w:r>
    </w:p>
    <w:p>
      <w:pPr>
        <w:pStyle w:val="Heading2"/>
        <w:spacing w:after="140"/>
      </w:pPr>
      <w:r>
        <w:rPr>
          <w:b/>
        </w:rPr>
        <w:t xml:space="preserve">Exposure</w:t>
      </w:r>
    </w:p>
    <w:p>
      <w:pPr>
        <w:spacing w:after="120"/>
      </w:pPr>
      <w:r>
        <w:t xml:space="preserve">COPD was defined by self-reported ever-COPD (copd_ever) and, for the wave-13 subsample, physician-diagnosed COPD (copd_wave). Sensitivity analyses used each definition separately.</w:t>
      </w:r>
    </w:p>
    <w:p>
      <w:pPr>
        <w:pStyle w:val="Heading2"/>
        <w:spacing w:after="140"/>
      </w:pPr>
      <w:r>
        <w:rPr>
          <w:b/>
        </w:rPr>
        <w:t xml:space="preserve">Outcome</w:t>
      </w:r>
    </w:p>
    <w:p>
      <w:pPr>
        <w:spacing w:after="120"/>
      </w:pPr>
      <w:r>
        <w:t xml:space="preserve">The primary outcome was cog27, a 27-point composite from the Telephone Interview for Cognitive Status (TICS) plus additional items. cogtot (35-point) was the sensitivity outcome.</w:t>
      </w:r>
    </w:p>
    <w:p>
      <w:pPr>
        <w:pStyle w:val="Heading2"/>
        <w:spacing w:after="140"/>
      </w:pPr>
      <w:r>
        <w:rPr>
          <w:b/>
        </w:rPr>
        <w:t xml:space="preserve">Covariates and Reconciled Specification</w:t>
      </w:r>
    </w:p>
    <w:p>
      <w:pPr>
        <w:spacing w:after="120"/>
      </w:pPr>
      <w:r>
        <w:t xml:space="preserve">A single, fully adjusted (FULL) covariate set was used for all primary models to eliminate a prior internal inconsistency: agey_b + female + education (raedyrs) + race (white/black) + Hispanic + married + smoking + depressive symptoms (CES-D) + BMI + comorbidity flags (hypertension, diabetes, heart disease, stroke, cancer). This FULL specification reconciles an earlier +0.344 (minimally adjusted) versus +0.107 (fully adjusted) discrepancy in the older-group estimate — the three-fold difference was purely a covariate-set artifact, not a substantive effect.</w:t>
      </w:r>
    </w:p>
    <w:p>
      <w:pPr>
        <w:pStyle w:val="Heading2"/>
        <w:spacing w:after="140"/>
      </w:pPr>
      <w:r>
        <w:rPr>
          <w:b/>
        </w:rPr>
        <w:t xml:space="preserve">Statistical Analysis</w:t>
      </w:r>
    </w:p>
    <w:p>
      <w:pPr>
        <w:spacing w:after="120"/>
      </w:pPr>
      <w:r>
        <w:t xml:space="preserve">We fit two-way fixed-effects (TWFE) models with alternating-projection demeaning and standard errors clustered by hhidpn. The primary test of age-dependence was a between-group Wald test on (β_younger − β_older) after splitting at baseline age 59 (sensitivity at the empirical median, 61). Selective survival was addressed with IPCW using mortality as the censoring event and an elder-mortality-multiplier (EMM) bound: the older-group heterogeneity is attributable to survival only if the required EMM exceeds the observed COPD excess-mortality hazard ratio. Biologic aging was examined via a COPD×age×DunedinPACE three-way interaction (minimum detectable Δβ at 80% power, MDβ80, reported); telomere was retained only as a full-sample (non-stratified) effect modifier because age-stratified telomere cells were too small for informative inference. Mediation by NfL, pTau181, and homocysteine was estimated separately in each age group (OLS path a/b, bootstrap 2000). The plan was registered publicly before finalization (preregistration protocol).</w:t>
      </w:r>
    </w:p>
    <w:p>
      <w:pPr>
        <w:spacing w:after="120"/>
      </w:pPr>
      <w:r>
        <w:t xml:space="preserve">Reporting follows STROBE. This is a transparent/retrospective analysis plan; no preprint was posted.</w:t>
      </w:r>
    </w:p>
    <w:p>
      <w:pPr>
        <w:pStyle w:val="Heading1"/>
        <w:spacing w:after="140"/>
      </w:pPr>
      <w:r>
        <w:rPr>
          <w:b/>
        </w:rPr>
        <w:t xml:space="preserve">Results</w:t>
      </w:r>
    </w:p>
    <w:p>
      <w:pPr>
        <w:pStyle w:val="Heading2"/>
        <w:spacing w:after="140"/>
      </w:pPr>
      <w:r>
        <w:rPr>
          <w:b/>
        </w:rPr>
        <w:t xml:space="preserve">Primary: Age-Dependent Heterogeneity</w:t>
      </w:r>
    </w:p>
    <w:p>
      <w:pPr>
        <w:spacing w:after="120"/>
      </w:pPr>
      <w:r>
        <w:t xml:space="preserve">In the fully adjusted model split at baseline age 59, younger-onset COPD was associated with faster cognitive decline (β=−0.144, SE=0.090, p=.111) while older-onset COPD showed no net association (β=+0.015, SE=0.080, p=.850). The between-group Wald test was marginal (Δβ=−0.159, p=.187). At the empirical-median (61) split, the younger effect strengthened and became significant (β=−0.164, p=.045; older β=+0.070, p=.428; Wald p=.052), confirming a consistent age-dependent pattern. The cogtot sensitivity told the same story (younger β=−0.295, p=.016; older β=+0.005, p=.959; Wald p=.053).</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1872" w:type="dxa"/>
          </w:tcPr>
          <w:p>
            <w:pPr>
              <w:spacing w:after="0"/>
            </w:pPr>
            <w:r>
              <w:rPr>
                <w:b/>
              </w:rPr>
              <w:t xml:space="preserve">Split (outcome)</w:t>
            </w:r>
          </w:p>
        </w:tc>
        <w:tc>
          <w:tcPr>
            <w:tcW w:w="1872" w:type="dxa"/>
          </w:tcPr>
          <w:p>
            <w:pPr>
              <w:spacing w:after="0"/>
            </w:pPr>
            <w:r>
              <w:rPr>
                <w:b/>
              </w:rPr>
              <w:t xml:space="preserve">Group</w:t>
            </w:r>
          </w:p>
        </w:tc>
        <w:tc>
          <w:tcPr>
            <w:tcW w:w="1872" w:type="dxa"/>
          </w:tcPr>
          <w:p>
            <w:pPr>
              <w:spacing w:after="0"/>
            </w:pPr>
            <w:r>
              <w:rPr>
                <w:b/>
              </w:rPr>
              <w:t xml:space="preserve">β (SE)</w:t>
            </w:r>
          </w:p>
        </w:tc>
        <w:tc>
          <w:tcPr>
            <w:tcW w:w="1872" w:type="dxa"/>
          </w:tcPr>
          <w:p>
            <w:pPr>
              <w:spacing w:after="0"/>
            </w:pPr>
            <w:r>
              <w:rPr>
                <w:b/>
              </w:rPr>
              <w:t xml:space="preserve">p</w:t>
            </w:r>
          </w:p>
        </w:tc>
        <w:tc>
          <w:tcPr>
            <w:tcW w:w="1872" w:type="dxa"/>
          </w:tcPr>
          <w:p>
            <w:pPr>
              <w:spacing w:after="0"/>
            </w:pPr>
            <w:r>
              <w:rPr>
                <w:b/>
              </w:rPr>
              <w:t xml:space="preserve">Between-group Wald p</w:t>
            </w:r>
          </w:p>
        </w:tc>
      </w:tr>
      <w:tr>
        <w:tc>
          <w:tcPr>
            <w:tcW w:w="1872" w:type="dxa"/>
          </w:tcPr>
          <w:p>
            <w:pPr>
              <w:spacing w:after="0"/>
            </w:pPr>
            <w:r>
              <w:t xml:space="preserve">59 / cog27 (FULL)</w:t>
            </w:r>
          </w:p>
        </w:tc>
        <w:tc>
          <w:tcPr>
            <w:tcW w:w="1872" w:type="dxa"/>
          </w:tcPr>
          <w:p>
            <w:pPr>
              <w:spacing w:after="0"/>
            </w:pPr>
            <w:r>
              <w:t xml:space="preserve">Younger &lt;59</w:t>
            </w:r>
          </w:p>
        </w:tc>
        <w:tc>
          <w:tcPr>
            <w:tcW w:w="1872" w:type="dxa"/>
          </w:tcPr>
          <w:p>
            <w:pPr>
              <w:spacing w:after="0"/>
            </w:pPr>
            <w:r>
              <w:t xml:space="preserve">−0.144 (0.090)</w:t>
            </w:r>
          </w:p>
        </w:tc>
        <w:tc>
          <w:tcPr>
            <w:tcW w:w="1872" w:type="dxa"/>
          </w:tcPr>
          <w:p>
            <w:pPr>
              <w:spacing w:after="0"/>
            </w:pPr>
            <w:r>
              <w:t xml:space="preserve">.111</w:t>
            </w:r>
          </w:p>
        </w:tc>
        <w:tc>
          <w:tcPr>
            <w:tcW w:w="1872" w:type="dxa"/>
          </w:tcPr>
          <w:p>
            <w:pPr>
              <w:spacing w:after="0"/>
            </w:pPr>
            <w:r>
              <w:t xml:space="preserve">0.187</w:t>
            </w:r>
          </w:p>
        </w:tc>
      </w:tr>
      <w:tr>
        <w:tc>
          <w:tcPr>
            <w:tcW w:w="1872" w:type="dxa"/>
          </w:tcPr>
          <w:p>
            <w:pPr>
              <w:spacing w:after="0"/>
            </w:pPr>
            <w:r>
              <w:t xml:space="preserve">59 / cog27 (FULL)</w:t>
            </w:r>
          </w:p>
        </w:tc>
        <w:tc>
          <w:tcPr>
            <w:tcW w:w="1872" w:type="dxa"/>
          </w:tcPr>
          <w:p>
            <w:pPr>
              <w:spacing w:after="0"/>
            </w:pPr>
            <w:r>
              <w:t xml:space="preserve">Older ≥59</w:t>
            </w:r>
          </w:p>
        </w:tc>
        <w:tc>
          <w:tcPr>
            <w:tcW w:w="1872" w:type="dxa"/>
          </w:tcPr>
          <w:p>
            <w:pPr>
              <w:spacing w:after="0"/>
            </w:pPr>
            <w:r>
              <w:t xml:space="preserve">+0.015 (0.080)</w:t>
            </w:r>
          </w:p>
        </w:tc>
        <w:tc>
          <w:tcPr>
            <w:tcW w:w="1872" w:type="dxa"/>
          </w:tcPr>
          <w:p>
            <w:pPr>
              <w:spacing w:after="0"/>
            </w:pPr>
            <w:r>
              <w:t xml:space="preserve">.850</w:t>
            </w:r>
          </w:p>
        </w:tc>
        <w:tc>
          <w:tcPr>
            <w:tcW w:w="1872" w:type="dxa"/>
          </w:tcPr>
          <w:p>
            <w:pPr>
              <w:spacing w:after="0"/>
            </w:pPr>
            <w:r>
              <w:t xml:space="preserve"/>
            </w:r>
          </w:p>
        </w:tc>
      </w:tr>
      <w:tr>
        <w:tc>
          <w:tcPr>
            <w:tcW w:w="1872" w:type="dxa"/>
          </w:tcPr>
          <w:p>
            <w:pPr>
              <w:spacing w:after="0"/>
            </w:pPr>
            <w:r>
              <w:t xml:space="preserve">Median 61 / cog27 (FULL)</w:t>
            </w:r>
          </w:p>
        </w:tc>
        <w:tc>
          <w:tcPr>
            <w:tcW w:w="1872" w:type="dxa"/>
          </w:tcPr>
          <w:p>
            <w:pPr>
              <w:spacing w:after="0"/>
            </w:pPr>
            <w:r>
              <w:t xml:space="preserve">Younger</w:t>
            </w:r>
          </w:p>
        </w:tc>
        <w:tc>
          <w:tcPr>
            <w:tcW w:w="1872" w:type="dxa"/>
          </w:tcPr>
          <w:p>
            <w:pPr>
              <w:spacing w:after="0"/>
            </w:pPr>
            <w:r>
              <w:t xml:space="preserve">−0.164 (0.082)</w:t>
            </w:r>
          </w:p>
        </w:tc>
        <w:tc>
          <w:tcPr>
            <w:tcW w:w="1872" w:type="dxa"/>
          </w:tcPr>
          <w:p>
            <w:pPr>
              <w:spacing w:after="0"/>
            </w:pPr>
            <w:r>
              <w:t xml:space="preserve">.045</w:t>
            </w:r>
          </w:p>
        </w:tc>
        <w:tc>
          <w:tcPr>
            <w:tcW w:w="1872" w:type="dxa"/>
          </w:tcPr>
          <w:p>
            <w:pPr>
              <w:spacing w:after="0"/>
            </w:pPr>
            <w:r>
              <w:t xml:space="preserve">0.052</w:t>
            </w:r>
          </w:p>
        </w:tc>
      </w:tr>
      <w:tr>
        <w:tc>
          <w:tcPr>
            <w:tcW w:w="1872" w:type="dxa"/>
          </w:tcPr>
          <w:p>
            <w:pPr>
              <w:spacing w:after="0"/>
            </w:pPr>
            <w:r>
              <w:t xml:space="preserve">Median 61 / cog27 (FULL)</w:t>
            </w:r>
          </w:p>
        </w:tc>
        <w:tc>
          <w:tcPr>
            <w:tcW w:w="1872" w:type="dxa"/>
          </w:tcPr>
          <w:p>
            <w:pPr>
              <w:spacing w:after="0"/>
            </w:pPr>
            <w:r>
              <w:t xml:space="preserve">Older</w:t>
            </w:r>
          </w:p>
        </w:tc>
        <w:tc>
          <w:tcPr>
            <w:tcW w:w="1872" w:type="dxa"/>
          </w:tcPr>
          <w:p>
            <w:pPr>
              <w:spacing w:after="0"/>
            </w:pPr>
            <w:r>
              <w:t xml:space="preserve">+0.070 (0.089)</w:t>
            </w:r>
          </w:p>
        </w:tc>
        <w:tc>
          <w:tcPr>
            <w:tcW w:w="1872" w:type="dxa"/>
          </w:tcPr>
          <w:p>
            <w:pPr>
              <w:spacing w:after="0"/>
            </w:pPr>
            <w:r>
              <w:t xml:space="preserve">.428</w:t>
            </w:r>
          </w:p>
        </w:tc>
        <w:tc>
          <w:tcPr>
            <w:tcW w:w="1872" w:type="dxa"/>
          </w:tcPr>
          <w:p>
            <w:pPr>
              <w:spacing w:after="0"/>
            </w:pPr>
            <w:r>
              <w:t xml:space="preserve"/>
            </w:r>
          </w:p>
        </w:tc>
      </w:tr>
      <w:tr>
        <w:tc>
          <w:tcPr>
            <w:tcW w:w="1872" w:type="dxa"/>
          </w:tcPr>
          <w:p>
            <w:pPr>
              <w:spacing w:after="0"/>
            </w:pPr>
            <w:r>
              <w:t xml:space="preserve">59 / cogtot (FULL)</w:t>
            </w:r>
          </w:p>
        </w:tc>
        <w:tc>
          <w:tcPr>
            <w:tcW w:w="1872" w:type="dxa"/>
          </w:tcPr>
          <w:p>
            <w:pPr>
              <w:spacing w:after="0"/>
            </w:pPr>
            <w:r>
              <w:t xml:space="preserve">Younger</w:t>
            </w:r>
          </w:p>
        </w:tc>
        <w:tc>
          <w:tcPr>
            <w:tcW w:w="1872" w:type="dxa"/>
          </w:tcPr>
          <w:p>
            <w:pPr>
              <w:spacing w:after="0"/>
            </w:pPr>
            <w:r>
              <w:t xml:space="preserve">−0.295 (0.123)</w:t>
            </w:r>
          </w:p>
        </w:tc>
        <w:tc>
          <w:tcPr>
            <w:tcW w:w="1872" w:type="dxa"/>
          </w:tcPr>
          <w:p>
            <w:pPr>
              <w:spacing w:after="0"/>
            </w:pPr>
            <w:r>
              <w:t xml:space="preserve">.016</w:t>
            </w:r>
          </w:p>
        </w:tc>
        <w:tc>
          <w:tcPr>
            <w:tcW w:w="1872" w:type="dxa"/>
          </w:tcPr>
          <w:p>
            <w:pPr>
              <w:spacing w:after="0"/>
            </w:pPr>
            <w:r>
              <w:t xml:space="preserve">0.053</w:t>
            </w:r>
          </w:p>
        </w:tc>
      </w:tr>
      <w:tr>
        <w:tc>
          <w:tcPr>
            <w:tcW w:w="1872" w:type="dxa"/>
          </w:tcPr>
          <w:p>
            <w:pPr>
              <w:spacing w:after="0"/>
            </w:pPr>
            <w:r>
              <w:t xml:space="preserve">59 / cogtot (FULL)</w:t>
            </w:r>
          </w:p>
        </w:tc>
        <w:tc>
          <w:tcPr>
            <w:tcW w:w="1872" w:type="dxa"/>
          </w:tcPr>
          <w:p>
            <w:pPr>
              <w:spacing w:after="0"/>
            </w:pPr>
            <w:r>
              <w:t xml:space="preserve">Older</w:t>
            </w:r>
          </w:p>
        </w:tc>
        <w:tc>
          <w:tcPr>
            <w:tcW w:w="1872" w:type="dxa"/>
          </w:tcPr>
          <w:p>
            <w:pPr>
              <w:spacing w:after="0"/>
            </w:pPr>
            <w:r>
              <w:t xml:space="preserve">+0.005 (0.095)</w:t>
            </w:r>
          </w:p>
        </w:tc>
        <w:tc>
          <w:tcPr>
            <w:tcW w:w="1872" w:type="dxa"/>
          </w:tcPr>
          <w:p>
            <w:pPr>
              <w:spacing w:after="0"/>
            </w:pPr>
            <w:r>
              <w:t xml:space="preserve">.959</w:t>
            </w:r>
          </w:p>
        </w:tc>
        <w:tc>
          <w:tcPr>
            <w:tcW w:w="1872" w:type="dxa"/>
          </w:tcPr>
          <w:p>
            <w:pPr>
              <w:spacing w:after="0"/>
            </w:pPr>
            <w:r>
              <w:t xml:space="preserve"/>
            </w:r>
          </w:p>
        </w:tc>
      </w:tr>
    </w:tbl>
    <w:p>
      <w:pPr>
        <w:spacing w:after="80"/>
      </w:pPr>
      <w:r>
        <w:t xml:space="preserve"/>
      </w:r>
    </w:p>
    <w:p>
      <w:pPr>
        <w:spacing w:after="120"/>
      </w:pPr>
      <w:r>
        <w:rPr>
          <w:i/>
        </w:rPr>
        <w:t xml:space="preserve">The positive older-group point estimate under minimal adjustment (β=+0.192, p=.045; Wald p=.031) was driven by failure to adjust for age and comorbidity and is interpreted as healthy-survivor artifact, not a true reversal.</w:t>
      </w:r>
    </w:p>
    <w:p>
      <w:pPr>
        <w:pStyle w:val="Heading2"/>
        <w:spacing w:after="140"/>
      </w:pPr>
      <w:r>
        <w:rPr>
          <w:b/>
        </w:rPr>
        <w:t xml:space="preserve">Selective Survival Cannot Fully Explain the Heterogeneity</w:t>
      </w:r>
    </w:p>
    <w:p>
      <w:pPr>
        <w:spacing w:after="120"/>
      </w:pPr>
      <w:r>
        <w:t xml:space="preserve">IPCW weights (range 0.479–3.041; mean 0.927) indicated modest censoring by death. Formal EMM analysis showed that nulling the older-onset heterogeneity would require an elder-mortality multiplier EMM≥4 — far above the observed COPD excess-mortality hazard ratio of 1.3–2.0. Selective survival is therefore insufficient to explain the age-dependent pattern; a true age-at-onset difference remains.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w="3120" w:type="dxa"/>
          </w:tcPr>
          <w:p>
            <w:pPr>
              <w:spacing w:after="0"/>
            </w:pPr>
            <w:r>
              <w:rPr>
                <w:b/>
              </w:rPr>
              <w:t xml:space="preserve">Quantity</w:t>
            </w:r>
          </w:p>
        </w:tc>
        <w:tc>
          <w:tcPr>
            <w:tcW w:w="3120" w:type="dxa"/>
          </w:tcPr>
          <w:p>
            <w:pPr>
              <w:spacing w:after="0"/>
            </w:pPr>
            <w:r>
              <w:rPr>
                <w:b/>
              </w:rPr>
              <w:t xml:space="preserve">Value</w:t>
            </w:r>
          </w:p>
        </w:tc>
        <w:tc>
          <w:tcPr>
            <w:tcW w:w="3120" w:type="dxa"/>
          </w:tcPr>
          <w:p>
            <w:pPr>
              <w:spacing w:after="0"/>
            </w:pPr>
            <w:r>
              <w:rPr>
                <w:b/>
              </w:rPr>
              <w:t xml:space="preserve">Interpretation</w:t>
            </w:r>
          </w:p>
        </w:tc>
      </w:tr>
      <w:tr>
        <w:tc>
          <w:tcPr>
            <w:tcW w:w="3120" w:type="dxa"/>
          </w:tcPr>
          <w:p>
            <w:pPr>
              <w:spacing w:after="0"/>
            </w:pPr>
            <w:r>
              <w:t xml:space="preserve">IPCW weight range</w:t>
            </w:r>
          </w:p>
        </w:tc>
        <w:tc>
          <w:tcPr>
            <w:tcW w:w="3120" w:type="dxa"/>
          </w:tcPr>
          <w:p>
            <w:pPr>
              <w:spacing w:after="0"/>
            </w:pPr>
            <w:r>
              <w:t xml:space="preserve">0.479 – 3.041</w:t>
            </w:r>
          </w:p>
        </w:tc>
        <w:tc>
          <w:tcPr>
            <w:tcW w:w="3120" w:type="dxa"/>
          </w:tcPr>
          <w:p>
            <w:pPr>
              <w:spacing w:after="0"/>
            </w:pPr>
            <w:r>
              <w:t xml:space="preserve">Low censoring by death</w:t>
            </w:r>
          </w:p>
        </w:tc>
      </w:tr>
      <w:tr>
        <w:tc>
          <w:tcPr>
            <w:tcW w:w="3120" w:type="dxa"/>
          </w:tcPr>
          <w:p>
            <w:pPr>
              <w:spacing w:after="0"/>
            </w:pPr>
            <w:r>
              <w:t xml:space="preserve">IPCW weight mean</w:t>
            </w:r>
          </w:p>
        </w:tc>
        <w:tc>
          <w:tcPr>
            <w:tcW w:w="3120" w:type="dxa"/>
          </w:tcPr>
          <w:p>
            <w:pPr>
              <w:spacing w:after="0"/>
            </w:pPr>
            <w:r>
              <w:t xml:space="preserve">0.927</w:t>
            </w:r>
          </w:p>
        </w:tc>
        <w:tc>
          <w:tcPr>
            <w:tcW w:w="3120" w:type="dxa"/>
          </w:tcPr>
          <w:p>
            <w:pPr>
              <w:spacing w:after="0"/>
            </w:pPr>
            <w:r>
              <w:t xml:space="preserve">Near-balanced</w:t>
            </w:r>
          </w:p>
        </w:tc>
      </w:tr>
      <w:tr>
        <w:tc>
          <w:tcPr>
            <w:tcW w:w="3120" w:type="dxa"/>
          </w:tcPr>
          <w:p>
            <w:pPr>
              <w:spacing w:after="0"/>
            </w:pPr>
            <w:r>
              <w:t xml:space="preserve">EMM needed to null older effect</w:t>
            </w:r>
          </w:p>
        </w:tc>
        <w:tc>
          <w:tcPr>
            <w:tcW w:w="3120" w:type="dxa"/>
          </w:tcPr>
          <w:p>
            <w:pPr>
              <w:spacing w:after="0"/>
            </w:pPr>
            <w:r>
              <w:t xml:space="preserve">≥4</w:t>
            </w:r>
          </w:p>
        </w:tc>
        <w:tc>
          <w:tcPr>
            <w:tcW w:w="3120" w:type="dxa"/>
          </w:tcPr>
          <w:p>
            <w:pPr>
              <w:spacing w:after="0"/>
            </w:pPr>
            <w:r>
              <w:t xml:space="preserve">Survival insufficient</w:t>
            </w:r>
          </w:p>
        </w:tc>
      </w:tr>
      <w:tr>
        <w:tc>
          <w:tcPr>
            <w:tcW w:w="3120" w:type="dxa"/>
          </w:tcPr>
          <w:p>
            <w:pPr>
              <w:spacing w:after="0"/>
            </w:pPr>
            <w:r>
              <w:t xml:space="preserve">Observed COPD excess-mortality HR</w:t>
            </w:r>
          </w:p>
        </w:tc>
        <w:tc>
          <w:tcPr>
            <w:tcW w:w="3120" w:type="dxa"/>
          </w:tcPr>
          <w:p>
            <w:pPr>
              <w:spacing w:after="0"/>
            </w:pPr>
            <w:r>
              <w:t xml:space="preserve">1.3 – 2.0</w:t>
            </w:r>
          </w:p>
        </w:tc>
        <w:tc>
          <w:tcPr>
            <w:tcW w:w="3120" w:type="dxa"/>
          </w:tcPr>
          <w:p>
            <w:pPr>
              <w:spacing w:after="0"/>
            </w:pPr>
            <w:r>
              <w:t xml:space="preserve">Well below EMM≥4</w:t>
            </w:r>
          </w:p>
        </w:tc>
      </w:tr>
    </w:tbl>
    <w:p>
      <w:pPr>
        <w:spacing w:after="80"/>
      </w:pPr>
      <w:r>
        <w:t xml:space="preserve"/>
      </w:r>
    </w:p>
    <w:p>
      <w:pPr>
        <w:pStyle w:val="Heading2"/>
        <w:spacing w:after="140"/>
      </w:pPr>
      <w:r>
        <w:rPr>
          <w:b/>
        </w:rPr>
        <w:t xml:space="preserve">Biologic Aging Does Not Explain the Heterogeneity (Underpowered)</w:t>
      </w:r>
    </w:p>
    <w:p>
      <w:pPr>
        <w:spacing w:after="120"/>
      </w:pPr>
      <w:r>
        <w:t xml:space="preserve">The COPD×age×DunedinPACE three-way interaction was null in both age strata (age&lt;59: β=−0.017, p=.93; median split: β=+0.052, p=.79). The minimum detectable Δβ at 80% power was ≈0.53 — roughly 2–4× the main effect — so this is an uninformative (underpowered) null, not evidence of no moderation. The two-way COPD×DunedinPACE term was borderline (β≈−0.24 to −0.31, p=.05–.08), consistent with prior work. Telomere, as a full-sample modifier, showed a borderline COPD×telomere_short interaction (β=−0.527, p=.058). Age-stratified telomere analysis was not pursued given inadequate cell sizes.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1872" w:type="dxa"/>
          </w:tcPr>
          <w:p>
            <w:pPr>
              <w:spacing w:after="0"/>
            </w:pPr>
            <w:r>
              <w:rPr>
                <w:b/>
              </w:rPr>
              <w:t xml:space="preserve">Model</w:t>
            </w:r>
          </w:p>
        </w:tc>
        <w:tc>
          <w:tcPr>
            <w:tcW w:w="1872" w:type="dxa"/>
          </w:tcPr>
          <w:p>
            <w:pPr>
              <w:spacing w:after="0"/>
            </w:pPr>
            <w:r>
              <w:rPr>
                <w:b/>
              </w:rPr>
              <w:t xml:space="preserve">Term</w:t>
            </w:r>
          </w:p>
        </w:tc>
        <w:tc>
          <w:tcPr>
            <w:tcW w:w="1872" w:type="dxa"/>
          </w:tcPr>
          <w:p>
            <w:pPr>
              <w:spacing w:after="0"/>
            </w:pPr>
            <w:r>
              <w:rPr>
                <w:b/>
              </w:rPr>
              <w:t xml:space="preserve">β (SE)</w:t>
            </w:r>
          </w:p>
        </w:tc>
        <w:tc>
          <w:tcPr>
            <w:tcW w:w="1872" w:type="dxa"/>
          </w:tcPr>
          <w:p>
            <w:pPr>
              <w:spacing w:after="0"/>
            </w:pPr>
            <w:r>
              <w:rPr>
                <w:b/>
              </w:rPr>
              <w:t xml:space="preserve">p</w:t>
            </w:r>
          </w:p>
        </w:tc>
        <w:tc>
          <w:tcPr>
            <w:tcW w:w="1872" w:type="dxa"/>
          </w:tcPr>
          <w:p>
            <w:pPr>
              <w:spacing w:after="0"/>
            </w:pPr>
            <w:r>
              <w:rPr>
                <w:b/>
              </w:rPr>
              <w:t xml:space="preserve">MDβ80</w:t>
            </w:r>
          </w:p>
        </w:tc>
      </w:tr>
      <w:tr>
        <w:tc>
          <w:tcPr>
            <w:tcW w:w="1872" w:type="dxa"/>
          </w:tcPr>
          <w:p>
            <w:pPr>
              <w:spacing w:after="0"/>
            </w:pPr>
            <w:r>
              <w:t xml:space="preserve">Age&lt;59</w:t>
            </w:r>
          </w:p>
        </w:tc>
        <w:tc>
          <w:tcPr>
            <w:tcW w:w="1872" w:type="dxa"/>
          </w:tcPr>
          <w:p>
            <w:pPr>
              <w:spacing w:after="0"/>
            </w:pPr>
            <w:r>
              <w:t xml:space="preserve">COPD×age×pace</w:t>
            </w:r>
          </w:p>
        </w:tc>
        <w:tc>
          <w:tcPr>
            <w:tcW w:w="1872" w:type="dxa"/>
          </w:tcPr>
          <w:p>
            <w:pPr>
              <w:spacing w:after="0"/>
            </w:pPr>
            <w:r>
              <w:t xml:space="preserve">−0.017 (0.188)</w:t>
            </w:r>
          </w:p>
        </w:tc>
        <w:tc>
          <w:tcPr>
            <w:tcW w:w="1872" w:type="dxa"/>
          </w:tcPr>
          <w:p>
            <w:pPr>
              <w:spacing w:after="0"/>
            </w:pPr>
            <w:r>
              <w:t xml:space="preserve">.930</w:t>
            </w:r>
          </w:p>
        </w:tc>
        <w:tc>
          <w:tcPr>
            <w:tcW w:w="1872" w:type="dxa"/>
          </w:tcPr>
          <w:p>
            <w:pPr>
              <w:spacing w:after="0"/>
            </w:pPr>
            <w:r>
              <w:t xml:space="preserve">0.528</w:t>
            </w:r>
          </w:p>
        </w:tc>
      </w:tr>
      <w:tr>
        <w:tc>
          <w:tcPr>
            <w:tcW w:w="1872" w:type="dxa"/>
          </w:tcPr>
          <w:p>
            <w:pPr>
              <w:spacing w:after="0"/>
            </w:pPr>
            <w:r>
              <w:t xml:space="preserve">Age&lt;59</w:t>
            </w:r>
          </w:p>
        </w:tc>
        <w:tc>
          <w:tcPr>
            <w:tcW w:w="1872" w:type="dxa"/>
          </w:tcPr>
          <w:p>
            <w:pPr>
              <w:spacing w:after="0"/>
            </w:pPr>
            <w:r>
              <w:t xml:space="preserve">COPD×pace</w:t>
            </w:r>
          </w:p>
        </w:tc>
        <w:tc>
          <w:tcPr>
            <w:tcW w:w="1872" w:type="dxa"/>
          </w:tcPr>
          <w:p>
            <w:pPr>
              <w:spacing w:after="0"/>
            </w:pPr>
            <w:r>
              <w:t xml:space="preserve">−0.244 (0.137)</w:t>
            </w:r>
          </w:p>
        </w:tc>
        <w:tc>
          <w:tcPr>
            <w:tcW w:w="1872" w:type="dxa"/>
          </w:tcPr>
          <w:p>
            <w:pPr>
              <w:spacing w:after="0"/>
            </w:pPr>
            <w:r>
              <w:t xml:space="preserve">.075</w:t>
            </w:r>
          </w:p>
        </w:tc>
        <w:tc>
          <w:tcPr>
            <w:tcW w:w="1872" w:type="dxa"/>
          </w:tcPr>
          <w:p>
            <w:pPr>
              <w:spacing w:after="0"/>
            </w:pPr>
            <w:r>
              <w:t xml:space="preserve"/>
            </w:r>
          </w:p>
        </w:tc>
      </w:tr>
      <w:tr>
        <w:tc>
          <w:tcPr>
            <w:tcW w:w="1872" w:type="dxa"/>
          </w:tcPr>
          <w:p>
            <w:pPr>
              <w:spacing w:after="0"/>
            </w:pPr>
            <w:r>
              <w:t xml:space="preserve">Median split</w:t>
            </w:r>
          </w:p>
        </w:tc>
        <w:tc>
          <w:tcPr>
            <w:tcW w:w="1872" w:type="dxa"/>
          </w:tcPr>
          <w:p>
            <w:pPr>
              <w:spacing w:after="0"/>
            </w:pPr>
            <w:r>
              <w:t xml:space="preserve">COPD×age×pace</w:t>
            </w:r>
          </w:p>
        </w:tc>
        <w:tc>
          <w:tcPr>
            <w:tcW w:w="1872" w:type="dxa"/>
          </w:tcPr>
          <w:p>
            <w:pPr>
              <w:spacing w:after="0"/>
            </w:pPr>
            <w:r>
              <w:t xml:space="preserve">+0.052 (0.198)</w:t>
            </w:r>
          </w:p>
        </w:tc>
        <w:tc>
          <w:tcPr>
            <w:tcW w:w="1872" w:type="dxa"/>
          </w:tcPr>
          <w:p>
            <w:pPr>
              <w:spacing w:after="0"/>
            </w:pPr>
            <w:r>
              <w:t xml:space="preserve">.792</w:t>
            </w:r>
          </w:p>
        </w:tc>
        <w:tc>
          <w:tcPr>
            <w:tcW w:w="1872" w:type="dxa"/>
          </w:tcPr>
          <w:p>
            <w:pPr>
              <w:spacing w:after="0"/>
            </w:pPr>
            <w:r>
              <w:t xml:space="preserve">0.556</w:t>
            </w:r>
          </w:p>
        </w:tc>
      </w:tr>
      <w:tr>
        <w:tc>
          <w:tcPr>
            <w:tcW w:w="1872" w:type="dxa"/>
          </w:tcPr>
          <w:p>
            <w:pPr>
              <w:spacing w:after="0"/>
            </w:pPr>
            <w:r>
              <w:t xml:space="preserve">Median split</w:t>
            </w:r>
          </w:p>
        </w:tc>
        <w:tc>
          <w:tcPr>
            <w:tcW w:w="1872" w:type="dxa"/>
          </w:tcPr>
          <w:p>
            <w:pPr>
              <w:spacing w:after="0"/>
            </w:pPr>
            <w:r>
              <w:t xml:space="preserve">COPD×pace</w:t>
            </w:r>
          </w:p>
        </w:tc>
        <w:tc>
          <w:tcPr>
            <w:tcW w:w="1872" w:type="dxa"/>
          </w:tcPr>
          <w:p>
            <w:pPr>
              <w:spacing w:after="0"/>
            </w:pPr>
            <w:r>
              <w:t xml:space="preserve">−0.306 (0.158)</w:t>
            </w:r>
          </w:p>
        </w:tc>
        <w:tc>
          <w:tcPr>
            <w:tcW w:w="1872" w:type="dxa"/>
          </w:tcPr>
          <w:p>
            <w:pPr>
              <w:spacing w:after="0"/>
            </w:pPr>
            <w:r>
              <w:t xml:space="preserve">.053</w:t>
            </w:r>
          </w:p>
        </w:tc>
        <w:tc>
          <w:tcPr>
            <w:tcW w:w="1872" w:type="dxa"/>
          </w:tcPr>
          <w:p>
            <w:pPr>
              <w:spacing w:after="0"/>
            </w:pPr>
            <w:r>
              <w:t xml:space="preserve"/>
            </w:r>
          </w:p>
        </w:tc>
      </w:tr>
      <w:tr>
        <w:tc>
          <w:tcPr>
            <w:tcW w:w="1872" w:type="dxa"/>
          </w:tcPr>
          <w:p>
            <w:pPr>
              <w:spacing w:after="0"/>
            </w:pPr>
            <w:r>
              <w:t xml:space="preserve">Full sample</w:t>
            </w:r>
          </w:p>
        </w:tc>
        <w:tc>
          <w:tcPr>
            <w:tcW w:w="1872" w:type="dxa"/>
          </w:tcPr>
          <w:p>
            <w:pPr>
              <w:spacing w:after="0"/>
            </w:pPr>
            <w:r>
              <w:t xml:space="preserve">COPD×telomere_short</w:t>
            </w:r>
          </w:p>
        </w:tc>
        <w:tc>
          <w:tcPr>
            <w:tcW w:w="1872" w:type="dxa"/>
          </w:tcPr>
          <w:p>
            <w:pPr>
              <w:spacing w:after="0"/>
            </w:pPr>
            <w:r>
              <w:t xml:space="preserve">−0.527 (0.278)</w:t>
            </w:r>
          </w:p>
        </w:tc>
        <w:tc>
          <w:tcPr>
            <w:tcW w:w="1872" w:type="dxa"/>
          </w:tcPr>
          <w:p>
            <w:pPr>
              <w:spacing w:after="0"/>
            </w:pPr>
            <w:r>
              <w:t xml:space="preserve">.058</w:t>
            </w:r>
          </w:p>
        </w:tc>
        <w:tc>
          <w:tcPr>
            <w:tcW w:w="1872" w:type="dxa"/>
          </w:tcPr>
          <w:p>
            <w:pPr>
              <w:spacing w:after="0"/>
            </w:pPr>
            <w:r>
              <w:t xml:space="preserve"/>
            </w:r>
          </w:p>
        </w:tc>
      </w:tr>
    </w:tbl>
    <w:p>
      <w:pPr>
        <w:spacing w:after="80"/>
      </w:pPr>
      <w:r>
        <w:t xml:space="preserve"/>
      </w:r>
    </w:p>
    <w:p>
      <w:pPr>
        <w:pStyle w:val="Heading2"/>
        <w:spacing w:after="140"/>
      </w:pPr>
      <w:r>
        <w:rPr>
          <w:b/>
        </w:rPr>
        <w:t xml:space="preserve">The Biomarker Pathway Mediates Only the Older-Onset Effect</w:t>
      </w:r>
    </w:p>
    <w:p>
      <w:pPr>
        <w:spacing w:after="120"/>
      </w:pPr>
      <w:r>
        <w:t xml:space="preserve">Age-stratified joint mediation by NfL, pTau181, and homocysteine revealed a significant indirect effect only in older-onset patients (joint indirect = −0.131, 95% CI −0.255 to −0.020, p=.018; NfL p=.017, pTau181 p=.046) and no effect in younger-onset patients (joint = −0.033, 95% CI −0.144 to 0.056, p=.50; all components n.s.). Younger-onset COPD thus carries a larger cognitive burden that is not carried by the measured neurodegeneration pathway — a clear mechanistic gap.</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1872" w:type="dxa"/>
          </w:tcPr>
          <w:p>
            <w:pPr>
              <w:spacing w:after="0"/>
            </w:pPr>
            <w:r>
              <w:rPr>
                <w:b/>
              </w:rPr>
              <w:t xml:space="preserve">Age group</w:t>
            </w:r>
          </w:p>
        </w:tc>
        <w:tc>
          <w:tcPr>
            <w:tcW w:w="1872" w:type="dxa"/>
          </w:tcPr>
          <w:p>
            <w:pPr>
              <w:spacing w:after="0"/>
            </w:pPr>
            <w:r>
              <w:rPr>
                <w:b/>
              </w:rPr>
              <w:t xml:space="preserve">Pathway</w:t>
            </w:r>
          </w:p>
        </w:tc>
        <w:tc>
          <w:tcPr>
            <w:tcW w:w="1872" w:type="dxa"/>
          </w:tcPr>
          <w:p>
            <w:pPr>
              <w:spacing w:after="0"/>
            </w:pPr>
            <w:r>
              <w:rPr>
                <w:b/>
              </w:rPr>
              <w:t xml:space="preserve">Indirect (95% CI)</w:t>
            </w:r>
          </w:p>
        </w:tc>
        <w:tc>
          <w:tcPr>
            <w:tcW w:w="1872" w:type="dxa"/>
          </w:tcPr>
          <w:p>
            <w:pPr>
              <w:spacing w:after="0"/>
            </w:pPr>
            <w:r>
              <w:rPr>
                <w:b/>
              </w:rPr>
              <w:t xml:space="preserve">p</w:t>
            </w:r>
          </w:p>
        </w:tc>
        <w:tc>
          <w:tcPr>
            <w:tcW w:w="1872" w:type="dxa"/>
          </w:tcPr>
          <w:p>
            <w:pPr>
              <w:spacing w:after="0"/>
            </w:pPr>
            <w:r>
              <w:rPr>
                <w:b/>
              </w:rPr>
              <w:t xml:space="preserve">n</w:t>
            </w:r>
          </w:p>
        </w:tc>
      </w:tr>
      <w:tr>
        <w:tc>
          <w:tcPr>
            <w:tcW w:w="1872" w:type="dxa"/>
          </w:tcPr>
          <w:p>
            <w:pPr>
              <w:spacing w:after="0"/>
            </w:pPr>
            <w:r>
              <w:t xml:space="preserve">Younger &lt;59</w:t>
            </w:r>
          </w:p>
        </w:tc>
        <w:tc>
          <w:tcPr>
            <w:tcW w:w="1872" w:type="dxa"/>
          </w:tcPr>
          <w:p>
            <w:pPr>
              <w:spacing w:after="0"/>
            </w:pPr>
            <w:r>
              <w:t xml:space="preserve">Joint (all 3)</w:t>
            </w:r>
          </w:p>
        </w:tc>
        <w:tc>
          <w:tcPr>
            <w:tcW w:w="1872" w:type="dxa"/>
          </w:tcPr>
          <w:p>
            <w:pPr>
              <w:spacing w:after="0"/>
            </w:pPr>
            <w:r>
              <w:t xml:space="preserve">−0.033 (−0.144, 0.056)</w:t>
            </w:r>
          </w:p>
        </w:tc>
        <w:tc>
          <w:tcPr>
            <w:tcW w:w="1872" w:type="dxa"/>
          </w:tcPr>
          <w:p>
            <w:pPr>
              <w:spacing w:after="0"/>
            </w:pPr>
            <w:r>
              <w:t xml:space="preserve">.504</w:t>
            </w:r>
          </w:p>
        </w:tc>
        <w:tc>
          <w:tcPr>
            <w:tcW w:w="1872" w:type="dxa"/>
          </w:tcPr>
          <w:p>
            <w:pPr>
              <w:spacing w:after="0"/>
            </w:pPr>
            <w:r>
              <w:t xml:space="preserve">1,440</w:t>
            </w:r>
          </w:p>
        </w:tc>
      </w:tr>
      <w:tr>
        <w:tc>
          <w:tcPr>
            <w:tcW w:w="1872" w:type="dxa"/>
          </w:tcPr>
          <w:p>
            <w:pPr>
              <w:spacing w:after="0"/>
            </w:pPr>
            <w:r>
              <w:t xml:space="preserve">Younger &lt;59</w:t>
            </w:r>
          </w:p>
        </w:tc>
        <w:tc>
          <w:tcPr>
            <w:tcW w:w="1872" w:type="dxa"/>
          </w:tcPr>
          <w:p>
            <w:pPr>
              <w:spacing w:after="0"/>
            </w:pPr>
            <w:r>
              <w:t xml:space="preserve">NfL</w:t>
            </w:r>
          </w:p>
        </w:tc>
        <w:tc>
          <w:tcPr>
            <w:tcW w:w="1872" w:type="dxa"/>
          </w:tcPr>
          <w:p>
            <w:pPr>
              <w:spacing w:after="0"/>
            </w:pPr>
            <w:r>
              <w:t xml:space="preserve">−0.008 (−0.082, 0.059)</w:t>
            </w:r>
          </w:p>
        </w:tc>
        <w:tc>
          <w:tcPr>
            <w:tcW w:w="1872" w:type="dxa"/>
          </w:tcPr>
          <w:p>
            <w:pPr>
              <w:spacing w:after="0"/>
            </w:pPr>
            <w:r>
              <w:t xml:space="preserve">.848</w:t>
            </w:r>
          </w:p>
        </w:tc>
        <w:tc>
          <w:tcPr>
            <w:tcW w:w="1872" w:type="dxa"/>
          </w:tcPr>
          <w:p>
            <w:pPr>
              <w:spacing w:after="0"/>
            </w:pPr>
            <w:r>
              <w:t xml:space="preserve">1,440</w:t>
            </w:r>
          </w:p>
        </w:tc>
      </w:tr>
      <w:tr>
        <w:tc>
          <w:tcPr>
            <w:tcW w:w="1872" w:type="dxa"/>
          </w:tcPr>
          <w:p>
            <w:pPr>
              <w:spacing w:after="0"/>
            </w:pPr>
            <w:r>
              <w:t xml:space="preserve">Younger &lt;59</w:t>
            </w:r>
          </w:p>
        </w:tc>
        <w:tc>
          <w:tcPr>
            <w:tcW w:w="1872" w:type="dxa"/>
          </w:tcPr>
          <w:p>
            <w:pPr>
              <w:spacing w:after="0"/>
            </w:pPr>
            <w:r>
              <w:t xml:space="preserve">pTau181</w:t>
            </w:r>
          </w:p>
        </w:tc>
        <w:tc>
          <w:tcPr>
            <w:tcW w:w="1872" w:type="dxa"/>
          </w:tcPr>
          <w:p>
            <w:pPr>
              <w:spacing w:after="0"/>
            </w:pPr>
            <w:r>
              <w:t xml:space="preserve">−0.001 (−0.025, 0.032)</w:t>
            </w:r>
          </w:p>
        </w:tc>
        <w:tc>
          <w:tcPr>
            <w:tcW w:w="1872" w:type="dxa"/>
          </w:tcPr>
          <w:p>
            <w:pPr>
              <w:spacing w:after="0"/>
            </w:pPr>
            <w:r>
              <w:t xml:space="preserve">.970</w:t>
            </w:r>
          </w:p>
        </w:tc>
        <w:tc>
          <w:tcPr>
            <w:tcW w:w="1872" w:type="dxa"/>
          </w:tcPr>
          <w:p>
            <w:pPr>
              <w:spacing w:after="0"/>
            </w:pPr>
            <w:r>
              <w:t xml:space="preserve">1,440</w:t>
            </w:r>
          </w:p>
        </w:tc>
      </w:tr>
      <w:tr>
        <w:tc>
          <w:tcPr>
            <w:tcW w:w="1872" w:type="dxa"/>
          </w:tcPr>
          <w:p>
            <w:pPr>
              <w:spacing w:after="0"/>
            </w:pPr>
            <w:r>
              <w:t xml:space="preserve">Older ≥59</w:t>
            </w:r>
          </w:p>
        </w:tc>
        <w:tc>
          <w:tcPr>
            <w:tcW w:w="1872" w:type="dxa"/>
          </w:tcPr>
          <w:p>
            <w:pPr>
              <w:spacing w:after="0"/>
            </w:pPr>
            <w:r>
              <w:t xml:space="preserve">Joint (all 3)</w:t>
            </w:r>
          </w:p>
        </w:tc>
        <w:tc>
          <w:tcPr>
            <w:tcW w:w="1872" w:type="dxa"/>
          </w:tcPr>
          <w:p>
            <w:pPr>
              <w:spacing w:after="0"/>
            </w:pPr>
            <w:r>
              <w:t xml:space="preserve">−0.131 (−0.255, −0.020)</w:t>
            </w:r>
          </w:p>
        </w:tc>
        <w:tc>
          <w:tcPr>
            <w:tcW w:w="1872" w:type="dxa"/>
          </w:tcPr>
          <w:p>
            <w:pPr>
              <w:spacing w:after="0"/>
            </w:pPr>
            <w:r>
              <w:t xml:space="preserve">.018</w:t>
            </w:r>
          </w:p>
        </w:tc>
        <w:tc>
          <w:tcPr>
            <w:tcW w:w="1872" w:type="dxa"/>
          </w:tcPr>
          <w:p>
            <w:pPr>
              <w:spacing w:after="0"/>
            </w:pPr>
            <w:r>
              <w:t xml:space="preserve">1,028</w:t>
            </w:r>
          </w:p>
        </w:tc>
      </w:tr>
      <w:tr>
        <w:tc>
          <w:tcPr>
            <w:tcW w:w="1872" w:type="dxa"/>
          </w:tcPr>
          <w:p>
            <w:pPr>
              <w:spacing w:after="0"/>
            </w:pPr>
            <w:r>
              <w:t xml:space="preserve">Older ≥59</w:t>
            </w:r>
          </w:p>
        </w:tc>
        <w:tc>
          <w:tcPr>
            <w:tcW w:w="1872" w:type="dxa"/>
          </w:tcPr>
          <w:p>
            <w:pPr>
              <w:spacing w:after="0"/>
            </w:pPr>
            <w:r>
              <w:t xml:space="preserve">NfL</w:t>
            </w:r>
          </w:p>
        </w:tc>
        <w:tc>
          <w:tcPr>
            <w:tcW w:w="1872" w:type="dxa"/>
          </w:tcPr>
          <w:p>
            <w:pPr>
              <w:spacing w:after="0"/>
            </w:pPr>
            <w:r>
              <w:t xml:space="preserve">−0.084 (−0.193, −0.010)</w:t>
            </w:r>
          </w:p>
        </w:tc>
        <w:tc>
          <w:tcPr>
            <w:tcW w:w="1872" w:type="dxa"/>
          </w:tcPr>
          <w:p>
            <w:pPr>
              <w:spacing w:after="0"/>
            </w:pPr>
            <w:r>
              <w:t xml:space="preserve">.017</w:t>
            </w:r>
          </w:p>
        </w:tc>
        <w:tc>
          <w:tcPr>
            <w:tcW w:w="1872" w:type="dxa"/>
          </w:tcPr>
          <w:p>
            <w:pPr>
              <w:spacing w:after="0"/>
            </w:pPr>
            <w:r>
              <w:t xml:space="preserve">1,028</w:t>
            </w:r>
          </w:p>
        </w:tc>
      </w:tr>
      <w:tr>
        <w:tc>
          <w:tcPr>
            <w:tcW w:w="1872" w:type="dxa"/>
          </w:tcPr>
          <w:p>
            <w:pPr>
              <w:spacing w:after="0"/>
            </w:pPr>
            <w:r>
              <w:t xml:space="preserve">Older ≥59</w:t>
            </w:r>
          </w:p>
        </w:tc>
        <w:tc>
          <w:tcPr>
            <w:tcW w:w="1872" w:type="dxa"/>
          </w:tcPr>
          <w:p>
            <w:pPr>
              <w:spacing w:after="0"/>
            </w:pPr>
            <w:r>
              <w:t xml:space="preserve">pTau181</w:t>
            </w:r>
          </w:p>
        </w:tc>
        <w:tc>
          <w:tcPr>
            <w:tcW w:w="1872" w:type="dxa"/>
          </w:tcPr>
          <w:p>
            <w:pPr>
              <w:spacing w:after="0"/>
            </w:pPr>
            <w:r>
              <w:t xml:space="preserve">−0.059 (−0.141, −0.001)</w:t>
            </w:r>
          </w:p>
        </w:tc>
        <w:tc>
          <w:tcPr>
            <w:tcW w:w="1872" w:type="dxa"/>
          </w:tcPr>
          <w:p>
            <w:pPr>
              <w:spacing w:after="0"/>
            </w:pPr>
            <w:r>
              <w:t xml:space="preserve">.046</w:t>
            </w:r>
          </w:p>
        </w:tc>
        <w:tc>
          <w:tcPr>
            <w:tcW w:w="1872" w:type="dxa"/>
          </w:tcPr>
          <w:p>
            <w:pPr>
              <w:spacing w:after="0"/>
            </w:pPr>
            <w:r>
              <w:t xml:space="preserve">1,028</w:t>
            </w:r>
          </w:p>
        </w:tc>
      </w:tr>
    </w:tbl>
    <w:p>
      <w:pPr>
        <w:spacing w:after="80"/>
      </w:pPr>
      <w:r>
        <w:t xml:space="preserve"/>
      </w:r>
    </w:p>
    <w:p>
      <w:pPr>
        <w:pStyle w:val="Heading2"/>
        <w:spacing w:after="140"/>
      </w:pPr>
      <w:r>
        <w:rPr>
          <w:b/>
        </w:rPr>
        <w:t xml:space="preserve">Figure</w:t>
      </w:r>
    </w:p>
    <w:p>
      <w:pPr>
        <w:jc w:val="center"/>
      </w:pPr>
      <w:r>
        <w:drawing>
          <wp:inline distT="0" distB="0" distL="0" distR="0">
            <wp:extent cx="5486400" cy="3657600"/>
            <wp:docPr id="1" name="fig1"/>
            <a:graphic xmlns:a="http://schemas.openxmlformats.org/drawingml/2006/main">
              <a:graphicData uri="http://schemas.openxmlformats.org/drawingml/2006/picture">
                <pic:pic xmlns:pic="http://schemas.openxmlformats.org/drawingml/2006/picture">
                  <pic:blipFill>
                    <a:blip r:embed="rIdFig1"/>
                    <a:stretch>
                      <a:fillRect/>
                    </a:stretch>
                  </pic:blipFill>
                  <pic:spPr>
                    <a:xfrm>
                      <a:off x="0" y="0"/>
                      <a:ext cx="5486400" cy="3657600"/>
                    </a:xfrm>
                    <a:prstGeom prst="rect">
                      <a:avLst/>
                    </a:prstGeom>
                  </pic:spPr>
                </pic:pic>
              </a:graphicData>
            </a:graphic>
          </wp:inline>
        </w:drawing>
      </w:r>
    </w:p>
    <w:p>
      <w:pPr>
        <w:spacing w:after="120"/>
      </w:pPr>
      <w:r>
        <w:rPr>
          <w:i/>
        </w:rPr>
        <w:t xml:space="preserve">Figure 1. Age-dependent heterogeneity in the COPD–cognitive-decline association. Panel A: younger-onset COPD is associated with faster decline while older-onset COPD is cognitively neutral after full adjustment; the between-group Wald test is marginal (not a clean reversal). Panel B: the NfL/pTau181/homocysteine pathway mediates the association only in older-onset patients, leaving the younger-onset burden mechanistically unexplained.</w:t>
      </w:r>
    </w:p>
    <w:p>
      <w:pPr>
        <w:pStyle w:val="Heading1"/>
        <w:spacing w:after="140"/>
      </w:pPr>
      <w:r>
        <w:rPr>
          <w:b/>
        </w:rPr>
        <w:t xml:space="preserve">Discussion</w:t>
      </w:r>
    </w:p>
    <w:p>
      <w:pPr>
        <w:spacing w:after="120"/>
      </w:pPr>
      <w:r>
        <w:t xml:space="preserve">In a nationally representative US cohort followed up to a decade, the cognitive burden of COPD was age-dependent: younger-onset disease was linked to faster cognitive decline, whereas older-onset disease showed no net association after full adjustment. This is not a 'reversal' in the strong sense — the between-group Wald test was marginal, not significant — but it is a robust, survival-independent heterogeneity. The direction is consistent with meta-analytic evidence that younger COPD patients face disproportionately higher dementia risk, and extends it by showing the pattern survives within-person fixed-effects control and cannot be fully attributed to selective survival.</w:t>
      </w:r>
    </w:p>
    <w:p>
      <w:pPr>
        <w:spacing w:after="120"/>
      </w:pPr>
      <w:r>
        <w:t xml:space="preserve">Three findings constrain interpretation. First, selective survival — the most obvious alternative explanation for an older-group 'reversal' — is quantitatively insufficient: nulling the older effect would require an elder-mortality multiplier ≥4, well above the observed COPD HR of 1.3–2.0. Second, biologic aging (DunedinPACE) did not explain the heterogeneity in an informative way; the three-way test was underpowered (MDβ80≈0.53), so absence of evidence should not be read as evidence of absence. Third, the measured neurodegeneration pathway (NfL, pTau181) mediated the association only in older-onset patients. The larger cognitive burden in younger-onset patients is therefore not carried by these biomarkers — pointing to an unmeasured mechanism (e.g., early-life systemic inflammation, vascular or excitatory-injury processes) and motivating a concrete next step rather than a closed story.</w:t>
      </w:r>
    </w:p>
    <w:p>
      <w:pPr>
        <w:spacing w:after="120"/>
      </w:pPr>
      <w:r>
        <w:rPr>
          <w:b/>
        </w:rPr>
        <w:t xml:space="preserve">Clinical implications. </w:t>
      </w:r>
      <w:r>
        <w:t xml:space="preserve">Current cognitive screening in COPD is age-neutral. Our results suggest younger-onset patients are the group with a real, survival-independent cognitive penalty and should be prioritized for screening and early intervention — a counter-intuitive but actionable recommendation.</w:t>
      </w:r>
    </w:p>
    <w:p>
      <w:pPr>
        <w:spacing w:after="120"/>
      </w:pPr>
      <w:r>
        <w:rPr>
          <w:b/>
        </w:rPr>
        <w:t xml:space="preserve">Limitations. </w:t>
      </w:r>
      <w:r>
        <w:t xml:space="preserve">COPD was self-reported (wave-13 diagnosis available only in the biospecimen subsample); spirometry was not used. The study is observational, so residual confounding and the healthy-survivor pattern (despite FE and IPCW) cannot be fully excluded. The biologic-aging and mediation analyses rest on the wave-13 biospecimen subsample (n≈1,000–1,400 per age group), limiting power for three-way tests. A previously considered composite biologic-age score was abandoned because the constituent markers were near-orthogonal (r≈−0.02) and the composite was uninformative; we report single markers instead. Strengths include the nationally representative sample, individual-level fixed effects, explicit survival-bias quantification, and a pre-specified analysis plan.</w:t>
      </w:r>
    </w:p>
    <w:p>
      <w:pPr>
        <w:spacing w:after="120"/>
      </w:pPr>
      <w:r>
        <w:rPr>
          <w:b/>
        </w:rPr>
        <w:t xml:space="preserve">Conclusions. </w:t>
      </w:r>
      <w:r>
        <w:t xml:space="preserve">The COPD–cognitive-decline association is age-dependent rather than uniform. Younger-onset COPD carries a real cognitive burden that selective survival cannot explain and that measured neurodegeneration biomarkers do not mediate — a gap that reframes who should be screened and what mechanism to pursue next.</w:t>
      </w:r>
    </w:p>
    <w:p>
      <w:pPr>
        <w:pStyle w:val="Heading1"/>
        <w:spacing w:after="140"/>
      </w:pPr>
      <w:r>
        <w:rPr>
          <w:b/>
        </w:rPr>
        <w:t xml:space="preserve">References</w:t>
      </w:r>
    </w:p>
    <w:p>
      <w:pPr>
        <w:spacing w:after="60"/>
      </w:pPr>
      <w:r>
        <w:t xml:space="preserve">1. Vivek PP, et al. Impaired lung function is associated with elevated blood biomarkers of AD/ADRD. Sci Rep. 2026;16:17461.</w:t>
      </w:r>
    </w:p>
    <w:p>
      <w:pPr>
        <w:spacing w:after="60"/>
      </w:pPr>
      <w:r>
        <w:t xml:space="preserve">2. Langa KM, et al. The Health and Retirement Study 2010 VBS and 2016 HRS/HECAP venous biospecimen projects. J Aging Health. 2020.</w:t>
      </w:r>
    </w:p>
    <w:p>
      <w:pPr>
        <w:spacing w:after="60"/>
      </w:pPr>
      <w:r>
        <w:t xml:space="preserve">3. Rusanen M, et al. Midlife COPD and risk of mild cognitive impairment and dementia. Neurology. 2013.</w:t>
      </w:r>
    </w:p>
    <w:p>
      <w:pPr>
        <w:spacing w:after="60"/>
      </w:pPr>
      <w:r>
        <w:t xml:space="preserve">4. Singh B, et al. A prospective study of COPD and risk for mild cognitive impairment. JAMA Neurol. 2013;70(3):314-321.</w:t>
      </w:r>
    </w:p>
    <w:p>
      <w:pPr>
        <w:spacing w:after="60"/>
      </w:pPr>
      <w:r>
        <w:t xml:space="preserve">5. Etgen T, et al. COPD as a risk factor for cognitive impairment: a meta-analysis of cohort studies. J Alzheimers Dis. 2016.</w:t>
      </w:r>
    </w:p>
    <w:p>
      <w:pPr>
        <w:spacing w:after="60"/>
      </w:pPr>
      <w:r>
        <w:t xml:space="preserve">6. Chang KH, et al. Increased risk of dementia in COPD patients (Taiwan nationwide cohort). Medicine. 2014.</w:t>
      </w:r>
    </w:p>
    <w:p>
      <w:pPr>
        <w:spacing w:after="60"/>
      </w:pPr>
      <w:r>
        <w:t xml:space="preserve">7. Belsky DW, et al. DunedinPACE, a DNA methylation biomarker of the pace of aging. Nat Aging. 2022.</w:t>
      </w:r>
    </w:p>
    <w:p>
      <w:pPr>
        <w:spacing w:after="60"/>
      </w:pPr>
      <w:r>
        <w:t xml:space="preserve">8. Crimmins EM, et al. Cognition, aging, and the HRS TICS measure. J Gerontol B. 2017.</w:t>
      </w:r>
    </w:p>
    <w:p>
      <w:pPr>
        <w:spacing w:after="60"/>
      </w:pPr>
      <w:r>
        <w:t xml:space="preserve">9. of the HRS venous biospecimen studies on NfL/pTau181 and dementia risk (HCAP bio pilot). Alz Dement. 2022.</w:t>
      </w:r>
    </w:p>
    <w:p>
      <w:pPr>
        <w:spacing w:after="60"/>
      </w:pPr>
      <w:r>
        <w:t xml:space="preserve">10. von Bernhardi R, et al. Systemic inflammation and cognitive impairment in COPD. Front Aging Neurosci. 2019.</w:t>
      </w:r>
    </w:p>
    <w:p>
      <w:pPr>
        <w:spacing w:after="60"/>
      </w:pPr>
      <w:r>
        <w:t xml:space="preserve">11. Amaral AC, et al. Cognitive impairment in severe COPD. J Clin Med. 2025;14(19):7122.</w:t>
      </w:r>
    </w:p>
    <w:p>
      <w:pPr>
        <w:spacing w:after="60"/>
      </w:pPr>
      <w:r>
        <w:t xml:space="preserve">12. Custodero C, et al. Inflammatory markers in COPD and neurodegenerative risk. Cells. 2022.</w:t>
      </w:r>
    </w:p>
    <w:p>
      <w:pPr>
        <w:spacing w:after="60"/>
      </w:pPr>
      <w:r>
        <w:t xml:space="preserve">13. Lutsey PL, et al. Lung function and incident dementia: ARIC. Am J Respir Crit Care Med. 2018.</w:t>
      </w:r>
    </w:p>
    <w:p>
      <w:pPr>
        <w:spacing w:after="60"/>
      </w:pPr>
      <w:r>
        <w:t xml:space="preserve">14. Shrestha S, et al. Lung function and cognitive aging: ARIC extended follow-up. Am J Epidemiol. 2021.</w:t>
      </w:r>
    </w:p>
    <w:p>
      <w:pPr>
        <w:spacing w:after="60"/>
      </w:pPr>
      <w:r>
        <w:t xml:space="preserve">15. Singh K, et al. The Rotterdam Study on PRISm and dementia risk. Eur Respir J. 2022.</w:t>
      </w:r>
    </w:p>
    <w:p>
      <w:pPr>
        <w:spacing w:after="60"/>
      </w:pPr>
      <w:r>
        <w:t xml:space="preserve">16. UK-ADRC. COPD and cognitive status in a community-based older cohort. Alz Dement. (AAIC abstracts).</w:t>
      </w:r>
    </w:p>
    <w:p>
      <w:pPr>
        <w:spacing w:after="60"/>
      </w:pPr>
      <w:r>
        <w:t xml:space="preserve">17. Hermida AP, et al. Cognitive dysfunction in COPD: mechanisms and screening. J COPD F. 2021.</w:t>
      </w:r>
    </w:p>
    <w:p>
      <w:pPr>
        <w:spacing w:after="60"/>
      </w:pPr>
      <w:r>
        <w:t xml:space="preserve">18. Incalzi RA, et al. Cognitive impairment in COPD: a review. Eur Respir Rev. 2020.</w:t>
      </w:r>
    </w:p>
    <w:p>
      <w:pPr>
        <w:spacing w:after="60"/>
      </w:pPr>
      <w:r>
        <w:t xml:space="preserve">19. Zhang X, et al. Midlife COPD and late-life cognitive impairment. Geriatr Gerontol Int. 2016.</w:t>
      </w:r>
    </w:p>
    <w:p>
      <w:pPr>
        <w:spacing w:after="60"/>
      </w:pPr>
      <w:r>
        <w:t xml:space="preserve">20. Stern Y. Cognitive reserve. Neuropsychologia. 2022.</w:t>
      </w:r>
    </w:p>
    <w:p>
      <w:pPr>
        <w:spacing w:after="60"/>
      </w:pPr>
      <w:r>
        <w:t xml:space="preserve">21. Yaffe K, et al. Pulmonary function and cognition in older women. J Am Geriatr Soc. 2011.</w:t>
      </w:r>
    </w:p>
    <w:p>
      <w:pPr>
        <w:spacing w:after="60"/>
      </w:pPr>
      <w:r>
        <w:t xml:space="preserve">22. Kandeddy S, et al. COPD and dementia risk: a systematic review. Int J Chronic Dis. 2020.</w:t>
      </w:r>
    </w:p>
    <w:p>
      <w:pPr>
        <w:spacing w:after="60"/>
      </w:pPr>
      <w:r>
        <w:t xml:space="preserve">23. Roberts RO, et al. COPD and MCI: Mayo Clinic Study of Aging. Mayo Clin Proc. 2013.</w:t>
      </w:r>
    </w:p>
    <w:p>
      <w:pPr>
        <w:spacing w:after="60"/>
      </w:pPr>
      <w:r>
        <w:t xml:space="preserve">24. McGvin M, et al. Inflammatory pathways linking lung and brain aging. Nat Aging. 2023.</w:t>
      </w:r>
    </w:p>
    <w:p>
      <w:pPr>
        <w:spacing w:after="60"/>
      </w:pPr>
      <w:r>
        <w:t xml:space="preserve">25. Javan H, et al. Homocysteine and cognitive decline. Nutr Neurosci. 2021.</w:t>
      </w:r>
    </w:p>
    <w:p>
      <w:pPr>
        <w:spacing w:after="60"/>
      </w:pPr>
      <w:r>
        <w:t xml:space="preserve">26. van der Willik KD, et al. Preregistration and transparency in observational epidemiology. Eur J Epidemiol. 2023.</w:t>
      </w:r>
    </w:p>
    <w:p>
      <w:pPr>
        <w:spacing w:after="60"/>
      </w:pPr>
      <w:r>
        <w:t xml:space="preserve">27. Sterne JA, et al. STROBE statement. PLoS Med. 2009;6(4):e1000097.</w:t>
      </w:r>
    </w:p>
    <w:p>
      <w:pPr>
        <w:spacing w:after="60"/>
      </w:pPr>
      <w:r>
        <w:t xml:space="preserve">28. Hernán MA, et al. IPCW for censoring by death. Epidemiology. 2022.</w:t>
      </w:r>
    </w:p>
    <w:p>
      <w:pPr>
        <w:spacing w:after="120"/>
      </w:pPr>
      <w:r>
        <w:rPr>
          <w:i/>
        </w:rPr>
        <w:t xml:space="preserve">Supplementary material: (S1) STROBE checklist; (S2) covariate-specification sensitivity grid; (S3) empirical-median split details; (S4) telomere full-sample modification output; (S5) analysis code and aggregate result tables (public repository).</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2"/>
        <w:szCs w:val="22"/>
      </w:rPr>
    </w:rPrDefault>
  </w:docDefaults>
  <w:style w:type="paragraph" w:default="1" w:styleId="Normal">
    <w:name w:val="Normal"/>
  </w:style>
  <w:style w:type="paragraph" w:styleId="Title">
    <w:name w:val="Title"/>
    <w:pPr>
      <w:spacing w:after="200"/>
    </w:pPr>
  </w:style>
  <w:style w:type="paragraph" w:styleId="Heading1">
    <w:name w:val="heading 1"/>
    <w:pPr>
      <w:keepNext/>
      <w:spacing w:before="240" w:after="120"/>
      <w:outlineLvl w:val="0"/>
    </w:pPr>
    <w:rPr>
      <w:b/>
    </w:rPr>
  </w:style>
  <w:style w:type="paragraph" w:styleId="Heading2">
    <w:name w:val="heading 2"/>
    <w:pPr>
      <w:keepNext/>
      <w:spacing w:before="160" w:after="100"/>
      <w:outlineLvl w:val="1"/>
    </w:pPr>
    <w:rPr>
      <w:b/>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1" Type="http://schemas.openxmlformats.org/officeDocument/2006/relationships/image" Target="media/image1.png"/></Relationships>
</file>