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eastAsia="Times New Roman" w:cs="Times New Roman"/>
          <w:b/>
          <w:sz w:val="22"/>
        </w:rPr>
        <w:t>Authors:</w:t>
      </w:r>
      <w:r>
        <w:rPr>
          <w:rFonts w:ascii="Times New Roman" w:hAnsi="Times New Roman" w:eastAsia="Times New Roman" w:cs="Times New Roman"/>
          <w:b w:val="0"/>
          <w:sz w:val="22"/>
        </w:rPr>
        <w:t xml:space="preserve"> Yan Chen¹, Jianfeng Wang²</w:t>
      </w:r>
    </w:p>
    <w:p>
      <w:pPr>
        <w:jc w:val="center"/>
      </w:pPr>
      <w:r>
        <w:rPr>
          <w:rFonts w:ascii="Times New Roman" w:hAnsi="Times New Roman" w:eastAsia="Times New Roman" w:cs="Times New Roman"/>
          <w:b/>
          <w:sz w:val="22"/>
        </w:rPr>
        <w:t>Affiliations:</w:t>
      </w:r>
      <w:r>
        <w:rPr>
          <w:rFonts w:ascii="Times New Roman" w:hAnsi="Times New Roman" w:eastAsia="Times New Roman" w:cs="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eastAsia="Times New Roman" w:cs="Times New Roman"/>
          <w:b/>
          <w:sz w:val="22"/>
        </w:rPr>
        <w:t>Correspondence:</w:t>
      </w:r>
      <w:r>
        <w:rPr>
          <w:rFonts w:ascii="Times New Roman" w:hAnsi="Times New Roman" w:eastAsia="Times New Roman" w:cs="Times New Roman"/>
          <w:b w:val="0"/>
          <w:sz w:val="22"/>
        </w:rPr>
        <w:t xml:space="preserve"> Jianfeng Wang, 2001m@163.com</w:t>
      </w:r>
    </w:p>
    <w:p>
      <w:pPr>
        <w:spacing w:before="200" w:after="80"/>
        <w:jc w:val="left"/>
      </w:pPr>
      <w:r>
        <w:rPr>
          <w:rFonts w:ascii="Times New Roman" w:hAnsi="Times New Roman" w:eastAsia="Times New Roman" w:cs="Times New Roman"/>
          <w:b/>
          <w:sz w:val="26"/>
        </w:rPr>
        <w:t>Abstract</w:t>
      </w:r>
    </w:p>
    <w:p>
      <w:pPr>
        <w:ind w:firstLine="480"/>
        <w:jc w:val="both"/>
      </w:pPr>
      <w:r>
        <w:rPr>
          <w:rFonts w:ascii="Times New Roman" w:hAnsi="Times New Roman" w:eastAsia="Times New Roman" w:cs="Times New Roman"/>
          <w:b/>
          <w:sz w:val="24"/>
        </w:rPr>
        <w:t>Background</w:t>
      </w:r>
      <w:r>
        <w:rPr>
          <w:rFonts w:ascii="Times New Roman" w:hAnsi="Times New Roman" w:eastAsia="Times New Roman" w:cs="Times New Roman"/>
          <w:b w:val="0"/>
          <w:sz w:val="24"/>
        </w:rPr>
        <w:t xml:space="preserve"> Two-step (product-method) Mendelian randomization (MR) mediation assumes that the exposure-step and mediator-step instrument sets are independent. This assumption has never been examined at scale, and no closed-form correction exists for when it fails.</w:t>
      </w:r>
    </w:p>
    <w:p>
      <w:pPr>
        <w:ind w:firstLine="480"/>
        <w:jc w:val="both"/>
      </w:pPr>
      <w:r>
        <w:rPr>
          <w:rFonts w:ascii="Times New Roman" w:hAnsi="Times New Roman" w:eastAsia="Times New Roman" w:cs="Times New Roman"/>
          <w:b/>
          <w:sz w:val="24"/>
        </w:rPr>
        <w:t>Methods</w:t>
      </w:r>
      <w:r>
        <w:rPr>
          <w:rFonts w:ascii="Times New Roman" w:hAnsi="Times New Roman" w:eastAsia="Times New Roman" w:cs="Times New Roman"/>
          <w:b w:val="0"/>
          <w:sz w:val="24"/>
        </w:rPr>
        <w:t xml:space="preserve"> We screened 333 published two-step MR mediation studies (from 695 records; PRISMA 2020) for instrument-selection design and overlap handling. We derived a closed-form Cov(α̂, β̂) under shared-instrument and mediator-outcome sample-overlap channels, validated it on a 180-cell simulation grid and a 200-cell flip-probability scan, and batch re-estimated 108 trios from OpenGWAS summary statistics.</w:t>
      </w:r>
    </w:p>
    <w:p>
      <w:pPr>
        <w:ind w:firstLine="480"/>
        <w:jc w:val="both"/>
      </w:pPr>
      <w:r>
        <w:rPr>
          <w:rFonts w:ascii="Times New Roman" w:hAnsi="Times New Roman" w:eastAsia="Times New Roman" w:cs="Times New Roman"/>
          <w:b/>
          <w:sz w:val="24"/>
        </w:rPr>
        <w:t>Results</w:t>
      </w:r>
      <w:r>
        <w:rPr>
          <w:rFonts w:ascii="Times New Roman" w:hAnsi="Times New Roman" w:eastAsia="Times New Roman" w:cs="Times New Roman"/>
          <w:b w:val="0"/>
          <w:sz w:val="24"/>
        </w:rPr>
        <w:t xml:space="preserve"> 39.3% (95% CI 34.2–44.7%) of the 333 studies use a design capable of non-zero Cov(α̂, β̂) without disclosing overlap handling, and essentially none correct for it. Under the undisclosed merged-pool design the correction widened 19 of 20 real opposite-signed mediation trios, by up to 38.3%. Genuine overlap occurred in 6.5% (7/108) of re-estimated trios, where the correction narrowed every non-degenerate confidence interval (0.2–16.0%) with zero observed flips (flip-rate 95% CI 0–43.4%); the covariance sign is prior-unknown, negative under concordant mediation and positive under discordant mediation or sample overlap, where flip probability reaches 10.4%.</w:t>
      </w:r>
    </w:p>
    <w:p>
      <w:pPr>
        <w:ind w:firstLine="480"/>
        <w:jc w:val="both"/>
      </w:pPr>
      <w:r>
        <w:rPr>
          <w:rFonts w:ascii="Times New Roman" w:hAnsi="Times New Roman" w:eastAsia="Times New Roman" w:cs="Times New Roman"/>
          <w:b/>
          <w:sz w:val="24"/>
        </w:rPr>
        <w:t>Conclusions</w:t>
      </w:r>
      <w:r>
        <w:rPr>
          <w:rFonts w:ascii="Times New Roman" w:hAnsi="Times New Roman" w:eastAsia="Times New Roman" w:cs="Times New Roman"/>
          <w:b w:val="0"/>
          <w:sz w:val="24"/>
        </w:rPr>
        <w:t xml:space="preserve"> Instrument overlap is common and systematically uncorrected, and its direction cannot be assumed favourable. Because n_s, π_shared and ρ_MY are rarely reported, the field cannot tell which regime a published result occupies; these three quantities should therefore be reported routinely, and our released tool applies the correction from summary statistics alone.</w:t>
      </w:r>
    </w:p>
    <w:p>
      <w:pPr>
        <w:jc w:val="both"/>
      </w:pPr>
      <w:r>
        <w:rPr>
          <w:rFonts w:ascii="Times New Roman" w:hAnsi="Times New Roman" w:eastAsia="Times New Roman" w:cs="Times New Roman"/>
          <w:b/>
          <w:sz w:val="22"/>
        </w:rPr>
        <w:t>Keywords:</w:t>
      </w:r>
      <w:r>
        <w:rPr>
          <w:rFonts w:ascii="Times New Roman" w:hAnsi="Times New Roman" w:eastAsia="Times New Roman" w:cs="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eastAsia="Times New Roman" w:cs="Times New Roman"/>
          <w:b/>
          <w:sz w:val="26"/>
        </w:rPr>
        <w:t>1. Introduction</w:t>
      </w:r>
    </w:p>
    <w:p>
      <w:pPr>
        <w:ind w:firstLine="480"/>
        <w:jc w:val="both"/>
      </w:pPr>
      <w:r>
        <w:rPr>
          <w:rFonts w:ascii="Times New Roman" w:hAnsi="Times New Roman" w:eastAsia="Times New Roman" w:cs="Times New Roman"/>
          <w:b w:val="0"/>
          <w:sz w:val="24"/>
        </w:rPr>
        <w:t xml:space="preserve">Mendelian randomization (MR) uses genetic variants as instrumental variables to strengthen causal inference from observational data </w:t>
      </w:r>
      <w:r>
        <w:rPr>
          <w:rFonts w:ascii="Times New Roman" w:hAnsi="Times New Roman" w:eastAsia="Times New Roman" w:cs="Times New Roman"/>
          <w:b w:val="0"/>
          <w:sz w:val="24"/>
          <w:vertAlign w:val="superscript"/>
        </w:rPr>
        <w:t>1</w:t>
      </w:r>
      <w:r>
        <w:rPr>
          <w:rFonts w:ascii="Times New Roman" w:hAnsi="Times New Roman" w:eastAsia="Times New Roman" w:cs="Times New Roman"/>
          <w:b w:val="0"/>
          <w:sz w:val="24"/>
        </w:rPr>
        <w:t xml:space="preserve">. Because genotypes are fixed at conception and randomly allocated at meiosis, MR estimates are comparatively robust to confounding and reverse causation </w:t>
      </w:r>
      <w:r>
        <w:rPr>
          <w:rFonts w:ascii="Times New Roman" w:hAnsi="Times New Roman" w:eastAsia="Times New Roman" w:cs="Times New Roman"/>
          <w:b w:val="0"/>
          <w:sz w:val="24"/>
          <w:vertAlign w:val="superscript"/>
        </w:rPr>
        <w:t>2</w:t>
      </w:r>
      <w:r>
        <w:rPr>
          <w:rFonts w:ascii="Times New Roman" w:hAnsi="Times New Roman" w:eastAsia="Times New Roman" w:cs="Times New Roman"/>
          <w:b w:val="0"/>
          <w:sz w:val="24"/>
        </w:rPr>
        <w:t xml:space="preserve">. With the advent of large GWAS consortia, MR is now routinely conducted from summarized genetic associations combined by inverse-variance weighting </w:t>
      </w:r>
      <w:r>
        <w:rPr>
          <w:rFonts w:ascii="Times New Roman" w:hAnsi="Times New Roman" w:eastAsia="Times New Roman" w:cs="Times New Roman"/>
          <w:b w:val="0"/>
          <w:sz w:val="24"/>
          <w:vertAlign w:val="superscript"/>
        </w:rPr>
        <w:t>3</w:t>
      </w:r>
      <w:r>
        <w:rPr>
          <w:rFonts w:ascii="Times New Roman" w:hAnsi="Times New Roman" w:eastAsia="Times New Roman" w:cs="Times New Roman"/>
          <w:b w:val="0"/>
          <w:sz w:val="24"/>
        </w:rPr>
        <w:t xml:space="preserve">. Splitting the exposure and outcome associations into two non-overlapping GWAS — "two-sample MR" — markedly improves power and has become the default design </w:t>
      </w:r>
      <w:r>
        <w:rPr>
          <w:rFonts w:ascii="Times New Roman" w:hAnsi="Times New Roman" w:eastAsia="Times New Roman" w:cs="Times New Roman"/>
          <w:b w:val="0"/>
          <w:sz w:val="24"/>
          <w:vertAlign w:val="superscript"/>
        </w:rPr>
        <w:t>4</w:t>
      </w:r>
      <w:r>
        <w:rPr>
          <w:rFonts w:ascii="Times New Roman" w:hAnsi="Times New Roman" w:eastAsia="Times New Roman" w:cs="Times New Roman"/>
          <w:b w:val="0"/>
          <w:sz w:val="24"/>
        </w:rPr>
        <w:t xml:space="preserve">. Summarized-data MR can equivalently be implemented through allele scores or through inverse-variance weighted combinations of variant-specific ratios </w:t>
      </w:r>
      <w:r>
        <w:rPr>
          <w:rFonts w:ascii="Times New Roman" w:hAnsi="Times New Roman" w:eastAsia="Times New Roman" w:cs="Times New Roman"/>
          <w:b w:val="0"/>
          <w:sz w:val="24"/>
          <w:vertAlign w:val="superscript"/>
        </w:rPr>
        <w:t>5</w:t>
      </w:r>
      <w:r>
        <w:rPr>
          <w:rFonts w:ascii="Times New Roman" w:hAnsi="Times New Roman" w:eastAsia="Times New Roman" w:cs="Times New Roman"/>
          <w:b w:val="0"/>
          <w:sz w:val="24"/>
        </w:rPr>
        <w:t xml:space="preserve">. A well-documented threat to validity is weak-instrument bias, which attenuates estimates towards the confounded observational association </w:t>
      </w:r>
      <w:r>
        <w:rPr>
          <w:rFonts w:ascii="Times New Roman" w:hAnsi="Times New Roman" w:eastAsia="Times New Roman" w:cs="Times New Roman"/>
          <w:b w:val="0"/>
          <w:sz w:val="24"/>
          <w:vertAlign w:val="superscript"/>
        </w:rPr>
        <w:t>6</w:t>
      </w:r>
      <w:r>
        <w:rPr>
          <w:rFonts w:ascii="Times New Roman" w:hAnsi="Times New Roman" w:eastAsia="Times New Roman" w:cs="Times New Roman"/>
          <w:b w:val="0"/>
          <w:sz w:val="24"/>
        </w:rPr>
        <w:t xml:space="preserve">. Robust methods such as Egger regression relax the exclusion-restriction assumption and recover consistent estimates under weaker conditions </w:t>
      </w:r>
      <w:r>
        <w:rPr>
          <w:rFonts w:ascii="Times New Roman" w:hAnsi="Times New Roman" w:eastAsia="Times New Roman" w:cs="Times New Roman"/>
          <w:b w:val="0"/>
          <w:sz w:val="24"/>
          <w:vertAlign w:val="superscript"/>
        </w:rPr>
        <w:t>7</w:t>
      </w:r>
      <w:r>
        <w:rPr>
          <w:rFonts w:ascii="Times New Roman" w:hAnsi="Times New Roman" w:eastAsia="Times New Roman" w:cs="Times New Roman"/>
          <w:b w:val="0"/>
          <w:sz w:val="24"/>
        </w:rPr>
        <w:t xml:space="preserve">. Horizontal pleiotropy can be detected, and in many settings corrected, by global outlier-robust tests </w:t>
      </w:r>
      <w:r>
        <w:rPr>
          <w:rFonts w:ascii="Times New Roman" w:hAnsi="Times New Roman" w:eastAsia="Times New Roman" w:cs="Times New Roman"/>
          <w:b w:val="0"/>
          <w:sz w:val="24"/>
          <w:vertAlign w:val="superscript"/>
        </w:rPr>
        <w:t>8</w:t>
      </w:r>
      <w:r>
        <w:rPr>
          <w:rFonts w:ascii="Times New Roman" w:hAnsi="Times New Roman" w:eastAsia="Times New Roman" w:cs="Times New Roman"/>
          <w:b w:val="0"/>
          <w:sz w:val="24"/>
        </w:rPr>
        <w:t xml:space="preserve">. Weighted-median estimation offers a complementary robust alternative that remains consistent when most of the weight comes from valid instruments </w:t>
      </w:r>
      <w:r>
        <w:rPr>
          <w:rFonts w:ascii="Times New Roman" w:hAnsi="Times New Roman" w:eastAsia="Times New Roman" w:cs="Times New Roman"/>
          <w:b w:val="0"/>
          <w:sz w:val="24"/>
          <w:vertAlign w:val="superscript"/>
        </w:rPr>
        <w:t>9</w:t>
      </w:r>
      <w:r>
        <w:rPr>
          <w:rFonts w:ascii="Times New Roman" w:hAnsi="Times New Roman" w:eastAsia="Times New Roman" w:cs="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eastAsia="Times New Roman" w:cs="Times New Roman"/>
          <w:b w:val="0"/>
          <w:sz w:val="24"/>
          <w:vertAlign w:val="superscript"/>
        </w:rPr>
        <w:t>10</w:t>
      </w:r>
      <w:r>
        <w:rPr>
          <w:rFonts w:ascii="Times New Roman" w:hAnsi="Times New Roman" w:eastAsia="Times New Roman" w:cs="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eastAsia="Times New Roman" w:cs="Times New Roman"/>
          <w:b w:val="0"/>
          <w:sz w:val="24"/>
          <w:vertAlign w:val="superscript"/>
        </w:rPr>
        <w:t>11</w:t>
      </w:r>
      <w:r>
        <w:rPr>
          <w:rFonts w:ascii="Times New Roman" w:hAnsi="Times New Roman" w:eastAsia="Times New Roman" w:cs="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eastAsia="Times New Roman" w:cs="Times New Roman"/>
          <w:b w:val="0"/>
          <w:sz w:val="24"/>
          <w:vertAlign w:val="superscript"/>
        </w:rPr>
        <w:t>12</w:t>
      </w:r>
      <w:r>
        <w:rPr>
          <w:rFonts w:ascii="Times New Roman" w:hAnsi="Times New Roman" w:eastAsia="Times New Roman" w:cs="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eastAsia="Times New Roman" w:cs="Times New Roman"/>
          <w:b w:val="0"/>
          <w:sz w:val="24"/>
          <w:vertAlign w:val="superscript"/>
        </w:rPr>
        <w:t>13</w:t>
      </w:r>
      <w:r>
        <w:rPr>
          <w:rFonts w:ascii="Times New Roman" w:hAnsi="Times New Roman" w:eastAsia="Times New Roman" w:cs="Times New Roman"/>
          <w:b w:val="0"/>
          <w:sz w:val="24"/>
        </w:rPr>
        <w:t xml:space="preserve">. Practical guidance for appraising MR studies stresses transparent reporting of instrument provenance and of the assumptions being invoked </w:t>
      </w:r>
      <w:r>
        <w:rPr>
          <w:rFonts w:ascii="Times New Roman" w:hAnsi="Times New Roman" w:eastAsia="Times New Roman" w:cs="Times New Roman"/>
          <w:b w:val="0"/>
          <w:sz w:val="24"/>
          <w:vertAlign w:val="superscript"/>
        </w:rPr>
        <w:t>14</w:t>
      </w:r>
      <w:r>
        <w:rPr>
          <w:rFonts w:ascii="Times New Roman" w:hAnsi="Times New Roman" w:eastAsia="Times New Roman" w:cs="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eastAsia="Times New Roman" w:cs="Times New Roman"/>
          <w:b w:val="0"/>
          <w:sz w:val="24"/>
          <w:vertAlign w:val="superscript"/>
        </w:rPr>
        <w:t>15</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 xml:space="preserve">A persistent practical problem is therefore </w:t>
      </w:r>
      <w:r>
        <w:rPr>
          <w:rFonts w:ascii="Times New Roman" w:hAnsi="Times New Roman" w:eastAsia="Times New Roman" w:cs="Times New Roman"/>
          <w:b/>
          <w:sz w:val="24"/>
        </w:rPr>
        <w:t>sample and instrument overlap</w:t>
      </w:r>
      <w:r>
        <w:rPr>
          <w:rFonts w:ascii="Times New Roman" w:hAnsi="Times New Roman" w:eastAsia="Times New Roman" w:cs="Times New Roman"/>
          <w:b w:val="0"/>
          <w:sz w:val="24"/>
        </w:rPr>
        <w:t xml:space="preserve">. The overlap result above applies to an </w:t>
      </w:r>
      <w:r>
        <w:rPr>
          <w:rFonts w:ascii="Times New Roman" w:hAnsi="Times New Roman" w:eastAsia="Times New Roman" w:cs="Times New Roman"/>
          <w:b w:val="0"/>
          <w:i/>
          <w:sz w:val="24"/>
        </w:rPr>
        <w:t>isolated</w:t>
      </w:r>
      <w:r>
        <w:rPr>
          <w:rFonts w:ascii="Times New Roman" w:hAnsi="Times New Roman" w:eastAsia="Times New Roman" w:cs="Times New Roman"/>
          <w:b w:val="0"/>
          <w:sz w:val="24"/>
        </w:rPr>
        <w:t xml:space="preserve"> estimator, not to the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eastAsia="Times New Roman" w:cs="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eastAsia="Times New Roman" w:cs="Times New Roman"/>
          <w:b w:val="0"/>
          <w:i/>
          <w:sz w:val="24"/>
        </w:rPr>
        <w:t>direction</w:t>
      </w:r>
      <w:r>
        <w:rPr>
          <w:rFonts w:ascii="Times New Roman" w:hAnsi="Times New Roman" w:eastAsia="Times New Roman" w:cs="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spacing w:before="200" w:after="80"/>
        <w:jc w:val="left"/>
      </w:pPr>
      <w:r>
        <w:rPr>
          <w:rFonts w:ascii="Times New Roman" w:hAnsi="Times New Roman" w:eastAsia="Times New Roman" w:cs="Times New Roman"/>
          <w:b/>
          <w:sz w:val="26"/>
        </w:rPr>
        <w:t>2. Methods</w:t>
      </w:r>
    </w:p>
    <w:p>
      <w:pPr>
        <w:ind w:firstLine="480"/>
        <w:jc w:val="both"/>
      </w:pPr>
      <w:r>
        <w:rPr>
          <w:rFonts w:ascii="Times New Roman" w:hAnsi="Times New Roman" w:eastAsia="Times New Roman" w:cs="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eastAsia="Times New Roman" w:cs="Times New Roman"/>
          <w:b w:val="0"/>
          <w:sz w:val="24"/>
        </w:rPr>
        <w:t xml:space="preserve">which omits 2α̂β̂·Cov(α̂, β̂). This omitted term is non-zero in two structurally different situations: (i) a </w:t>
      </w:r>
      <w:r>
        <w:rPr>
          <w:rFonts w:ascii="Times New Roman" w:hAnsi="Times New Roman" w:eastAsia="Times New Roman" w:cs="Times New Roman"/>
          <w:b/>
          <w:sz w:val="24"/>
        </w:rPr>
        <w:t>shared-instrument channel</w:t>
      </w:r>
      <w:r>
        <w:rPr>
          <w:rFonts w:ascii="Times New Roman" w:hAnsi="Times New Roman" w:eastAsia="Times New Roman" w:cs="Times New Roman"/>
          <w:b w:val="0"/>
          <w:sz w:val="24"/>
        </w:rPr>
        <w:t xml:space="preserve">, in which the step-1 and step-2 instrument sets have a non-empty intersection, n_s = |G′_X ∩ G′_M| &gt; 0; and (ii) a </w:t>
      </w:r>
      <w:r>
        <w:rPr>
          <w:rFonts w:ascii="Times New Roman" w:hAnsi="Times New Roman" w:eastAsia="Times New Roman" w:cs="Times New Roman"/>
          <w:b/>
          <w:sz w:val="24"/>
        </w:rPr>
        <w:t>sample-overlap channel</w:t>
      </w:r>
      <w:r>
        <w:rPr>
          <w:rFonts w:ascii="Times New Roman" w:hAnsi="Times New Roman" w:eastAsia="Times New Roman" w:cs="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eastAsia="Times New Roman" w:cs="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eastAsia="Times New Roman" w:cs="Times New Roman"/>
          <w:b w:val="0"/>
          <w:sz w:val="24"/>
        </w:rPr>
        <w:t>Because the correction rests on a first-order delta approximation, we also derive a single conservative relative-error bound</w:t>
      </w:r>
    </w:p>
    <w:p>
      <w:pPr>
        <w:spacing w:before="120" w:after="120"/>
        <w:jc w:val="center"/>
      </w:pPr>
      <w:r>
        <w:rPr>
          <w:rFonts w:ascii="Times New Roman" w:hAnsi="Times New Roman" w:eastAsia="Times New Roman" w:cs="Times New Roman"/>
        </w:rP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eastAsia="Times New Roman" w:cs="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eastAsia="Times New Roman" w:cs="Times New Roman"/>
          <w:b/>
          <w:sz w:val="24"/>
        </w:rPr>
        <w:t>Validation.</w:t>
      </w:r>
      <w:r>
        <w:rPr>
          <w:rFonts w:ascii="Times New Roman" w:hAnsi="Times New Roman" w:eastAsia="Times New Roman" w:cs="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eastAsia="Times New Roman" w:cs="Times New Roman"/>
          <w:b/>
          <w:sz w:val="24"/>
        </w:rPr>
        <w:t>Literature coding.</w:t>
      </w:r>
      <w:r>
        <w:rPr>
          <w:rFonts w:ascii="Times New Roman" w:hAnsi="Times New Roman" w:eastAsia="Times New Roman" w:cs="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eastAsia="Times New Roman" w:cs="Times New Roman"/>
          <w:b/>
          <w:sz w:val="24"/>
        </w:rPr>
        <w:t>Real-data application.</w:t>
      </w:r>
      <w:r>
        <w:rPr>
          <w:rFonts w:ascii="Times New Roman" w:hAnsi="Times New Roman" w:eastAsia="Times New Roman" w:cs="Times New Roman"/>
          <w:b w:val="0"/>
          <w:sz w:val="24"/>
        </w:rPr>
        <w:t xml:space="preserve"> Summary statistics came from IEU OpenGWAS </w:t>
      </w:r>
      <w:r>
        <w:rPr>
          <w:rFonts w:ascii="Times New Roman" w:hAnsi="Times New Roman" w:eastAsia="Times New Roman" w:cs="Times New Roman"/>
          <w:b w:val="0"/>
          <w:sz w:val="24"/>
          <w:vertAlign w:val="superscript"/>
        </w:rPr>
        <w:t>16</w:t>
      </w:r>
      <w:r>
        <w:rPr>
          <w:rFonts w:ascii="Times New Roman" w:hAnsi="Times New Roman" w:eastAsia="Times New Roman" w:cs="Times New Roman"/>
          <w:b w:val="0"/>
          <w:sz w:val="24"/>
        </w:rPr>
        <w:t xml:space="preserve">. Per-study re-estimation used inverse-variance weighting via the TwoSampleMR package (mr_ivw) with clumped instruments </w:t>
      </w:r>
      <w:r>
        <w:rPr>
          <w:rFonts w:ascii="Times New Roman" w:hAnsi="Times New Roman" w:eastAsia="Times New Roman" w:cs="Times New Roman"/>
          <w:b w:val="0"/>
          <w:sz w:val="24"/>
          <w:vertAlign w:val="superscript"/>
        </w:rPr>
        <w:t>17</w:t>
      </w:r>
      <w:r>
        <w:rPr>
          <w:rFonts w:ascii="Times New Roman" w:hAnsi="Times New Roman" w:eastAsia="Times New Roman" w:cs="Times New Roman"/>
          <w:b w:val="0"/>
          <w:sz w:val="24"/>
        </w:rPr>
        <w:t xml:space="preserve">. Weak-instrument robustness was enforced at the F &gt; 10 threshold </w:t>
      </w:r>
      <w:r>
        <w:rPr>
          <w:rFonts w:ascii="Times New Roman" w:hAnsi="Times New Roman" w:eastAsia="Times New Roman" w:cs="Times New Roman"/>
          <w:b w:val="0"/>
          <w:sz w:val="24"/>
          <w:vertAlign w:val="superscript"/>
        </w:rPr>
        <w:t>18</w:t>
      </w:r>
      <w:r>
        <w:rPr>
          <w:rFonts w:ascii="Times New Roman" w:hAnsi="Times New Roman" w:eastAsia="Times New Roman" w:cs="Times New Roman"/>
          <w:b w:val="0"/>
          <w:sz w:val="24"/>
        </w:rPr>
        <w:t xml:space="preserve">. Multivariable extensions follow the weak- and pleiotropy-robust testing framework of Sanderson et al. </w:t>
      </w:r>
      <w:r>
        <w:rPr>
          <w:rFonts w:ascii="Times New Roman" w:hAnsi="Times New Roman" w:eastAsia="Times New Roman" w:cs="Times New Roman"/>
          <w:b w:val="0"/>
          <w:sz w:val="24"/>
          <w:vertAlign w:val="superscript"/>
        </w:rPr>
        <w:t>19</w:t>
      </w:r>
      <w:r>
        <w:rPr>
          <w:rFonts w:ascii="Times New Roman" w:hAnsi="Times New Roman" w:eastAsia="Times New Roman" w:cs="Times New Roman"/>
          <w:b w:val="0"/>
          <w:sz w:val="24"/>
        </w:rPr>
        <w:t xml:space="preserve">. LD Score regression separates polygenicity from confounding </w:t>
      </w:r>
      <w:r>
        <w:rPr>
          <w:rFonts w:ascii="Times New Roman" w:hAnsi="Times New Roman" w:eastAsia="Times New Roman" w:cs="Times New Roman"/>
          <w:b w:val="0"/>
          <w:sz w:val="24"/>
          <w:vertAlign w:val="superscript"/>
        </w:rPr>
        <w:t>20</w:t>
      </w:r>
      <w:r>
        <w:rPr>
          <w:rFonts w:ascii="Times New Roman" w:hAnsi="Times New Roman" w:eastAsia="Times New Roman" w:cs="Times New Roman"/>
          <w:b w:val="0"/>
          <w:sz w:val="24"/>
        </w:rPr>
        <w:t xml:space="preserve">. Our target estimand follows the causal-estimand framework of Yao et al. </w:t>
      </w:r>
      <w:r>
        <w:rPr>
          <w:rFonts w:ascii="Times New Roman" w:hAnsi="Times New Roman" w:eastAsia="Times New Roman" w:cs="Times New Roman"/>
          <w:b w:val="0"/>
          <w:sz w:val="24"/>
          <w:vertAlign w:val="superscript"/>
        </w:rPr>
        <w:t>21</w:t>
      </w:r>
      <w:r>
        <w:rPr>
          <w:rFonts w:ascii="Times New Roman" w:hAnsi="Times New Roman" w:eastAsia="Times New Roman" w:cs="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eastAsia="Times New Roman" w:cs="Times New Roman"/>
          <w:b/>
          <w:sz w:val="26"/>
        </w:rPr>
        <w:t>3. Results</w:t>
      </w:r>
    </w:p>
    <w:p>
      <w:pPr>
        <w:spacing w:before="200" w:after="80"/>
        <w:jc w:val="left"/>
      </w:pPr>
      <w:r>
        <w:rPr>
          <w:rFonts w:ascii="Times New Roman" w:hAnsi="Times New Roman" w:eastAsia="Times New Roman" w:cs="Times New Roman"/>
          <w:b/>
          <w:sz w:val="24"/>
        </w:rPr>
        <w:t>3.1 Simulation: coverage and bias under overlap</w:t>
      </w:r>
    </w:p>
    <w:p>
      <w:pPr>
        <w:ind w:firstLine="480"/>
        <w:jc w:val="both"/>
      </w:pPr>
      <w:r>
        <w:rPr>
          <w:rFonts w:ascii="Times New Roman" w:hAnsi="Times New Roman" w:eastAsia="Times New Roman" w:cs="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eastAsia="Times New Roman" w:cs="Times New Roman"/>
          <w:b/>
          <w:sz w:val="23"/>
        </w:rPr>
        <w:t>3.1.1 When does the correction change significance? A flip-probability scan</w:t>
      </w:r>
    </w:p>
    <w:p>
      <w:pPr>
        <w:ind w:firstLine="480"/>
        <w:jc w:val="both"/>
      </w:pPr>
      <w:r>
        <w:rPr>
          <w:rFonts w:ascii="Times New Roman" w:hAnsi="Times New Roman" w:eastAsia="Times New Roman" w:cs="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eastAsia="Times New Roman" w:cs="Times New Roman"/>
          <w:b w:val="0"/>
          <w:i/>
          <w:sz w:val="24"/>
        </w:rPr>
        <w:t>gain</w:t>
      </w:r>
      <w:r>
        <w:rPr>
          <w:rFonts w:ascii="Times New Roman" w:hAnsi="Times New Roman" w:eastAsia="Times New Roman" w:cs="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eastAsia="Times New Roman" w:cs="Times New Roman"/>
          <w:b w:val="0"/>
          <w:i/>
          <w:sz w:val="24"/>
        </w:rPr>
        <w:t>lose</w:t>
      </w:r>
      <w:r>
        <w:rPr>
          <w:rFonts w:ascii="Times New Roman" w:hAnsi="Times New Roman" w:eastAsia="Times New Roman" w:cs="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eastAsia="Times New Roman" w:cs="Times New Roman"/>
          <w:b/>
          <w:sz w:val="24"/>
        </w:rPr>
        <w:t>3.2 Empirical prevalence of overlap-prone designs</w:t>
      </w:r>
    </w:p>
    <w:p>
      <w:pPr>
        <w:ind w:firstLine="480"/>
        <w:jc w:val="both"/>
      </w:pPr>
      <w:r>
        <w:rPr>
          <w:rFonts w:ascii="Times New Roman" w:hAnsi="Times New Roman" w:eastAsia="Times New Roman" w:cs="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eastAsia="Times New Roman" w:cs="Times New Roman"/>
          <w:b/>
          <w:sz w:val="24"/>
        </w:rPr>
        <w:t>no study is correctly labeled as a merged-pool design in 695 coded studies</w:t>
      </w:r>
      <w:r>
        <w:rPr>
          <w:rFonts w:ascii="Times New Roman" w:hAnsi="Times New Roman" w:eastAsia="Times New Roman" w:cs="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whether its correction widens.</w:t>
      </w:r>
    </w:p>
    <w:p>
      <w:pPr>
        <w:ind w:firstLine="480"/>
        <w:jc w:val="both"/>
      </w:pPr>
      <w:r>
        <w:rPr>
          <w:rFonts w:ascii="Times New Roman" w:hAnsi="Times New Roman" w:eastAsia="Times New Roman" w:cs="Times New Roman"/>
          <w:b/>
          <w:sz w:val="24"/>
        </w:rPr>
        <w:t>Reproducibility.</w:t>
      </w:r>
      <w:r>
        <w:rPr>
          <w:rFonts w:ascii="Times New Roman" w:hAnsi="Times New Roman" w:eastAsia="Times New Roman" w:cs="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eastAsia="Times New Roman" w:cs="Times New Roman"/>
          <w:b/>
          <w:sz w:val="24"/>
        </w:rPr>
        <w:t>Which coded fields are load-bearing.</w:t>
      </w:r>
      <w:r>
        <w:rPr>
          <w:rFonts w:ascii="Times New Roman" w:hAnsi="Times New Roman" w:eastAsia="Times New Roman" w:cs="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eastAsia="Times New Roman" w:cs="Times New Roman"/>
          <w:b w:val="0"/>
          <w:i/>
          <w:sz w:val="24"/>
        </w:rPr>
        <w:t>absence</w:t>
      </w:r>
      <w:r>
        <w:rPr>
          <w:rFonts w:ascii="Times New Roman" w:hAnsi="Times New Roman" w:eastAsia="Times New Roman" w:cs="Times New Roman"/>
          <w:b w:val="0"/>
          <w:sz w:val="24"/>
        </w:rPr>
        <w:t xml:space="preserve"> of any statement about overlap handling. Two features make this attribution favourable. First, judging that a study does </w:t>
      </w:r>
      <w:r>
        <w:rPr>
          <w:rFonts w:ascii="Times New Roman" w:hAnsi="Times New Roman" w:eastAsia="Times New Roman" w:cs="Times New Roman"/>
          <w:b w:val="0"/>
          <w:i/>
          <w:sz w:val="24"/>
        </w:rPr>
        <w:t>not</w:t>
      </w:r>
      <w:r>
        <w:rPr>
          <w:rFonts w:ascii="Times New Roman" w:hAnsi="Times New Roman" w:eastAsia="Times New Roman" w:cs="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eastAsia="Times New Roman" w:cs="Times New Roman"/>
          <w:b w:val="0"/>
          <w:i/>
          <w:sz w:val="24"/>
        </w:rPr>
        <w:t>lowers</w:t>
      </w:r>
      <w:r>
        <w:rPr>
          <w:rFonts w:ascii="Times New Roman" w:hAnsi="Times New Roman" w:eastAsia="Times New Roman" w:cs="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eastAsia="Times New Roman" w:cs="Times New Roman"/>
          <w:b/>
          <w:sz w:val="24"/>
        </w:rPr>
        <w:t>3.3 Real-data illustration: BMI → waist → CHD</w:t>
      </w:r>
    </w:p>
    <w:p>
      <w:pPr>
        <w:ind w:firstLine="480"/>
        <w:jc w:val="both"/>
      </w:pPr>
      <w:r>
        <w:rPr>
          <w:rFonts w:ascii="Times New Roman" w:hAnsi="Times New Roman" w:eastAsia="Times New Roman" w:cs="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design</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ρ_MY</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−2.8</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−2.3</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−15.5</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−15.9</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0.0486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−13.7</w:t>
            </w:r>
          </w:p>
        </w:tc>
      </w:tr>
    </w:tbl>
    <w:p>
      <w:pPr>
        <w:jc w:val="both"/>
      </w:pPr>
      <w:r>
        <w:rPr>
          <w:rFonts w:ascii="Times New Roman" w:hAnsi="Times New Roman" w:eastAsia="Times New Roman" w:cs="Times New Roman"/>
          <w:b/>
          <w:i/>
          <w:sz w:val="20"/>
        </w:rPr>
        <w:t>Table 1.</w:t>
      </w:r>
      <w:r>
        <w:rPr>
          <w:rFonts w:ascii="Times New Roman" w:hAnsi="Times New Roman" w:eastAsia="Times New Roman" w:cs="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eastAsia="Times New Roman" w:cs="Times New Roman"/>
          <w:b/>
          <w:sz w:val="24"/>
        </w:rPr>
        <w:t>3.4 Empirical batch re-estimation</w:t>
      </w:r>
    </w:p>
    <w:p>
      <w:pPr>
        <w:ind w:firstLine="480"/>
        <w:jc w:val="both"/>
      </w:pPr>
      <w:r>
        <w:rPr>
          <w:rFonts w:ascii="Times New Roman" w:hAnsi="Times New Roman" w:eastAsia="Times New Roman" w:cs="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eastAsia="Times New Roman" w:cs="Times New Roman"/>
          <w:b/>
          <w:sz w:val="24"/>
        </w:rPr>
        <w:t>Seven (6.5% [95% CI 3.2–12.8%]) of the 108 showed genuine instrument overlap (n_s = 1–3, π_shared = 0.019–1.0).</w:t>
      </w:r>
      <w:r>
        <w:rPr>
          <w:rFonts w:ascii="Times New Roman" w:hAnsi="Times New Roman" w:eastAsia="Times New Roman" w:cs="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eastAsia="Times New Roman" w:cs="Times New Roman"/>
          <w:b w:val="0"/>
          <w:i/>
          <w:sz w:val="24"/>
        </w:rPr>
        <w:t>same</w:t>
      </w:r>
      <w:r>
        <w:rPr>
          <w:rFonts w:ascii="Times New Roman" w:hAnsi="Times New Roman" w:eastAsia="Times New Roman" w:cs="Times New Roman"/>
          <w:b w:val="0"/>
          <w:sz w:val="24"/>
        </w:rPr>
        <w:t xml:space="preserve"> GWAS accession, giving α̂ = 1.0 exactly and π_shared = 1.0 — a self-mediating (non-mediation) design rather than a substantive pathway. Among the remaining </w:t>
      </w:r>
      <w:r>
        <w:rPr>
          <w:rFonts w:ascii="Times New Roman" w:hAnsi="Times New Roman" w:eastAsia="Times New Roman" w:cs="Times New Roman"/>
          <w:b/>
          <w:sz w:val="24"/>
        </w:rPr>
        <w:t>five non-degenerate overlapping trios, zero changed significance (0/5 flips)</w:t>
      </w:r>
      <w:r>
        <w:rPr>
          <w:rFonts w:ascii="Times New Roman" w:hAnsi="Times New Roman" w:eastAsia="Times New Roman" w:cs="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Table 2 reports the per-trio re-estimation, and Supplementary Table S3 tabulates the complete Phase-B batch.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n_X</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n_M</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(SE_α)</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(SE_β)</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widen_%</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Naive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Corr.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209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0.0556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0.00378 (0.00096)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0.12832 (0.00494)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4.9e-04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0.04031 (0.01441)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0.00178 (0.00106)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0.1111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40.09082 (2.69133)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0.17607 (0.03778)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7.05891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1.58715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1.58342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440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0.1538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 (0.00081)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3.12071 (0.95001)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0.02248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0.00730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0.0566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−0.01081 (0.01407)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−0.169 (0.05426)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0.00183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S320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genes (eQTL/pQTL) → circulating metabolites → sepsis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(0.12449)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 (1.79212)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1.84142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1.72112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gain*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S293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BMI → 4907 plasma proteins → cardiometabolic</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(0.10665)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 (0.00148)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0.00154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−32.8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2.</w:t>
      </w:r>
      <w:r>
        <w:rPr>
          <w:rFonts w:ascii="Times New Roman" w:hAnsi="Times New Roman" w:eastAsia="Times New Roman" w:cs="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eastAsia="Times New Roman" w:cs="Times New Roman"/>
          <w:b w:val="0"/>
          <w:i/>
          <w:sz w:val="24"/>
        </w:rPr>
        <w:t>Note (full):</w:t>
      </w:r>
      <w:r>
        <w:rPr>
          <w:rFonts w:ascii="Times New Roman" w:hAnsi="Times New Roman" w:eastAsia="Times New Roman" w:cs="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eastAsia="Times New Roman" w:cs="Times New Roman"/>
          <w:b/>
          <w:sz w:val="24"/>
        </w:rPr>
        <w:t>3.4.1 Horizontal pleiotropy sensitivity</w:t>
      </w:r>
    </w:p>
    <w:p>
      <w:pPr>
        <w:ind w:firstLine="480"/>
        <w:jc w:val="both"/>
      </w:pPr>
      <w:r>
        <w:rPr>
          <w:rFonts w:ascii="Times New Roman" w:hAnsi="Times New Roman" w:eastAsia="Times New Roman" w:cs="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 for the point estimates the correction conditions on (Table 3).</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Step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n_IV</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Egger β₀</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WM slope</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Sign agrees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203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0.2856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0.0524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−0.0143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0.93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60.8063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2.7e-4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0.3345</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4.2e-3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−0.0258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0.87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2.4023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−1.9002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−0.6870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bl>
    <w:p>
      <w:pPr>
        <w:jc w:val="both"/>
      </w:pPr>
      <w:r>
        <w:rPr>
          <w:rFonts w:ascii="Times New Roman" w:hAnsi="Times New Roman" w:eastAsia="Times New Roman" w:cs="Times New Roman"/>
          <w:b/>
          <w:i/>
          <w:sz w:val="20"/>
        </w:rPr>
        <w:t>Table 3.</w:t>
      </w:r>
      <w:r>
        <w:rPr>
          <w:rFonts w:ascii="Times New Roman" w:hAnsi="Times New Roman" w:eastAsia="Times New Roman" w:cs="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eastAsia="Times New Roman" w:cs="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eastAsia="Times New Roman" w:cs="Times New Roman"/>
          <w:b w:val="0"/>
          <w:i/>
          <w:sz w:val="24"/>
        </w:rPr>
        <w:t>variance</w:t>
      </w:r>
      <w:r>
        <w:rPr>
          <w:rFonts w:ascii="Times New Roman" w:hAnsi="Times New Roman" w:eastAsia="Times New Roman" w:cs="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eastAsia="Times New Roman" w:cs="Times New Roman"/>
          <w:b/>
          <w:sz w:val="24"/>
        </w:rPr>
        <w:t>3.5 Empirical ρ_MY in the overlapping trios</w:t>
      </w:r>
    </w:p>
    <w:p>
      <w:pPr>
        <w:ind w:firstLine="480"/>
        <w:jc w:val="both"/>
      </w:pPr>
      <w:r>
        <w:rPr>
          <w:rFonts w:ascii="Times New Roman" w:hAnsi="Times New Roman" w:eastAsia="Times New Roman" w:cs="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4; the all-Python batch in §3.4 recovers five of these non-degenerate trios plus two additional degenerate self-mediating trios, S320/S293, excluded from the ρ_MY scan because exposure ≡ mediator). In </w:t>
      </w:r>
      <w:r>
        <w:rPr>
          <w:rFonts w:ascii="Times New Roman" w:hAnsi="Times New Roman" w:eastAsia="Times New Roman" w:cs="Times New Roman"/>
          <w:b/>
          <w:sz w:val="24"/>
        </w:rPr>
        <w:t>five of six</w:t>
      </w:r>
      <w:r>
        <w:rPr>
          <w:rFonts w:ascii="Times New Roman" w:hAnsi="Times New Roman" w:eastAsia="Times New Roman" w:cs="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eastAsia="Times New Roman" w:cs="Times New Roman"/>
          <w:b/>
          <w:sz w:val="24"/>
        </w:rPr>
        <w:t>Despite uniformly positive (or high-overlap) ρ_MY, re-entering the empirical values narrowed every corrected CI by at most 0.4 percentage points with zero flips</w:t>
      </w:r>
      <w:r>
        <w:rPr>
          <w:rFonts w:ascii="Times New Roman" w:hAnsi="Times New Roman" w:eastAsia="Times New Roman" w:cs="Times New Roman"/>
          <w:b w:val="0"/>
          <w:sz w:val="24"/>
        </w:rPr>
        <w:t xml:space="preserve"> (Table 4);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4 leaves every conclusion unchanged. Supplementary Table S4 tabulates the empirical ρ_MY values with their Fisher-z confidence intervals.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ρ_g (primary)</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95% CI</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ρ_g (residualized)</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sample overlap</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 (ρ=0)</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 (ρ_g)</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 (ρ_g upper CI)</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 (pp)</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 (point)</w:t>
            </w:r>
          </w:p>
        </w:tc>
        <w:tc>
          <w:tcPr>
            <w:tcW w:type="dxa" w:w="665"/>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 (worst case)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+0.597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[0.50, 0.68]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+0.591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−9.0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−8.6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−8.6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+0.070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[−0.02, 0.16]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−0.015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S255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immune cells → serum metabolites → lymphoid leukemia</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+0.186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[0.06, 0.31]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+0.188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 (UKB–FinnGen)</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+0.218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[0.09, 0.34]</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+0.235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−5.9</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−5.8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−5.8</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+0.810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[0.37, 0.95]</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+0.616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high (UKB–UKB)</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665"/>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−0.102</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[−0.31, 0.11]</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−0.330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 (UKB–FinnGen)</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+0.0</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c>
          <w:tcPr>
            <w:tcW w:type="dxa" w:w="665"/>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4.</w:t>
      </w:r>
      <w:r>
        <w:rPr>
          <w:rFonts w:ascii="Times New Roman" w:hAnsi="Times New Roman" w:eastAsia="Times New Roman" w:cs="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eastAsia="Times New Roman" w:cs="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eastAsia="Times New Roman" w:cs="Times New Roman"/>
          <w:b/>
          <w:sz w:val="24"/>
        </w:rPr>
        <w:t>3.6 Statistical precision of the null re-estimation result</w:t>
      </w:r>
    </w:p>
    <w:p>
      <w:pPr>
        <w:ind w:firstLine="480"/>
        <w:jc w:val="both"/>
      </w:pPr>
      <w:r>
        <w:rPr>
          <w:rFonts w:ascii="Times New Roman" w:hAnsi="Times New Roman" w:eastAsia="Times New Roman" w:cs="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eastAsia="Times New Roman" w:cs="Times New Roman"/>
          <w:b/>
          <w:sz w:val="24"/>
        </w:rPr>
        <w:t>3.7 A realistic widening scenario on real effect estimates</w:t>
      </w:r>
    </w:p>
    <w:p>
      <w:pPr>
        <w:ind w:firstLine="480"/>
        <w:jc w:val="both"/>
      </w:pPr>
      <w:r>
        <w:rPr>
          <w:rFonts w:ascii="Times New Roman" w:hAnsi="Times New Roman" w:eastAsia="Times New Roman" w:cs="Times New Roman"/>
          <w:b w:val="0"/>
          <w:sz w:val="24"/>
        </w:rPr>
        <w:t xml:space="preserve">The benign direction of every resolvable overlapping trio (§3.5) is a property of the same-signed cases we happened to observe, not a law: Proposition S2.5 and the flip-probability scan (§3.1.1, Fig. S3) show that the correction widens whenever α̂ and β̂ carry opposite signs (α̂β̂ &lt; 0), because the shared-instrument covariance is then positive. To verify that this harmful regime is reachable with </w:t>
      </w:r>
      <w:r>
        <w:rPr>
          <w:rFonts w:ascii="Times New Roman" w:hAnsi="Times New Roman" w:eastAsia="Times New Roman" w:cs="Times New Roman"/>
          <w:b w:val="0"/>
          <w:i/>
          <w:sz w:val="24"/>
        </w:rPr>
        <w:t>real</w:t>
      </w:r>
      <w:r>
        <w:rPr>
          <w:rFonts w:ascii="Times New Roman" w:hAnsi="Times New Roman" w:eastAsia="Times New Roman" w:cs="Times New Roman"/>
          <w:b w:val="0"/>
          <w:sz w:val="24"/>
        </w:rPr>
        <w:t xml:space="preserve"> parameters rather than only in simulation, we took the 20 opposite-signed mediation trios we were able to resolve to public summary statistics and applied the closed-form correction under the merged-pool instrument configuration — n_s set to the full overlap min(p_X, p_M) — that the field uses without disclosure (§3.2; S110 is a real, mislabeled merged-pool example). Nineteen of twenty widen (maximum +38.3%), confirming Cov(α̂, β̂) &gt; 0 under opposite signs on genuine data. None flipped significance solely because opposite-signed mediation is typically non-significant in our sample; the substantive point is that an opposite-signed study sitting near the naive boundary (λ ≈ 1.7–2.4, §3.6) would have its uncertainty materially </w:t>
      </w:r>
      <w:r>
        <w:rPr>
          <w:rFonts w:ascii="Times New Roman" w:hAnsi="Times New Roman" w:eastAsia="Times New Roman" w:cs="Times New Roman"/>
          <w:b w:val="0"/>
          <w:i/>
          <w:sz w:val="24"/>
        </w:rPr>
        <w:t>understated</w:t>
      </w:r>
      <w:r>
        <w:rPr>
          <w:rFonts w:ascii="Times New Roman" w:hAnsi="Times New Roman" w:eastAsia="Times New Roman" w:cs="Times New Roman"/>
          <w:b w:val="0"/>
          <w:sz w:val="24"/>
        </w:rPr>
        <w:t xml:space="preserve"> by the naive delta method. Table 5 lists the six largest real-parameter widenings.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widen%</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λ_naive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Flip</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S366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plasma metabolites → immune cells → MI</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−0.0187 (0.0080)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(0.0006)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+38.3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blood metabolites → risk factors → glaucoma/AMD</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−0.0307 (0.0461)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+0.0021 (0.0019)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0.57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S247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urticaria → inflammatory cytokines → mental disorders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(0.0011)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−0.2920 (0.2989)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+36.0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0.85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brain networks → inflammatory proteins → neuropathic pain</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+0.1025 (0.0787)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−0.2759 (0.3835)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+35.8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0.63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LADA → immune cells → breast cancer</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−0.0150 (0.0018)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+0.0529 (0.0200)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+12.8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S150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25(OH)D → total testosterone → osteoporosis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+0.0044 (0.0108)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−0.0024 (0.0009)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+13.2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0.40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5.</w:t>
      </w:r>
      <w:r>
        <w:rPr>
          <w:rFonts w:ascii="Times New Roman" w:hAnsi="Times New Roman" w:eastAsia="Times New Roman" w:cs="Times New Roman"/>
          <w:b w:val="0"/>
          <w:sz w:val="20"/>
        </w:rPr>
        <w:t xml:space="preserve"> Largest closed-form widenings on real opposite-signed mediation estimates under a counterfactual merged-pool overlap (n_s = min(p_X, p_M); ρ_MY = 0). α̂, β̂ and their SEs are the actually published point estimates; only the instrument-overlap configuration is counterfactual, because the field does not report n_s (§3.2). λ_naive = |α̂β̂| / SE_naive.</w:t>
      </w:r>
    </w:p>
    <w:p>
      <w:pPr>
        <w:ind w:firstLine="480"/>
        <w:jc w:val="both"/>
      </w:pPr>
      <w:r>
        <w:rPr>
          <w:rFonts w:ascii="Times New Roman" w:hAnsi="Times New Roman" w:eastAsia="Times New Roman" w:cs="Times New Roman"/>
          <w:b w:val="0"/>
          <w:sz w:val="24"/>
        </w:rPr>
        <w:t>† Counterfactual merged-pool overlap; the same studies' realized n_s is unknown because overlap is not reported. S348 is a genuinely significant mediation (λ_naive = 2.52) yet its CI is still widened by 12.8% under undisclosed overlap, and S366 sits exactly in the flip-prone band (λ = 1.90, §3.6). These real-parameter results convert the theoretical "opposite-sign widens" statement (Proposition S2.5, Fig. S3) from a simulation finding into a demonstrable property of published estimates, and show why the missing n_s / π_shared / ρ_MY reporting (§3.2) leaves a reader unable to tell whether any given opposite-signed result is benign or harmful.</w:t>
      </w:r>
    </w:p>
    <w:p>
      <w:pPr>
        <w:spacing w:before="200" w:after="80"/>
        <w:jc w:val="left"/>
      </w:pPr>
      <w:r>
        <w:rPr>
          <w:rFonts w:ascii="Times New Roman" w:hAnsi="Times New Roman" w:eastAsia="Times New Roman" w:cs="Times New Roman"/>
          <w:b/>
          <w:sz w:val="26"/>
        </w:rPr>
        <w:t>4. Discussion</w:t>
      </w:r>
    </w:p>
    <w:p>
      <w:pPr>
        <w:ind w:firstLine="480"/>
        <w:jc w:val="both"/>
      </w:pPr>
      <w:r>
        <w:rPr>
          <w:rFonts w:ascii="Times New Roman" w:hAnsi="Times New Roman" w:eastAsia="Times New Roman" w:cs="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 That the harmful widening regime is not merely theoretical is shown in §3.7: applying the correction to real opposite-signed mediation estimates under the undisclosed merged-pool design widens confidence intervals by up to 38%, so the missing n_s / π_shared / ρ_MY reporting can hide anti-conservative inference in published work.</w:t>
      </w:r>
    </w:p>
    <w:p>
      <w:pPr>
        <w:ind w:firstLine="480"/>
        <w:jc w:val="both"/>
      </w:pPr>
      <w:r>
        <w:rPr>
          <w:rFonts w:ascii="Times New Roman" w:hAnsi="Times New Roman" w:eastAsia="Times New Roman" w:cs="Times New Roman"/>
          <w:b w:val="0"/>
          <w:sz w:val="24"/>
        </w:rPr>
        <w:t xml:space="preserve">Our literature audit delivers an uncomfortable message. The design our correction matters most for — a deliberately merged or reused instrument pool — is </w:t>
      </w:r>
      <w:r>
        <w:rPr>
          <w:rFonts w:ascii="Times New Roman" w:hAnsi="Times New Roman" w:eastAsia="Times New Roman" w:cs="Times New Roman"/>
          <w:b/>
          <w:sz w:val="24"/>
        </w:rPr>
        <w:t>not represented by a single clean example in 695 coded studies</w:t>
      </w:r>
      <w:r>
        <w:rPr>
          <w:rFonts w:ascii="Times New Roman" w:hAnsi="Times New Roman" w:eastAsia="Times New Roman" w:cs="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eastAsia="Times New Roman" w:cs="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that sign cannot be anticipated at the design stage, and the opposite-sign regime widens rather than narrows (§3.1.1), analysts should correct as a matter of routine. §3.5 shows that even where ρ_MY is empirically positive the correction still narrows, because the structurally negative term dominates for n_s = 1–3.</w:t>
      </w:r>
    </w:p>
    <w:p>
      <w:pPr>
        <w:ind w:firstLine="480"/>
        <w:jc w:val="both"/>
      </w:pPr>
      <w:r>
        <w:rPr>
          <w:rFonts w:ascii="Times New Roman" w:hAnsi="Times New Roman" w:eastAsia="Times New Roman" w:cs="Times New Roman"/>
          <w:b/>
          <w:sz w:val="24"/>
        </w:rPr>
        <w:t>Positioning relative to concurrent overlap-correction methods.</w:t>
      </w:r>
      <w:r>
        <w:rPr>
          <w:rFonts w:ascii="Times New Roman" w:hAnsi="Times New Roman" w:eastAsia="Times New Roman" w:cs="Times New Roman"/>
          <w:b w:val="0"/>
          <w:sz w:val="24"/>
        </w:rPr>
        <w:t xml:space="preserve"> Two independent lines of work published as we wrote converge on the same broad problem — overlap-induced bias in MR — but operate at different levels, so they are complementary rather than competing. A 2025 </w:t>
      </w:r>
      <w:r>
        <w:rPr>
          <w:rFonts w:ascii="Times New Roman" w:hAnsi="Times New Roman" w:eastAsia="Times New Roman" w:cs="Times New Roman"/>
          <w:b w:val="0"/>
          <w:i/>
          <w:sz w:val="24"/>
        </w:rPr>
        <w:t>European Heart Journal</w:t>
      </w:r>
      <w:r>
        <w:rPr>
          <w:rFonts w:ascii="Times New Roman" w:hAnsi="Times New Roman" w:eastAsia="Times New Roman" w:cs="Times New Roman"/>
          <w:b w:val="0"/>
          <w:sz w:val="24"/>
        </w:rPr>
        <w:t xml:space="preserve"> correspondence is a critical appraisal that flags exposure–outcome sample overlap and meta-analysis weighting imbalance in a protein→myocardial-infarction MR and recommends LDSC or dataset replacement </w:t>
      </w:r>
      <w:r>
        <w:rPr>
          <w:rFonts w:ascii="Times New Roman" w:hAnsi="Times New Roman" w:eastAsia="Times New Roman" w:cs="Times New Roman"/>
          <w:b w:val="0"/>
          <w:sz w:val="24"/>
          <w:vertAlign w:val="superscript"/>
        </w:rPr>
        <w:t>22</w:t>
      </w:r>
      <w:r>
        <w:rPr>
          <w:rFonts w:ascii="Times New Roman" w:hAnsi="Times New Roman" w:eastAsia="Times New Roman" w:cs="Times New Roman"/>
          <w:b w:val="0"/>
          <w:sz w:val="24"/>
        </w:rPr>
        <w:t xml:space="preserve">. It proposes no quantitative correction for the mediation product estimand. MR Simulated Sample Splitting (MR-SimSS) corrects bias in a </w:t>
      </w:r>
      <w:r>
        <w:rPr>
          <w:rFonts w:ascii="Times New Roman" w:hAnsi="Times New Roman" w:eastAsia="Times New Roman" w:cs="Times New Roman"/>
          <w:b w:val="0"/>
          <w:i/>
          <w:sz w:val="24"/>
        </w:rPr>
        <w:t>single</w:t>
      </w:r>
      <w:r>
        <w:rPr>
          <w:rFonts w:ascii="Times New Roman" w:hAnsi="Times New Roman" w:eastAsia="Times New Roman" w:cs="Times New Roman"/>
          <w:b w:val="0"/>
          <w:sz w:val="24"/>
        </w:rPr>
        <w:t xml:space="preserve"> two-sample MR estimand — instrument selection (Winner's Curse), weak-instrument bias, and exposure–outcome sample overlap — by simulating statistically independent summary statistics </w:t>
      </w:r>
      <w:r>
        <w:rPr>
          <w:rFonts w:ascii="Times New Roman" w:hAnsi="Times New Roman" w:eastAsia="Times New Roman" w:cs="Times New Roman"/>
          <w:b w:val="0"/>
          <w:sz w:val="24"/>
          <w:vertAlign w:val="superscript"/>
        </w:rPr>
        <w:t>23</w:t>
      </w:r>
      <w:r>
        <w:rPr>
          <w:rFonts w:ascii="Times New Roman" w:hAnsi="Times New Roman" w:eastAsia="Times New Roman" w:cs="Times New Roman"/>
          <w:b w:val="0"/>
          <w:sz w:val="24"/>
        </w:rPr>
        <w:t xml:space="preserve">. It does not derive the covariance of a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estimand, so it leaves the two-step mediation term Cov(α̂, β̂) unaddressed. Critically, that single-estimand work documents instrument-selection and participant-overlap bias as a real, non-negligible feature of two-sample MR in practice; because the product estimand α̂β̂ inherits both channels and adds the shared-instrument covariance, that practical hazard carries over to — and is amplified within — two-step mediation, the exact regime our correction addresses. Table 6 contrasts the three.</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Feature</w:t>
            </w:r>
          </w:p>
        </w:tc>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This work</w:t>
            </w:r>
          </w:p>
        </w:tc>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Forde et al. 2026 (MR-SimSS)</w:t>
            </w:r>
          </w:p>
        </w:tc>
        <w:tc>
          <w:tcPr>
            <w:tcW w:type="dxa" w:w="21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Chen et al. 2025 (correspondence)</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Target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indirect effect α̂β̂ in two-step MR mediation (product of two IVW estimates)</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single causal effect in two-sample MR (exposure → outcome)</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not a method; flags overlap in a protein → MI MR</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Overlap / bias source addressed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shared instruments across the two steps (n_s) and M–Y sample overlap (ρ_MY); the covariance of a product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instrument selection (Winner's Curse), weak-instrument bias, exposure–outcome sample overlap; bias of a single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exposure–outcome sample overlap; meta-analysis weighting imbalance (no correction proposed)</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Individual-level data required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(summary statistics only)</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(simulated independent summary statistics)</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Closed-form covariance for the product estimand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yes — Cov(α̂, β̂) derived analytically, with a conservative bound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 single-estimand bias corrected by simulation</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 recommends LDSC / dataset replacement</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Mediation-relevant</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yes (two-step product-method)</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(single-pathway two-sample MR)</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 (single-pathway critique)</w:t>
            </w:r>
          </w:p>
        </w:tc>
      </w:tr>
      <w:tr>
        <w:tc>
          <w:tcPr>
            <w:tcW w:type="dxa" w:w="2160"/>
          </w:tcPr>
          <w:p>
            <w:r>
              <w:rPr>
                <w:rFonts w:ascii="Times New Roman" w:hAnsi="Times New Roman" w:eastAsia="Times New Roman" w:cs="Times New Roman"/>
              </w:rPr>
            </w:r>
            <w:r>
              <w:rPr>
                <w:rFonts w:ascii="Times New Roman" w:hAnsi="Times New Roman" w:eastAsia="Times New Roman" w:cs="Times New Roman"/>
                <w:sz w:val="19"/>
              </w:rPr>
              <w:t>Reproducible tool</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estimate_cov_prod_mr() (R) + wrappers</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mr.simss (R package)</w:t>
            </w:r>
          </w:p>
        </w:tc>
        <w:tc>
          <w:tcPr>
            <w:tcW w:type="dxa" w:w="2160"/>
          </w:tcPr>
          <w:p>
            <w:r>
              <w:rPr>
                <w:rFonts w:ascii="Times New Roman" w:hAnsi="Times New Roman" w:eastAsia="Times New Roman" w:cs="Times New Roman"/>
              </w:rPr>
            </w:r>
            <w:r>
              <w:rPr>
                <w:rFonts w:ascii="Times New Roman" w:hAnsi="Times New Roman" w:eastAsia="Times New Roman" w:cs="Times New Roman"/>
                <w:sz w:val="19"/>
              </w:rPr>
              <w:t>none</w:t>
            </w:r>
          </w:p>
        </w:tc>
      </w:tr>
    </w:tbl>
    <w:p>
      <w:pPr>
        <w:jc w:val="both"/>
      </w:pPr>
      <w:r>
        <w:rPr>
          <w:rFonts w:ascii="Times New Roman" w:hAnsi="Times New Roman" w:eastAsia="Times New Roman" w:cs="Times New Roman"/>
          <w:b/>
          <w:i/>
          <w:sz w:val="20"/>
        </w:rPr>
        <w:t>Table 6.</w:t>
      </w:r>
      <w:r>
        <w:rPr>
          <w:rFonts w:ascii="Times New Roman" w:hAnsi="Times New Roman" w:eastAsia="Times New Roman" w:cs="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eastAsia="Times New Roman" w:cs="Times New Roman"/>
          <w:b/>
          <w:sz w:val="24"/>
        </w:rPr>
        <w:t>Representative applications of two-step MR mediation.</w:t>
      </w:r>
      <w:r>
        <w:rPr>
          <w:rFonts w:ascii="Times New Roman" w:hAnsi="Times New Roman" w:eastAsia="Times New Roman" w:cs="Times New Roman"/>
          <w:b w:val="0"/>
          <w:sz w:val="24"/>
        </w:rPr>
        <w:t xml:space="preserve"> The method has proliferated rapidly across clinical domains, and a representative set illustrates its reach. METEOR was introduced for the detection of shared and specific exposures underlying multiple outcomes </w:t>
      </w:r>
      <w:r>
        <w:rPr>
          <w:rFonts w:ascii="Times New Roman" w:hAnsi="Times New Roman" w:eastAsia="Times New Roman" w:cs="Times New Roman"/>
          <w:b w:val="0"/>
          <w:sz w:val="24"/>
          <w:vertAlign w:val="superscript"/>
        </w:rPr>
        <w:t>24</w:t>
      </w:r>
      <w:r>
        <w:rPr>
          <w:rFonts w:ascii="Times New Roman" w:hAnsi="Times New Roman" w:eastAsia="Times New Roman" w:cs="Times New Roman"/>
          <w:b w:val="0"/>
          <w:sz w:val="24"/>
        </w:rPr>
        <w:t xml:space="preserve">. Cross-ancestry pleiotropic analysis of imaging-derived phenotypes has been used to stratify depression risk </w:t>
      </w:r>
      <w:r>
        <w:rPr>
          <w:rFonts w:ascii="Times New Roman" w:hAnsi="Times New Roman" w:eastAsia="Times New Roman" w:cs="Times New Roman"/>
          <w:b w:val="0"/>
          <w:sz w:val="24"/>
          <w:vertAlign w:val="superscript"/>
        </w:rPr>
        <w:t>25</w:t>
      </w:r>
      <w:r>
        <w:rPr>
          <w:rFonts w:ascii="Times New Roman" w:hAnsi="Times New Roman" w:eastAsia="Times New Roman" w:cs="Times New Roman"/>
          <w:b w:val="0"/>
          <w:sz w:val="24"/>
        </w:rPr>
        <w:t xml:space="preserve">. Metabolic improvement has been examined as the mediator linking GLP-1 receptor agonists to myocardial infarction </w:t>
      </w:r>
      <w:r>
        <w:rPr>
          <w:rFonts w:ascii="Times New Roman" w:hAnsi="Times New Roman" w:eastAsia="Times New Roman" w:cs="Times New Roman"/>
          <w:b w:val="0"/>
          <w:sz w:val="24"/>
          <w:vertAlign w:val="superscript"/>
        </w:rPr>
        <w:t>26</w:t>
      </w:r>
      <w:r>
        <w:rPr>
          <w:rFonts w:ascii="Times New Roman" w:hAnsi="Times New Roman" w:eastAsia="Times New Roman" w:cs="Times New Roman"/>
          <w:b w:val="0"/>
          <w:sz w:val="24"/>
        </w:rPr>
        <w:t xml:space="preserve">. Blood metabolites and immune-cell mediators have been related to graft-versus-host disease and relapse </w:t>
      </w:r>
      <w:r>
        <w:rPr>
          <w:rFonts w:ascii="Times New Roman" w:hAnsi="Times New Roman" w:eastAsia="Times New Roman" w:cs="Times New Roman"/>
          <w:b w:val="0"/>
          <w:sz w:val="24"/>
          <w:vertAlign w:val="superscript"/>
        </w:rPr>
        <w:t>27</w:t>
      </w:r>
      <w:r>
        <w:rPr>
          <w:rFonts w:ascii="Times New Roman" w:hAnsi="Times New Roman" w:eastAsia="Times New Roman" w:cs="Times New Roman"/>
          <w:b w:val="0"/>
          <w:sz w:val="24"/>
        </w:rPr>
        <w:t xml:space="preserve">. Circulating mediators have been proposed to link cardiometabolic disease to heart failure with preserved ejection fraction </w:t>
      </w:r>
      <w:r>
        <w:rPr>
          <w:rFonts w:ascii="Times New Roman" w:hAnsi="Times New Roman" w:eastAsia="Times New Roman" w:cs="Times New Roman"/>
          <w:b w:val="0"/>
          <w:sz w:val="24"/>
          <w:vertAlign w:val="superscript"/>
        </w:rPr>
        <w:t>28</w:t>
      </w:r>
      <w:r>
        <w:rPr>
          <w:rFonts w:ascii="Times New Roman" w:hAnsi="Times New Roman" w:eastAsia="Times New Roman" w:cs="Times New Roman"/>
          <w:b w:val="0"/>
          <w:sz w:val="24"/>
        </w:rPr>
        <w:t xml:space="preserve">. Body-fat distribution has been studied as a mediator of the diabetogenic action of lipid-modifying drugs </w:t>
      </w:r>
      <w:r>
        <w:rPr>
          <w:rFonts w:ascii="Times New Roman" w:hAnsi="Times New Roman" w:eastAsia="Times New Roman" w:cs="Times New Roman"/>
          <w:b w:val="0"/>
          <w:sz w:val="24"/>
          <w:vertAlign w:val="superscript"/>
        </w:rPr>
        <w:t>29</w:t>
      </w:r>
      <w:r>
        <w:rPr>
          <w:rFonts w:ascii="Times New Roman" w:hAnsi="Times New Roman" w:eastAsia="Times New Roman" w:cs="Times New Roman"/>
          <w:b w:val="0"/>
          <w:sz w:val="24"/>
        </w:rPr>
        <w:t xml:space="preserve">. Cyclic cytokines have been reported to mediate immune-cell effects on meningioma </w:t>
      </w:r>
      <w:r>
        <w:rPr>
          <w:rFonts w:ascii="Times New Roman" w:hAnsi="Times New Roman" w:eastAsia="Times New Roman" w:cs="Times New Roman"/>
          <w:b w:val="0"/>
          <w:sz w:val="24"/>
          <w:vertAlign w:val="superscript"/>
        </w:rPr>
        <w:t>30</w:t>
      </w:r>
      <w:r>
        <w:rPr>
          <w:rFonts w:ascii="Times New Roman" w:hAnsi="Times New Roman" w:eastAsia="Times New Roman" w:cs="Times New Roman"/>
          <w:b w:val="0"/>
          <w:sz w:val="24"/>
        </w:rPr>
        <w:t xml:space="preserve">. Air pollution has been examined as a risk factor for psychiatric disorders </w:t>
      </w:r>
      <w:r>
        <w:rPr>
          <w:rFonts w:ascii="Times New Roman" w:hAnsi="Times New Roman" w:eastAsia="Times New Roman" w:cs="Times New Roman"/>
          <w:b w:val="0"/>
          <w:sz w:val="24"/>
          <w:vertAlign w:val="superscript"/>
        </w:rPr>
        <w:t>31</w:t>
      </w:r>
      <w:r>
        <w:rPr>
          <w:rFonts w:ascii="Times New Roman" w:hAnsi="Times New Roman" w:eastAsia="Times New Roman" w:cs="Times New Roman"/>
          <w:b w:val="0"/>
          <w:sz w:val="24"/>
        </w:rPr>
        <w:t xml:space="preserve">. Mediators of the association between nut consumption and cardiovascular disease have been identified </w:t>
      </w:r>
      <w:r>
        <w:rPr>
          <w:rFonts w:ascii="Times New Roman" w:hAnsi="Times New Roman" w:eastAsia="Times New Roman" w:cs="Times New Roman"/>
          <w:b w:val="0"/>
          <w:sz w:val="24"/>
          <w:vertAlign w:val="superscript"/>
        </w:rPr>
        <w:t>32</w:t>
      </w:r>
      <w:r>
        <w:rPr>
          <w:rFonts w:ascii="Times New Roman" w:hAnsi="Times New Roman" w:eastAsia="Times New Roman" w:cs="Times New Roman"/>
          <w:b w:val="0"/>
          <w:sz w:val="24"/>
        </w:rPr>
        <w:t xml:space="preserve">. Immune-cell-mediated links between sphingomyelin and stroke have been examined </w:t>
      </w:r>
      <w:r>
        <w:rPr>
          <w:rFonts w:ascii="Times New Roman" w:hAnsi="Times New Roman" w:eastAsia="Times New Roman" w:cs="Times New Roman"/>
          <w:b w:val="0"/>
          <w:sz w:val="24"/>
          <w:vertAlign w:val="superscript"/>
        </w:rPr>
        <w:t>33</w:t>
      </w:r>
      <w:r>
        <w:rPr>
          <w:rFonts w:ascii="Times New Roman" w:hAnsi="Times New Roman" w:eastAsia="Times New Roman" w:cs="Times New Roman"/>
          <w:b w:val="0"/>
          <w:sz w:val="24"/>
        </w:rPr>
        <w:t xml:space="preserve">. Lipid-metabolism mediators of allergic diseases have been reported </w:t>
      </w:r>
      <w:r>
        <w:rPr>
          <w:rFonts w:ascii="Times New Roman" w:hAnsi="Times New Roman" w:eastAsia="Times New Roman" w:cs="Times New Roman"/>
          <w:b w:val="0"/>
          <w:sz w:val="24"/>
          <w:vertAlign w:val="superscript"/>
        </w:rPr>
        <w:t>34</w:t>
      </w:r>
      <w:r>
        <w:rPr>
          <w:rFonts w:ascii="Times New Roman" w:hAnsi="Times New Roman" w:eastAsia="Times New Roman" w:cs="Times New Roman"/>
          <w:b w:val="0"/>
          <w:sz w:val="24"/>
        </w:rPr>
        <w:t xml:space="preserve">. Peripheral immune-cell phenotypes have been related to Alzheimer's disease </w:t>
      </w:r>
      <w:r>
        <w:rPr>
          <w:rFonts w:ascii="Times New Roman" w:hAnsi="Times New Roman" w:eastAsia="Times New Roman" w:cs="Times New Roman"/>
          <w:b w:val="0"/>
          <w:sz w:val="24"/>
          <w:vertAlign w:val="superscript"/>
        </w:rPr>
        <w:t>35</w:t>
      </w:r>
      <w:r>
        <w:rPr>
          <w:rFonts w:ascii="Times New Roman" w:hAnsi="Times New Roman" w:eastAsia="Times New Roman" w:cs="Times New Roman"/>
          <w:b w:val="0"/>
          <w:sz w:val="24"/>
        </w:rPr>
        <w:t xml:space="preserve">. Mediators linking allergic diseases to bronchiectasis have been identified </w:t>
      </w:r>
      <w:r>
        <w:rPr>
          <w:rFonts w:ascii="Times New Roman" w:hAnsi="Times New Roman" w:eastAsia="Times New Roman" w:cs="Times New Roman"/>
          <w:b w:val="0"/>
          <w:sz w:val="24"/>
          <w:vertAlign w:val="superscript"/>
        </w:rPr>
        <w:t>36</w:t>
      </w:r>
      <w:r>
        <w:rPr>
          <w:rFonts w:ascii="Times New Roman" w:hAnsi="Times New Roman" w:eastAsia="Times New Roman" w:cs="Times New Roman"/>
          <w:b w:val="0"/>
          <w:sz w:val="24"/>
        </w:rPr>
        <w:t xml:space="preserve">. Molecular mediators underlying the obesity–breast-cancer relationship have been proposed </w:t>
      </w:r>
      <w:r>
        <w:rPr>
          <w:rFonts w:ascii="Times New Roman" w:hAnsi="Times New Roman" w:eastAsia="Times New Roman" w:cs="Times New Roman"/>
          <w:b w:val="0"/>
          <w:sz w:val="24"/>
          <w:vertAlign w:val="superscript"/>
        </w:rPr>
        <w:t>37</w:t>
      </w:r>
      <w:r>
        <w:rPr>
          <w:rFonts w:ascii="Times New Roman" w:hAnsi="Times New Roman" w:eastAsia="Times New Roman" w:cs="Times New Roman"/>
          <w:b w:val="0"/>
          <w:sz w:val="24"/>
        </w:rPr>
        <w:t xml:space="preserve">. Neuroticism has been examined as a protective factor for cardiomyopathy </w:t>
      </w:r>
      <w:r>
        <w:rPr>
          <w:rFonts w:ascii="Times New Roman" w:hAnsi="Times New Roman" w:eastAsia="Times New Roman" w:cs="Times New Roman"/>
          <w:b w:val="0"/>
          <w:sz w:val="24"/>
          <w:vertAlign w:val="superscript"/>
        </w:rPr>
        <w:t>38</w:t>
      </w:r>
      <w:r>
        <w:rPr>
          <w:rFonts w:ascii="Times New Roman" w:hAnsi="Times New Roman" w:eastAsia="Times New Roman" w:cs="Times New Roman"/>
          <w:b w:val="0"/>
          <w:sz w:val="24"/>
        </w:rPr>
        <w:t xml:space="preserve">. Maternal hyperglycaemia has been studied as a mediator of neonatal outcomes </w:t>
      </w:r>
      <w:r>
        <w:rPr>
          <w:rFonts w:ascii="Times New Roman" w:hAnsi="Times New Roman" w:eastAsia="Times New Roman" w:cs="Times New Roman"/>
          <w:b w:val="0"/>
          <w:sz w:val="24"/>
          <w:vertAlign w:val="superscript"/>
        </w:rPr>
        <w:t>39</w:t>
      </w:r>
      <w:r>
        <w:rPr>
          <w:rFonts w:ascii="Times New Roman" w:hAnsi="Times New Roman" w:eastAsia="Times New Roman" w:cs="Times New Roman"/>
          <w:b w:val="0"/>
          <w:sz w:val="24"/>
        </w:rPr>
        <w:t>. This enumeration illustrates both the breadth of the method's uptake and the near-universal silence on instrument provenance that motivates routine overlap reporting.</w:t>
      </w:r>
    </w:p>
    <w:p>
      <w:pPr>
        <w:ind w:firstLine="480"/>
        <w:jc w:val="both"/>
      </w:pPr>
      <w:r>
        <w:rPr>
          <w:rFonts w:ascii="Times New Roman" w:hAnsi="Times New Roman" w:eastAsia="Times New Roman" w:cs="Times New Roman"/>
          <w:b/>
          <w:sz w:val="24"/>
        </w:rPr>
        <w:t>Limitations.</w:t>
      </w:r>
      <w:r>
        <w:rPr>
          <w:rFonts w:ascii="Times New Roman" w:hAnsi="Times New Roman" w:eastAsia="Times New Roman" w:cs="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eastAsia="Times New Roman" w:cs="Times New Roman"/>
          <w:b w:val="0"/>
          <w:i/>
          <w:sz w:val="24"/>
        </w:rPr>
        <w:t>more</w:t>
      </w:r>
      <w:r>
        <w:rPr>
          <w:rFonts w:ascii="Times New Roman" w:hAnsi="Times New Roman" w:eastAsia="Times New Roman" w:cs="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eastAsia="Times New Roman" w:cs="Times New Roman"/>
          <w:b/>
          <w:sz w:val="24"/>
        </w:rPr>
        <w:t>Reporting implications.</w:t>
      </w:r>
      <w:r>
        <w:rPr>
          <w:rFonts w:ascii="Times New Roman" w:hAnsi="Times New Roman" w:eastAsia="Times New Roman" w:cs="Times New Roman"/>
          <w:b w:val="0"/>
          <w:sz w:val="24"/>
        </w:rPr>
        <w:t xml:space="preserve"> The STROBE-MR statement should be extended to require explicit disclosure of the step-1 and step-2 instrument sets and their intersection, since without n_s no reader can recover the omitted covariance </w:t>
      </w:r>
      <w:r>
        <w:rPr>
          <w:rFonts w:ascii="Times New Roman" w:hAnsi="Times New Roman" w:eastAsia="Times New Roman" w:cs="Times New Roman"/>
          <w:b w:val="0"/>
          <w:sz w:val="24"/>
          <w:vertAlign w:val="superscript"/>
        </w:rPr>
        <w:t>40</w:t>
      </w:r>
      <w:r>
        <w:rPr>
          <w:rFonts w:ascii="Times New Roman" w:hAnsi="Times New Roman" w:eastAsia="Times New Roman" w:cs="Times New Roman"/>
          <w:b w:val="0"/>
          <w:sz w:val="24"/>
        </w:rPr>
        <w:t xml:space="preserv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eastAsia="Times New Roman" w:cs="Times New Roman"/>
          <w:b w:val="0"/>
          <w:sz w:val="24"/>
          <w:vertAlign w:val="superscript"/>
        </w:rPr>
        <w:t>41</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sz w:val="24"/>
        </w:rPr>
        <w:t>Practical recommendations.</w:t>
      </w:r>
      <w:r>
        <w:rPr>
          <w:rFonts w:ascii="Times New Roman" w:hAnsi="Times New Roman" w:eastAsia="Times New Roman" w:cs="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eastAsia="Times New Roman" w:cs="Times New Roman"/>
          <w:b/>
          <w:sz w:val="26"/>
        </w:rPr>
        <w:t>5. Conclusion</w:t>
      </w:r>
    </w:p>
    <w:p>
      <w:pPr>
        <w:ind w:firstLine="480"/>
        <w:jc w:val="both"/>
      </w:pPr>
      <w:r>
        <w:rPr>
          <w:rFonts w:ascii="Times New Roman" w:hAnsi="Times New Roman" w:eastAsia="Times New Roman" w:cs="Times New Roman"/>
          <w:b w:val="0"/>
          <w:sz w:val="24"/>
        </w:rPr>
        <w:t>Omitting Cov(α̂, β̂) under overlapping instruments or samples yields biased inference in two-step MR mediation, and the closed-form correction closes a gap the published summary-data framework explicitly left open. Our audit shows the gap is real and pervasive, yet the design it targets is so rarely labelled that the field does not even track it. In the resolved, EUR-ancestry subset the realized same-sign trios happened to fall on the conservative side, but that observation rests on a small, non-representative sample (§3.6, Limitation 2b) and does not extend to the full corpus: the sign is not knowable in advance, and the opposite-sign or sample-overlap regime widens. Reporting n_s, π_shared and ρ_MY should therefore become standard for every two-step MR mediation, so that any published result can be placed in its correct regime without reanalysis.</w:t>
      </w:r>
    </w:p>
    <w:p>
      <w:pPr>
        <w:spacing w:before="200" w:after="80"/>
        <w:jc w:val="left"/>
      </w:pPr>
      <w:r>
        <w:rPr>
          <w:rFonts w:ascii="Times New Roman" w:hAnsi="Times New Roman" w:eastAsia="Times New Roman" w:cs="Times New Roman"/>
          <w:b/>
          <w:sz w:val="26"/>
        </w:rPr>
        <w:t>Data and code availability</w:t>
      </w:r>
    </w:p>
    <w:p>
      <w:pPr>
        <w:ind w:firstLine="480"/>
        <w:jc w:val="both"/>
      </w:pPr>
      <w:r>
        <w:rPr>
          <w:rFonts w:ascii="Times New Roman" w:hAnsi="Times New Roman" w:eastAsia="Times New Roman" w:cs="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eastAsia="Times New Roman" w:cs="Times New Roman"/>
          <w:b/>
          <w:sz w:val="26"/>
        </w:rPr>
        <w:t>Funding</w:t>
      </w:r>
    </w:p>
    <w:p>
      <w:pPr>
        <w:ind w:firstLine="480"/>
        <w:jc w:val="both"/>
      </w:pPr>
      <w:r>
        <w:rPr>
          <w:rFonts w:ascii="Times New Roman" w:hAnsi="Times New Roman" w:eastAsia="Times New Roman" w:cs="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eastAsia="Times New Roman" w:cs="Times New Roman"/>
          <w:b/>
          <w:sz w:val="26"/>
        </w:rPr>
        <w:t>Acknowledgements</w:t>
      </w:r>
    </w:p>
    <w:p>
      <w:pPr>
        <w:ind w:firstLine="480"/>
        <w:jc w:val="both"/>
      </w:pPr>
      <w:r>
        <w:rPr>
          <w:rFonts w:ascii="Times New Roman" w:hAnsi="Times New Roman" w:eastAsia="Times New Roman" w:cs="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eastAsia="Times New Roman" w:cs="Times New Roman"/>
          <w:b/>
          <w:sz w:val="26"/>
        </w:rPr>
        <w:t>Author contributions</w:t>
      </w:r>
    </w:p>
    <w:p>
      <w:pPr>
        <w:ind w:firstLine="480"/>
        <w:jc w:val="both"/>
      </w:pPr>
      <w:r>
        <w:rPr>
          <w:rFonts w:ascii="Times New Roman" w:hAnsi="Times New Roman" w:eastAsia="Times New Roman" w:cs="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eastAsia="Times New Roman" w:cs="Times New Roman"/>
          <w:b/>
          <w:sz w:val="26"/>
        </w:rPr>
        <w:t>Ethical approval</w:t>
      </w:r>
    </w:p>
    <w:p>
      <w:pPr>
        <w:ind w:firstLine="480"/>
        <w:jc w:val="both"/>
      </w:pPr>
      <w:r>
        <w:rPr>
          <w:rFonts w:ascii="Times New Roman" w:hAnsi="Times New Roman" w:eastAsia="Times New Roman" w:cs="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eastAsia="Times New Roman" w:cs="Times New Roman"/>
          <w:b/>
          <w:sz w:val="26"/>
        </w:rPr>
        <w:t>Competing interests</w:t>
      </w:r>
    </w:p>
    <w:p>
      <w:pPr>
        <w:ind w:firstLine="480"/>
        <w:jc w:val="both"/>
      </w:pPr>
      <w:r>
        <w:rPr>
          <w:rFonts w:ascii="Times New Roman" w:hAnsi="Times New Roman" w:eastAsia="Times New Roman" w:cs="Times New Roman"/>
          <w:b w:val="0"/>
          <w:sz w:val="24"/>
        </w:rPr>
        <w:t>The authors declare no competing interests.</w:t>
      </w:r>
    </w:p>
    <w:p>
      <w:pPr>
        <w:spacing w:before="200" w:after="80"/>
        <w:jc w:val="left"/>
      </w:pPr>
      <w:r>
        <w:rPr>
          <w:rFonts w:ascii="Times New Roman" w:hAnsi="Times New Roman" w:eastAsia="Times New Roman" w:cs="Times New Roman"/>
          <w:b/>
          <w:sz w:val="26"/>
        </w:rPr>
        <w:t>Artificial intelligence disclosure</w:t>
      </w:r>
    </w:p>
    <w:p>
      <w:pPr>
        <w:ind w:firstLine="480"/>
        <w:jc w:val="both"/>
      </w:pPr>
      <w:r>
        <w:rPr>
          <w:rFonts w:ascii="Times New Roman" w:hAnsi="Times New Roman" w:eastAsia="Times New Roman" w:cs="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eastAsia="Times New Roman" w:cs="Times New Roman"/>
          <w:b/>
          <w:sz w:val="26"/>
        </w:rPr>
        <w:t>References</w:t>
      </w:r>
    </w:p>
    <w:p>
      <w:pPr>
        <w:ind w:firstLine="400"/>
        <w:jc w:val="both"/>
      </w:pPr>
      <w:r>
        <w:rPr>
          <w:rFonts w:ascii="Times New Roman" w:hAnsi="Times New Roman" w:eastAsia="Times New Roman" w:cs="Times New Roman"/>
          <w:b w:val="0"/>
          <w:sz w:val="20"/>
        </w:rPr>
        <w:t>1. Lawlor DA, Harbord RM, Sterne JA, Timpson N, Davey Smith G. Mendelian randomization: using genes as instruments for making causal inferences in epidemiology. Stat Med. 2008;27(8):1133-63. doi:10.1002/sim.3034.</w:t>
      </w:r>
    </w:p>
    <w:p>
      <w:pPr>
        <w:ind w:firstLine="400"/>
        <w:jc w:val="both"/>
      </w:pPr>
      <w:r>
        <w:rPr>
          <w:rFonts w:ascii="Times New Roman" w:hAnsi="Times New Roman" w:eastAsia="Times New Roman" w:cs="Times New Roman"/>
          <w:b w:val="0"/>
          <w:sz w:val="20"/>
        </w:rPr>
        <w:t>2. Davey Smith G, Hemani G. Mendelian randomization: genetic anchors for causal inference in epidemiological studies. Hum Mol Genet. 2014;23(R1):R89-98. doi:10.1093/hmg/ddu328.</w:t>
      </w:r>
    </w:p>
    <w:p>
      <w:pPr>
        <w:ind w:firstLine="400"/>
        <w:jc w:val="both"/>
      </w:pPr>
      <w:r>
        <w:rPr>
          <w:rFonts w:ascii="Times New Roman" w:hAnsi="Times New Roman" w:eastAsia="Times New Roman" w:cs="Times New Roman"/>
          <w:b w:val="0"/>
          <w:sz w:val="20"/>
        </w:rPr>
        <w:t>3. Burgess S, Butterworth A, Thompson SG. Mendelian randomization analysis with multiple genetic variants using summarized data. Genet Epidemiol. 2013;37(7):658-65. doi:10.1002/gepi.21758.</w:t>
      </w:r>
    </w:p>
    <w:p>
      <w:pPr>
        <w:ind w:firstLine="400"/>
        <w:jc w:val="both"/>
      </w:pPr>
      <w:r>
        <w:rPr>
          <w:rFonts w:ascii="Times New Roman" w:hAnsi="Times New Roman" w:eastAsia="Times New Roman" w:cs="Times New Roman"/>
          <w:b w:val="0"/>
          <w:sz w:val="20"/>
        </w:rPr>
        <w:t>4. Pierce BL, Burgess S. Efficient design for Mendelian randomization studies: subsample and 2-sample instrumental variable estimators. Am J Epidemiol. 2013;178(7):1177-84. doi:10.1093/aje/kwt084.</w:t>
      </w:r>
    </w:p>
    <w:p>
      <w:pPr>
        <w:ind w:firstLine="400"/>
        <w:jc w:val="both"/>
      </w:pPr>
      <w:r>
        <w:rPr>
          <w:rFonts w:ascii="Times New Roman" w:hAnsi="Times New Roman" w:eastAsia="Times New Roman" w:cs="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firstLine="400"/>
        <w:jc w:val="both"/>
      </w:pPr>
      <w:r>
        <w:rPr>
          <w:rFonts w:ascii="Times New Roman" w:hAnsi="Times New Roman" w:eastAsia="Times New Roman" w:cs="Times New Roman"/>
          <w:b w:val="0"/>
          <w:sz w:val="20"/>
        </w:rPr>
        <w:t>6. Burgess S, Thompson SG, CRP CHD Genetics Collaboration. Avoiding bias from weak instruments in Mendelian randomization studies. Int J Epidemiol. 2011;40(3):755-64. doi:10.1093/ije/dyr036.</w:t>
      </w:r>
    </w:p>
    <w:p>
      <w:pPr>
        <w:ind w:firstLine="400"/>
        <w:jc w:val="both"/>
      </w:pPr>
      <w:r>
        <w:rPr>
          <w:rFonts w:ascii="Times New Roman" w:hAnsi="Times New Roman" w:eastAsia="Times New Roman" w:cs="Times New Roman"/>
          <w:b w:val="0"/>
          <w:sz w:val="20"/>
        </w:rPr>
        <w:t>7. Bowden J, Davey Smith G, Burgess S. Mendelian randomization with invalid instruments: effect estimation and bias detection through Egger regression. Int J Epidemiol. 2015;44(2):512-25. doi:10.1093/ije/dyv080.</w:t>
      </w:r>
    </w:p>
    <w:p>
      <w:pPr>
        <w:ind w:firstLine="400"/>
        <w:jc w:val="both"/>
      </w:pPr>
      <w:r>
        <w:rPr>
          <w:rFonts w:ascii="Times New Roman" w:hAnsi="Times New Roman" w:eastAsia="Times New Roman" w:cs="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firstLine="400"/>
        <w:jc w:val="both"/>
      </w:pPr>
      <w:r>
        <w:rPr>
          <w:rFonts w:ascii="Times New Roman" w:hAnsi="Times New Roman" w:eastAsia="Times New Roman" w:cs="Times New Roman"/>
          <w:b w:val="0"/>
          <w:sz w:val="20"/>
        </w:rPr>
        <w:t>9. Bowden J, Davey Smith G, Haycock PC, Burgess S. Consistent Estimation in Mendelian Randomization with Some Invalid Instruments Using a Weighted Median Estimator. Genet Epidemiol. 2016;40(4):304-14. doi:10.1002/gepi.21965.</w:t>
      </w:r>
    </w:p>
    <w:p>
      <w:pPr>
        <w:ind w:firstLine="400"/>
        <w:jc w:val="both"/>
      </w:pPr>
      <w:r>
        <w:rPr>
          <w:rFonts w:ascii="Times New Roman" w:hAnsi="Times New Roman" w:eastAsia="Times New Roman" w:cs="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firstLine="400"/>
        <w:jc w:val="both"/>
      </w:pPr>
      <w:r>
        <w:rPr>
          <w:rFonts w:ascii="Times New Roman" w:hAnsi="Times New Roman" w:eastAsia="Times New Roman" w:cs="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firstLine="400"/>
        <w:jc w:val="both"/>
      </w:pPr>
      <w:r>
        <w:rPr>
          <w:rFonts w:ascii="Times New Roman" w:hAnsi="Times New Roman" w:eastAsia="Times New Roman" w:cs="Times New Roman"/>
          <w:b w:val="0"/>
          <w:sz w:val="20"/>
        </w:rPr>
        <w:t>12. Burgess S, Davies NM, Thompson SG. Bias due to participant overlap in two-sample Mendelian randomization. Genet Epidemiol. 2016;40(7):597-608. doi:10.1002/gepi.21998.</w:t>
      </w:r>
    </w:p>
    <w:p>
      <w:pPr>
        <w:ind w:firstLine="400"/>
        <w:jc w:val="both"/>
      </w:pPr>
      <w:r>
        <w:rPr>
          <w:rFonts w:ascii="Times New Roman" w:hAnsi="Times New Roman" w:eastAsia="Times New Roman" w:cs="Times New Roman"/>
          <w:b w:val="0"/>
          <w:sz w:val="20"/>
        </w:rPr>
        <w:t>13. Sanderson E, Davey Smith G, Windmeijer F, Bowden J. An examination of multivariable Mendelian randomization in the single-sample and two-sample summary data settings. Int J Epidemiol. 2019;48(3):713-727. doi:10.1093/ije/dyy262.</w:t>
      </w:r>
    </w:p>
    <w:p>
      <w:pPr>
        <w:ind w:firstLine="400"/>
        <w:jc w:val="both"/>
      </w:pPr>
      <w:r>
        <w:rPr>
          <w:rFonts w:ascii="Times New Roman" w:hAnsi="Times New Roman" w:eastAsia="Times New Roman" w:cs="Times New Roman"/>
          <w:b w:val="0"/>
          <w:sz w:val="20"/>
        </w:rPr>
        <w:t>14. Davies NM, Holmes MV, Davey Smith G. Reading Mendelian randomisation studies: a guide, glossary, and checklist for clinicians. BMJ. 2018;362:k601. doi:10.1136/bmj.k601.</w:t>
      </w:r>
    </w:p>
    <w:p>
      <w:pPr>
        <w:ind w:firstLine="400"/>
        <w:jc w:val="both"/>
      </w:pPr>
      <w:r>
        <w:rPr>
          <w:rFonts w:ascii="Times New Roman" w:hAnsi="Times New Roman" w:eastAsia="Times New Roman" w:cs="Times New Roman"/>
          <w:b w:val="0"/>
          <w:sz w:val="20"/>
        </w:rPr>
        <w:t>15. Lin SC, Lin SH, Ge T, Chen CY, Lin YF. Causal Mediation Analysis: A Summary-Data Mendelian Randomization Approach. Stat Med. 2025;44(5):e10317. doi:10.1002/sim.10317.</w:t>
      </w:r>
    </w:p>
    <w:p>
      <w:pPr>
        <w:ind w:firstLine="400"/>
        <w:jc w:val="both"/>
      </w:pPr>
      <w:r>
        <w:rPr>
          <w:rFonts w:ascii="Times New Roman" w:hAnsi="Times New Roman" w:eastAsia="Times New Roman" w:cs="Times New Roman"/>
          <w:b w:val="0"/>
          <w:sz w:val="20"/>
        </w:rPr>
        <w:t>16. Hemani G, Zheng J, Elsworth B, Wade KH, Haberland V, Baird D, et al. The MR-Base platform supports systematic causal inference across the human phenome. Elife. 2018;7. doi:10.7554/eLife.34408.</w:t>
      </w:r>
    </w:p>
    <w:p>
      <w:pPr>
        <w:ind w:firstLine="400"/>
        <w:jc w:val="both"/>
      </w:pPr>
      <w:r>
        <w:rPr>
          <w:rFonts w:ascii="Times New Roman" w:hAnsi="Times New Roman" w:eastAsia="Times New Roman" w:cs="Times New Roman"/>
          <w:b w:val="0"/>
          <w:sz w:val="20"/>
        </w:rPr>
        <w:t>17. Yavorska OO, Burgess S. MendelianRandomization: an R package for performing Mendelian randomization analyses using summarized data. Int J Epidemiol. 2017;46(6):1734-1739. doi:10.1093/ije/dyx034.</w:t>
      </w:r>
    </w:p>
    <w:p>
      <w:pPr>
        <w:ind w:firstLine="400"/>
        <w:jc w:val="both"/>
      </w:pPr>
      <w:r>
        <w:rPr>
          <w:rFonts w:ascii="Times New Roman" w:hAnsi="Times New Roman" w:eastAsia="Times New Roman" w:cs="Times New Roman"/>
          <w:b w:val="0"/>
          <w:sz w:val="20"/>
        </w:rPr>
        <w:t>18. Sanderson E, Windmeijer F. A weak instrument F-test in linear IV models with multiple endogenous variables. J Econom. 2016;190(2):212-221. doi:10.1016/j.jeconom.2015.06.004.</w:t>
      </w:r>
    </w:p>
    <w:p>
      <w:pPr>
        <w:ind w:firstLine="400"/>
        <w:jc w:val="both"/>
      </w:pPr>
      <w:r>
        <w:rPr>
          <w:rFonts w:ascii="Times New Roman" w:hAnsi="Times New Roman" w:eastAsia="Times New Roman" w:cs="Times New Roman"/>
          <w:b w:val="0"/>
          <w:sz w:val="20"/>
        </w:rPr>
        <w:t>19. Sanderson E, Spiller W, Bowden J. Testing and correcting for weak and pleiotropic instruments in two-sample multivariable Mendelian randomization. Stat Med. 2021;40(25):5434-5452. doi:10.1002/sim.9133.</w:t>
      </w:r>
    </w:p>
    <w:p>
      <w:pPr>
        <w:ind w:firstLine="400"/>
        <w:jc w:val="both"/>
      </w:pPr>
      <w:r>
        <w:rPr>
          <w:rFonts w:ascii="Times New Roman" w:hAnsi="Times New Roman" w:eastAsia="Times New Roman" w:cs="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firstLine="400"/>
        <w:jc w:val="both"/>
      </w:pPr>
      <w:r>
        <w:rPr>
          <w:rFonts w:ascii="Times New Roman" w:hAnsi="Times New Roman" w:eastAsia="Times New Roman" w:cs="Times New Roman"/>
          <w:b w:val="0"/>
          <w:sz w:val="20"/>
        </w:rPr>
        <w:t>21. Yao M, Wang A, Li X, Liu Z. Mendelian Randomization Methods for Causal Inference: Estimands, Identification and Inference. Stat Med. 2026;45(1-2):e70394. doi:10.1002/sim.70394.</w:t>
      </w:r>
    </w:p>
    <w:p>
      <w:pPr>
        <w:ind w:firstLine="400"/>
        <w:jc w:val="both"/>
      </w:pPr>
      <w:r>
        <w:rPr>
          <w:rFonts w:ascii="Times New Roman" w:hAnsi="Times New Roman" w:eastAsia="Times New Roman" w:cs="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firstLine="400"/>
        <w:jc w:val="both"/>
      </w:pPr>
      <w:r>
        <w:rPr>
          <w:rFonts w:ascii="Times New Roman" w:hAnsi="Times New Roman" w:eastAsia="Times New Roman" w:cs="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firstLine="400"/>
        <w:jc w:val="both"/>
      </w:pPr>
      <w:r>
        <w:rPr>
          <w:rFonts w:ascii="Times New Roman" w:hAnsi="Times New Roman" w:eastAsia="Times New Roman" w:cs="Times New Roman"/>
          <w:b w:val="0"/>
          <w:sz w:val="20"/>
        </w:rPr>
        <w:t>24. Zhang L, Yan R, Gong W, Zhou X, Liu L, Yuan Z. METEOR: a data-adaptive Mendelian randomization method for powerful detection of shared and specific exposures underlying multiple outcomes. Brief Bioinform. 2026;27(4). doi:10.1093/bib/bbag364.</w:t>
      </w:r>
    </w:p>
    <w:p>
      <w:pPr>
        <w:ind w:firstLine="400"/>
        <w:jc w:val="both"/>
      </w:pPr>
      <w:r>
        <w:rPr>
          <w:rFonts w:ascii="Times New Roman" w:hAnsi="Times New Roman" w:eastAsia="Times New Roman" w:cs="Times New Roman"/>
          <w:b w:val="0"/>
          <w:sz w:val="20"/>
        </w:rPr>
        <w:t>25. Feng Y, Guo X, Huang P, Jia N, Hu S, Yang S. Cross-ancestry pleiotropic analysis of imaging-derived phenotypes enhances risk stratification of depression. Mol Psychiatry. 2026. doi:10.1038/s41380-026-03730-0.</w:t>
      </w:r>
    </w:p>
    <w:p>
      <w:pPr>
        <w:ind w:firstLine="400"/>
        <w:jc w:val="both"/>
      </w:pPr>
      <w:r>
        <w:rPr>
          <w:rFonts w:ascii="Times New Roman" w:hAnsi="Times New Roman" w:eastAsia="Times New Roman" w:cs="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w:t>
      </w:r>
    </w:p>
    <w:p>
      <w:pPr>
        <w:ind w:firstLine="400"/>
        <w:jc w:val="both"/>
      </w:pPr>
      <w:r>
        <w:rPr>
          <w:rFonts w:ascii="Times New Roman" w:hAnsi="Times New Roman" w:eastAsia="Times New Roman" w:cs="Times New Roman"/>
          <w:b w:val="0"/>
          <w:sz w:val="20"/>
        </w:rPr>
        <w:t>27. Yu X, Chen Y, Lei L, Li P, Lin D, Shen Y, et al. Mendelian randomization analysis of blood metabolites and immune cell mediators in relation to GVHD and relapse. BMC Med. 2025;23(1):201. doi:10.1186/s12916-025-04026-w.</w:t>
      </w:r>
    </w:p>
    <w:p>
      <w:pPr>
        <w:ind w:firstLine="400"/>
        <w:jc w:val="both"/>
      </w:pPr>
      <w:r>
        <w:rPr>
          <w:rFonts w:ascii="Times New Roman" w:hAnsi="Times New Roman" w:eastAsia="Times New Roman" w:cs="Times New Roman"/>
          <w:b w:val="0"/>
          <w:sz w:val="20"/>
        </w:rPr>
        <w:t>28. Lin M, Guo J, Tao H, Gu Z, Tang W, Zhou F, et al. Circulating mediators linking cardiometabolic diseases to HFpEF: a mediation Mendelian randomization analysis. Cardiovasc Diabetol. 2025;24(1):201. doi:10.1186/s12933-025-02738-0.</w:t>
      </w:r>
    </w:p>
    <w:p>
      <w:pPr>
        <w:ind w:firstLine="400"/>
        <w:jc w:val="both"/>
      </w:pPr>
      <w:r>
        <w:rPr>
          <w:rFonts w:ascii="Times New Roman" w:hAnsi="Times New Roman" w:eastAsia="Times New Roman" w:cs="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w:t>
      </w:r>
    </w:p>
    <w:p>
      <w:pPr>
        <w:ind w:firstLine="400"/>
        <w:jc w:val="both"/>
      </w:pPr>
      <w:r>
        <w:rPr>
          <w:rFonts w:ascii="Times New Roman" w:hAnsi="Times New Roman" w:eastAsia="Times New Roman" w:cs="Times New Roman"/>
          <w:b w:val="0"/>
          <w:sz w:val="20"/>
        </w:rPr>
        <w:t>30. Huang M, Liu Y, Chen C, Cheng Y, Dai W. Cyclic cytokines mediated the effect of immune cells on meningioma: a two-step, mediation mendelian randomization study. BMC Cancer. 2025;25(1):1633. doi:10.1186/s12885-025-14694-9.</w:t>
      </w:r>
    </w:p>
    <w:p>
      <w:pPr>
        <w:ind w:firstLine="400"/>
        <w:jc w:val="both"/>
      </w:pPr>
      <w:r>
        <w:rPr>
          <w:rFonts w:ascii="Times New Roman" w:hAnsi="Times New Roman" w:eastAsia="Times New Roman" w:cs="Times New Roman"/>
          <w:b w:val="0"/>
          <w:sz w:val="20"/>
        </w:rPr>
        <w:t>31. Zhou J, Lu Z, Xu K, Zhao G, Zhu Y, Yuan R, et al. Air pollution is the risk factor for psychiatric disorders: a two-step Mendelian randomization study. J Affect Disord. 2025;388:119475. doi:10.1016/j.jad.2025.119475.</w:t>
      </w:r>
    </w:p>
    <w:p>
      <w:pPr>
        <w:ind w:firstLine="400"/>
        <w:jc w:val="both"/>
      </w:pPr>
      <w:r>
        <w:rPr>
          <w:rFonts w:ascii="Times New Roman" w:hAnsi="Times New Roman" w:eastAsia="Times New Roman" w:cs="Times New Roman"/>
          <w:b w:val="0"/>
          <w:sz w:val="20"/>
        </w:rPr>
        <w:t>32. Wang R, Sun J, Yu X. Mediators of the association between nut consumption and cardiovascular diseases: a two-step mendelian randomization study. Sci Rep. 2025;15(1):829. doi:10.1038/s41598-024-85070-z.</w:t>
      </w:r>
    </w:p>
    <w:p>
      <w:pPr>
        <w:ind w:firstLine="400"/>
        <w:jc w:val="both"/>
      </w:pPr>
      <w:r>
        <w:rPr>
          <w:rFonts w:ascii="Times New Roman" w:hAnsi="Times New Roman" w:eastAsia="Times New Roman" w:cs="Times New Roman"/>
          <w:b w:val="0"/>
          <w:sz w:val="20"/>
        </w:rPr>
        <w:t>33. Xu C, Xu Y, Ma J, Wang G. Mendelian randomization and mediation examination of the immune cell-mediated link between sphingomyelin and stroke. J Stroke Cerebrovasc Dis. 2025;34(2):108205. doi:10.1016/j.jstrokecerebrovasdis.2024.108205.</w:t>
      </w:r>
    </w:p>
    <w:p>
      <w:pPr>
        <w:ind w:firstLine="400"/>
        <w:jc w:val="both"/>
      </w:pPr>
      <w:r>
        <w:rPr>
          <w:rFonts w:ascii="Times New Roman" w:hAnsi="Times New Roman" w:eastAsia="Times New Roman" w:cs="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w:t>
      </w:r>
    </w:p>
    <w:p>
      <w:pPr>
        <w:ind w:firstLine="400"/>
        <w:jc w:val="both"/>
      </w:pPr>
      <w:r>
        <w:rPr>
          <w:rFonts w:ascii="Times New Roman" w:hAnsi="Times New Roman" w:eastAsia="Times New Roman" w:cs="Times New Roman"/>
          <w:b w:val="0"/>
          <w:sz w:val="20"/>
        </w:rPr>
        <w:t>35. Sun J, Teng F, Cao Y, Pei H, Ma L, Wei W, et al. Peripheral blood immune cell phenotypes and Alzheimer's disease: A mediation Mendelian randomization study. J Alzheimers Dis. 2025;105(2):622-633. doi:10.1177/13872877251330503.</w:t>
      </w:r>
    </w:p>
    <w:p>
      <w:pPr>
        <w:ind w:firstLine="400"/>
        <w:jc w:val="both"/>
      </w:pPr>
      <w:r>
        <w:rPr>
          <w:rFonts w:ascii="Times New Roman" w:hAnsi="Times New Roman" w:eastAsia="Times New Roman" w:cs="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w:t>
      </w:r>
    </w:p>
    <w:p>
      <w:pPr>
        <w:ind w:firstLine="400"/>
        <w:jc w:val="both"/>
      </w:pPr>
      <w:r>
        <w:rPr>
          <w:rFonts w:ascii="Times New Roman" w:hAnsi="Times New Roman" w:eastAsia="Times New Roman" w:cs="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w:t>
      </w:r>
    </w:p>
    <w:p>
      <w:pPr>
        <w:ind w:firstLine="400"/>
        <w:jc w:val="both"/>
      </w:pPr>
      <w:r>
        <w:rPr>
          <w:rFonts w:ascii="Times New Roman" w:hAnsi="Times New Roman" w:eastAsia="Times New Roman" w:cs="Times New Roman"/>
          <w:b w:val="0"/>
          <w:sz w:val="20"/>
        </w:rPr>
        <w:t>38. Wang M, Teng T, Mo D, Chen R, Xu J, Dong Z, et al. Neuroticism as a protective factor for cardiomyopathy: A mediation Mendelian randomization study. J Affect Disord. 2026;403:121400. doi:10.1016/j.jad.2026.121400.</w:t>
      </w:r>
    </w:p>
    <w:p>
      <w:pPr>
        <w:ind w:firstLine="400"/>
        <w:jc w:val="both"/>
      </w:pPr>
      <w:r>
        <w:rPr>
          <w:rFonts w:ascii="Times New Roman" w:hAnsi="Times New Roman" w:eastAsia="Times New Roman" w:cs="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w:t>
      </w:r>
    </w:p>
    <w:p>
      <w:pPr>
        <w:ind w:firstLine="400"/>
        <w:jc w:val="both"/>
      </w:pPr>
      <w:r>
        <w:rPr>
          <w:rFonts w:ascii="Times New Roman" w:hAnsi="Times New Roman" w:eastAsia="Times New Roman" w:cs="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w:t>
      </w:r>
    </w:p>
    <w:p>
      <w:pPr>
        <w:ind w:firstLine="400"/>
        <w:jc w:val="both"/>
      </w:pPr>
      <w:r>
        <w:rPr>
          <w:rFonts w:ascii="Times New Roman" w:hAnsi="Times New Roman" w:eastAsia="Times New Roman" w:cs="Times New Roman"/>
          <w:b w:val="0"/>
          <w:sz w:val="20"/>
        </w:rPr>
        <w:t>41.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eastAsia="Times New Roman" w:cs="Times New Roman"/>
          <w:b/>
          <w:sz w:val="26"/>
        </w:rPr>
        <w:t>Figure legends</w:t>
      </w:r>
    </w:p>
    <w:p>
      <w:pPr>
        <w:jc w:val="both"/>
      </w:pPr>
      <w:r>
        <w:rPr>
          <w:rFonts w:ascii="Times New Roman" w:hAnsi="Times New Roman" w:eastAsia="Times New Roman" w:cs="Times New Roman"/>
          <w:b w:val="0"/>
          <w:sz w:val="24"/>
        </w:rPr>
        <w:t>Figures are provided as separate electronic files (Fig. 1-4 and Supplementary Fig. S1-S4).</w:t>
      </w:r>
    </w:p>
    <w:p>
      <w:pPr>
        <w:jc w:val="both"/>
      </w:pPr>
      <w:r>
        <w:rPr>
          <w:rFonts w:ascii="Times New Roman" w:hAnsi="Times New Roman" w:eastAsia="Times New Roman" w:cs="Times New Roman"/>
          <w:b/>
          <w:sz w:val="24"/>
        </w:rPr>
        <w:t>Figure 1.</w:t>
      </w:r>
      <w:r>
        <w:rPr>
          <w:rFonts w:ascii="Times New Roman" w:hAnsi="Times New Roman" w:eastAsia="Times New Roman" w:cs="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eastAsia="Times New Roman" w:cs="Times New Roman"/>
          <w:b/>
          <w:sz w:val="24"/>
        </w:rPr>
        <w:t>Figure 2.</w:t>
      </w:r>
      <w:r>
        <w:rPr>
          <w:rFonts w:ascii="Times New Roman" w:hAnsi="Times New Roman" w:eastAsia="Times New Roman" w:cs="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both"/>
      </w:pPr>
      <w:r>
        <w:rPr>
          <w:rFonts w:ascii="Times New Roman" w:hAnsi="Times New Roman" w:eastAsia="Times New Roman" w:cs="Times New Roman"/>
          <w:b/>
          <w:sz w:val="24"/>
        </w:rPr>
        <w:t>Supplementary Figure S1.</w:t>
      </w:r>
      <w:r>
        <w:rPr>
          <w:rFonts w:ascii="Times New Roman" w:hAnsi="Times New Roman" w:eastAsia="Times New Roman" w:cs="Times New Roman"/>
          <w:b w:val="0"/>
          <w:sz w:val="24"/>
        </w:rPr>
        <w:t xml:space="preserve"> </w:t>
      </w:r>
      <w:r>
        <w:rPr>
          <w:rFonts w:ascii="Times New Roman" w:hAnsi="Times New Roman" w:eastAsia="Times New Roman" w:cs="Times New Roman"/>
          <w:b w:val="0"/>
          <w:i/>
          <w:sz w:val="24"/>
        </w:rPr>
        <w:t>Left:</w:t>
      </w:r>
      <w:r>
        <w:rPr>
          <w:rFonts w:ascii="Times New Roman" w:hAnsi="Times New Roman" w:eastAsia="Times New Roman" w:cs="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eastAsia="Times New Roman" w:cs="Times New Roman"/>
          <w:b w:val="0"/>
          <w:i/>
          <w:sz w:val="24"/>
        </w:rPr>
        <w:t>Right:</w:t>
      </w:r>
      <w:r>
        <w:rPr>
          <w:rFonts w:ascii="Times New Roman" w:hAnsi="Times New Roman" w:eastAsia="Times New Roman" w:cs="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eastAsia="Times New Roman" w:cs="Times New Roman"/>
          <w:b/>
          <w:sz w:val="24"/>
        </w:rPr>
        <w:t>Figure 3.</w:t>
      </w:r>
      <w:r>
        <w:rPr>
          <w:rFonts w:ascii="Times New Roman" w:hAnsi="Times New Roman" w:eastAsia="Times New Roman" w:cs="Times New Roman"/>
          <w:b w:val="0"/>
          <w:sz w:val="24"/>
        </w:rPr>
        <w:t xml:space="preserve"> Percentage of 333 two-step MR mediation studies at risk of non-zero Cov(α̂, β̂) under three classification assumptions. </w:t>
      </w:r>
      <w:r>
        <w:rPr>
          <w:rFonts w:ascii="Times New Roman" w:hAnsi="Times New Roman" w:eastAsia="Times New Roman" w:cs="Times New Roman"/>
          <w:b w:val="0"/>
          <w:i/>
          <w:sz w:val="24"/>
        </w:rPr>
        <w:t>Conservative</w:t>
      </w:r>
      <w:r>
        <w:rPr>
          <w:rFonts w:ascii="Times New Roman" w:hAnsi="Times New Roman" w:eastAsia="Times New Roman" w:cs="Times New Roman"/>
          <w:b w:val="0"/>
          <w:sz w:val="24"/>
        </w:rPr>
        <w:t xml:space="preserve"> counts only merged-IV-pool and MVMR-joint designs (9.3% [95% CI 6.6–12.9%]). </w:t>
      </w:r>
      <w:r>
        <w:rPr>
          <w:rFonts w:ascii="Times New Roman" w:hAnsi="Times New Roman" w:eastAsia="Times New Roman" w:cs="Times New Roman"/>
          <w:b w:val="0"/>
          <w:i/>
          <w:sz w:val="24"/>
        </w:rPr>
        <w:t>Typical</w:t>
      </w:r>
      <w:r>
        <w:rPr>
          <w:rFonts w:ascii="Times New Roman" w:hAnsi="Times New Roman" w:eastAsia="Times New Roman" w:cs="Times New Roman"/>
          <w:b w:val="0"/>
          <w:sz w:val="24"/>
        </w:rPr>
        <w:t xml:space="preserve"> additionally counts separate-IV designs that do not report overlap handling, yielding the headline estimate of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w:t>
      </w:r>
      <w:r>
        <w:rPr>
          <w:rFonts w:ascii="Times New Roman" w:hAnsi="Times New Roman" w:eastAsia="Times New Roman" w:cs="Times New Roman"/>
          <w:b w:val="0"/>
          <w:i/>
          <w:sz w:val="24"/>
        </w:rPr>
        <w:t>Structural</w:t>
      </w:r>
      <w:r>
        <w:rPr>
          <w:rFonts w:ascii="Times New Roman" w:hAnsi="Times New Roman" w:eastAsia="Times New Roman" w:cs="Times New Roman"/>
          <w:b w:val="0"/>
          <w:sz w:val="24"/>
        </w:rPr>
        <w:t xml:space="preserve"> counts all separate-IV designs as capable of overlap (41.1% [95% CI 36.0–46.5%]).</w:t>
      </w:r>
    </w:p>
    <w:p>
      <w:pPr>
        <w:jc w:val="both"/>
      </w:pPr>
      <w:r>
        <w:rPr>
          <w:rFonts w:ascii="Times New Roman" w:hAnsi="Times New Roman" w:eastAsia="Times New Roman" w:cs="Times New Roman"/>
          <w:b/>
          <w:sz w:val="24"/>
        </w:rPr>
        <w:t>Figure 4.</w:t>
      </w:r>
      <w:r>
        <w:rPr>
          <w:rFonts w:ascii="Times New Roman" w:hAnsi="Times New Roman" w:eastAsia="Times New Roman" w:cs="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eastAsia="Times New Roman" w:cs="Times New Roman"/>
          <w:b w:val="0"/>
          <w:i/>
          <w:sz w:val="24"/>
        </w:rPr>
        <w:t>Top:</w:t>
      </w:r>
      <w:r>
        <w:rPr>
          <w:rFonts w:ascii="Times New Roman" w:hAnsi="Times New Roman" w:eastAsia="Times New Roman" w:cs="Times New Roman"/>
          <w:b w:val="0"/>
          <w:sz w:val="24"/>
        </w:rPr>
        <w:t xml:space="preserve"> shared-IV design (n_s = 78), where the corrected SE is 15.5% smaller. </w:t>
      </w:r>
      <w:r>
        <w:rPr>
          <w:rFonts w:ascii="Times New Roman" w:hAnsi="Times New Roman" w:eastAsia="Times New Roman" w:cs="Times New Roman"/>
          <w:b w:val="0"/>
          <w:i/>
          <w:sz w:val="24"/>
        </w:rPr>
        <w:t>Bottom:</w:t>
      </w:r>
      <w:r>
        <w:rPr>
          <w:rFonts w:ascii="Times New Roman" w:hAnsi="Times New Roman" w:eastAsia="Times New Roman" w:cs="Times New Roman"/>
          <w:b w:val="0"/>
          <w:sz w:val="24"/>
        </w:rPr>
        <w:t xml:space="preserve"> natural overlap (n_s = 13), where the corrected SE is 2.8% smaller.</w:t>
      </w:r>
    </w:p>
    <w:p>
      <w:pPr>
        <w:jc w:val="both"/>
      </w:pPr>
      <w:r>
        <w:rPr>
          <w:rFonts w:ascii="Times New Roman" w:hAnsi="Times New Roman" w:eastAsia="Times New Roman" w:cs="Times New Roman"/>
          <w:b/>
          <w:sz w:val="24"/>
        </w:rPr>
        <w:t>Supplementary Figure S2.</w:t>
      </w:r>
      <w:r>
        <w:rPr>
          <w:rFonts w:ascii="Times New Roman" w:hAnsi="Times New Roman" w:eastAsia="Times New Roman" w:cs="Times New Roman"/>
          <w:b w:val="0"/>
          <w:sz w:val="24"/>
        </w:rPr>
        <w:t xml:space="preserve"> Targeted validation sweep at non-degenerate shared-instrument proportions (ρ_MY = 0.5, n_reps = 30,000). </w:t>
      </w:r>
      <w:r>
        <w:rPr>
          <w:rFonts w:ascii="Times New Roman" w:hAnsi="Times New Roman" w:eastAsia="Times New Roman" w:cs="Times New Roman"/>
          <w:b w:val="0"/>
          <w:i/>
          <w:sz w:val="24"/>
        </w:rPr>
        <w:t>Left:</w:t>
      </w:r>
      <w:r>
        <w:rPr>
          <w:rFonts w:ascii="Times New Roman" w:hAnsi="Times New Roman" w:eastAsia="Times New Roman" w:cs="Times New Roman"/>
          <w:b w:val="0"/>
          <w:sz w:val="24"/>
        </w:rPr>
        <w:t xml:space="preserve"> empirical Cov(α̂, β̂) (points) versus the closed-form analytical prediction (lines) across π_shared, for F = 10 and F = 30; the two coincide. </w:t>
      </w:r>
      <w:r>
        <w:rPr>
          <w:rFonts w:ascii="Times New Roman" w:hAnsi="Times New Roman" w:eastAsia="Times New Roman" w:cs="Times New Roman"/>
          <w:b w:val="0"/>
          <w:i/>
          <w:sz w:val="24"/>
        </w:rPr>
        <w:t>Right:</w:t>
      </w:r>
      <w:r>
        <w:rPr>
          <w:rFonts w:ascii="Times New Roman" w:hAnsi="Times New Roman" w:eastAsia="Times New Roman" w:cs="Times New Roman"/>
          <w:b w:val="0"/>
          <w:sz w:val="24"/>
        </w:rPr>
        <w:t xml:space="preserve"> relative error of the analytical covariance versus the conservative reliability bound B(F, ρ_MY, π_shared) for all 12 cells; all points fall below the bound, with the worst cell at 14.1%.</w:t>
      </w:r>
    </w:p>
    <w:p>
      <w:pPr>
        <w:jc w:val="both"/>
      </w:pPr>
      <w:r>
        <w:rPr>
          <w:rFonts w:ascii="Times New Roman" w:hAnsi="Times New Roman" w:eastAsia="Times New Roman" w:cs="Times New Roman"/>
          <w:b/>
          <w:sz w:val="24"/>
        </w:rPr>
        <w:t>Supplementary Figure S3.</w:t>
      </w:r>
      <w:r>
        <w:rPr>
          <w:rFonts w:ascii="Times New Roman" w:hAnsi="Times New Roman" w:eastAsia="Times New Roman" w:cs="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eastAsia="Times New Roman" w:cs="Times New Roman"/>
          <w:b w:val="0"/>
          <w:i/>
          <w:sz w:val="24"/>
        </w:rPr>
        <w:t>Panel A</w:t>
      </w:r>
      <w:r>
        <w:rPr>
          <w:rFonts w:ascii="Times New Roman" w:hAnsi="Times New Roman" w:eastAsia="Times New Roman" w:cs="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eastAsia="Times New Roman" w:cs="Times New Roman"/>
          <w:b w:val="0"/>
          <w:i/>
          <w:sz w:val="24"/>
        </w:rPr>
        <w:t>Panel B</w:t>
      </w:r>
      <w:r>
        <w:rPr>
          <w:rFonts w:ascii="Times New Roman" w:hAnsi="Times New Roman" w:eastAsia="Times New Roman" w:cs="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both"/>
      </w:pPr>
      <w:r>
        <w:rPr>
          <w:rFonts w:ascii="Times New Roman" w:hAnsi="Times New Roman" w:eastAsia="Times New Roman" w:cs="Times New Roman"/>
          <w:b/>
          <w:sz w:val="24"/>
        </w:rPr>
        <w:t>Supplementary Figure S4.</w:t>
      </w:r>
      <w:r>
        <w:rPr>
          <w:rFonts w:ascii="Times New Roman" w:hAnsi="Times New Roman" w:eastAsia="Times New Roman" w:cs="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spacing w:before="200" w:after="80"/>
        <w:jc w:val="left"/>
      </w:pPr>
      <w:r>
        <w:rPr>
          <w:rFonts w:ascii="Times New Roman" w:hAnsi="Times New Roman" w:eastAsia="Times New Roman" w:cs="Times New Roman"/>
          <w:b/>
          <w:sz w:val="26"/>
        </w:rPr>
        <w:t>Supplementary materials</w:t>
      </w:r>
    </w:p>
    <w:p>
      <w:pPr>
        <w:pStyle w:val="ListBullet"/>
        <w:jc w:val="both"/>
      </w:pPr>
      <w:r>
        <w:rPr>
          <w:rFonts w:ascii="Times New Roman" w:hAnsi="Times New Roman" w:eastAsia="Times New Roman" w:cs="Times New Roman"/>
          <w:b/>
          <w:sz w:val="24"/>
        </w:rPr>
        <w:t>Supplementary Methods S1–S6:</w:t>
      </w:r>
      <w:r>
        <w:rPr>
          <w:rFonts w:ascii="Times New Roman" w:hAnsi="Times New Roman" w:eastAsia="Times New Roman" w:cs="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eastAsia="Times New Roman" w:cs="Times New Roman"/>
          <w:b/>
          <w:sz w:val="24"/>
        </w:rPr>
        <w:t>Supplementary Figures S1, S2, S3 and S4:</w:t>
      </w:r>
      <w:r>
        <w:rPr>
          <w:rFonts w:ascii="Times New Roman" w:hAnsi="Times New Roman" w:eastAsia="Times New Roman" w:cs="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eastAsia="Times New Roman" w:cs="Times New Roman"/>
          <w:b/>
          <w:sz w:val="24"/>
        </w:rPr>
        <w:t>Supplementary Methods S7:</w:t>
      </w:r>
      <w:r>
        <w:rPr>
          <w:rFonts w:ascii="Times New Roman" w:hAnsi="Times New Roman" w:eastAsia="Times New Roman" w:cs="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eastAsia="Times New Roman" w:cs="Times New Roman"/>
          <w:b/>
          <w:sz w:val="24"/>
        </w:rPr>
        <w:t>Supplementary Methods S8:</w:t>
      </w:r>
      <w:r>
        <w:rPr>
          <w:rFonts w:ascii="Times New Roman" w:hAnsi="Times New Roman" w:eastAsia="Times New Roman" w:cs="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eastAsia="Times New Roman" w:cs="Times New Roman"/>
          <w:b/>
          <w:sz w:val="24"/>
        </w:rPr>
        <w:t>Supplementary Codebook S1:</w:t>
      </w:r>
      <w:r>
        <w:rPr>
          <w:rFonts w:ascii="Times New Roman" w:hAnsi="Times New Roman" w:eastAsia="Times New Roman" w:cs="Times New Roman"/>
          <w:b w:val="0"/>
          <w:sz w:val="24"/>
        </w:rPr>
        <w:t xml:space="preserve"> literature coding rules (D61_Supplementary_codebook_S1.md).</w:t>
      </w:r>
    </w:p>
    <w:p>
      <w:pPr>
        <w:pStyle w:val="ListBullet"/>
        <w:jc w:val="both"/>
      </w:pPr>
      <w:r>
        <w:rPr>
          <w:rFonts w:ascii="Times New Roman" w:hAnsi="Times New Roman" w:eastAsia="Times New Roman" w:cs="Times New Roman"/>
          <w:b/>
          <w:sz w:val="24"/>
        </w:rPr>
        <w:t>Supplementary Checklist S1:</w:t>
      </w:r>
      <w:r>
        <w:rPr>
          <w:rFonts w:ascii="Times New Roman" w:hAnsi="Times New Roman" w:eastAsia="Times New Roman" w:cs="Times New Roman"/>
          <w:b w:val="0"/>
          <w:sz w:val="24"/>
        </w:rPr>
        <w:t xml:space="preserve"> completed STROBE-MR reporting checklist for this study (D61_Supplementary_STROBE_MR.md).</w:t>
      </w:r>
    </w:p>
    <w:p>
      <w:pPr>
        <w:pStyle w:val="ListBullet"/>
        <w:jc w:val="both"/>
      </w:pPr>
      <w:r>
        <w:rPr>
          <w:rFonts w:ascii="Times New Roman" w:hAnsi="Times New Roman" w:eastAsia="Times New Roman" w:cs="Times New Roman"/>
          <w:b/>
          <w:sz w:val="24"/>
        </w:rPr>
        <w:t>Supplementary Table S1:</w:t>
      </w:r>
      <w:r>
        <w:rPr>
          <w:rFonts w:ascii="Times New Roman" w:hAnsi="Times New Roman" w:eastAsia="Times New Roman" w:cs="Times New Roman"/>
          <w:b w:val="0"/>
          <w:sz w:val="24"/>
        </w:rPr>
        <w:t xml:space="preserve"> targeted validation sweep at non-degenerate shared-instrument proportions (ρ_MY = 0.5, 12 cells): empirical versus analytical Cov(α̂, β̂) and reliability-bound relative error — defined below. The full 180-cell simulation grid (coverage/MSE by estimator) is tabulated in Supplementary Methods S6.</w:t>
      </w:r>
    </w:p>
    <w:p>
      <w:pPr>
        <w:pStyle w:val="ListBullet"/>
        <w:jc w:val="both"/>
      </w:pPr>
      <w:r>
        <w:rPr>
          <w:rFonts w:ascii="Times New Roman" w:hAnsi="Times New Roman" w:eastAsia="Times New Roman" w:cs="Times New Roman"/>
          <w:b/>
          <w:sz w:val="24"/>
        </w:rPr>
        <w:t>Supplementary Table S2:</w:t>
      </w:r>
      <w:r>
        <w:rPr>
          <w:rFonts w:ascii="Times New Roman" w:hAnsi="Times New Roman" w:eastAsia="Times New Roman" w:cs="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eastAsia="Times New Roman" w:cs="Times New Roman"/>
          <w:b/>
          <w:sz w:val="24"/>
        </w:rPr>
        <w:t>Supplementary Table S3:</w:t>
      </w:r>
      <w:r>
        <w:rPr>
          <w:rFonts w:ascii="Times New Roman" w:hAnsi="Times New Roman" w:eastAsia="Times New Roman" w:cs="Times New Roman"/>
          <w:b w:val="0"/>
          <w:sz w:val="24"/>
        </w:rPr>
        <w:t xml:space="preserve"> Phase-B batch re-estimation of published two-step MR mediation studies, with the π_shared screen of all candidates and the validated re-estimation tables (D61_Supplementary_S3_batch.md).</w:t>
      </w:r>
    </w:p>
    <w:p>
      <w:pPr>
        <w:pStyle w:val="ListBullet"/>
        <w:jc w:val="both"/>
      </w:pPr>
      <w:r>
        <w:rPr>
          <w:rFonts w:ascii="Times New Roman" w:hAnsi="Times New Roman" w:eastAsia="Times New Roman" w:cs="Times New Roman"/>
          <w:b/>
          <w:sz w:val="24"/>
        </w:rPr>
        <w:t>Supplementary Table S4:</w:t>
      </w:r>
      <w:r>
        <w:rPr>
          <w:rFonts w:ascii="Times New Roman" w:hAnsi="Times New Roman" w:eastAsia="Times New Roman" w:cs="Times New Roman"/>
          <w:b w:val="0"/>
          <w:sz w:val="24"/>
        </w:rPr>
        <w:t xml:space="preserve"> empirical ρ_MY for the six overlapping trios, with Fisher-z confidence intervals and the worst-case robustness check (D61_Supplementary_S4_rhoMY.md).</w:t>
      </w:r>
    </w:p>
    <w:p>
      <w:pPr>
        <w:ind w:firstLine="480"/>
        <w:jc w:val="both"/>
      </w:pPr>
      <w:r>
        <w:rPr>
          <w:rFonts w:ascii="Times New Roman" w:hAnsi="Times New Roman" w:eastAsia="Times New Roman" w:cs="Times New Roman"/>
          <w:b/>
          <w:sz w:val="24"/>
        </w:rPr>
        <w:t>Supplementary Table S1.</w:t>
      </w:r>
      <w:r>
        <w:rPr>
          <w:rFonts w:ascii="Times New Roman" w:hAnsi="Times New Roman" w:eastAsia="Times New Roman" w:cs="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F</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emp_cov</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theory_total</w:t>
            </w:r>
          </w:p>
        </w:tc>
        <w:tc>
          <w:tcPr>
            <w:tcW w:type="dxa" w:w="1728"/>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rel_err (%)</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−0.0003731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−0.0003357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10.02</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−0.0006333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−0.0006713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6.01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−0.0010047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−0.0010070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−0.0023361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−0.0023497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0.58</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−0.0030894</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−0.0030210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2.21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30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−0.0034441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−0.0033567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2.54</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−0.0002971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−0.0003391</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14.13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−0.0007604</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−0.0006782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10.81</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−0.0008952</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−0.0010173</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13.64</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0.7</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−0.0022428</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−0.0023736</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5.83</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−0.0031135</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−0.0030518</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1.98</w:t>
            </w:r>
          </w:p>
        </w:tc>
      </w:tr>
      <w:tr>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−0.0035006</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−0.0033909</w:t>
            </w:r>
          </w:p>
        </w:tc>
        <w:tc>
          <w:tcPr>
            <w:tcW w:type="dxa" w:w="1728"/>
          </w:tcPr>
          <w:p>
            <w:r>
              <w:rPr>
                <w:rFonts w:ascii="Times New Roman" w:hAnsi="Times New Roman" w:eastAsia="Times New Roman" w:cs="Times New Roman"/>
              </w:rPr>
            </w:r>
            <w:r>
              <w:rPr>
                <w:rFonts w:ascii="Times New Roman" w:hAnsi="Times New Roman" w:eastAsia="Times New Roman" w:cs="Times New Roman"/>
                <w:sz w:val="19"/>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