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(ORCID: 0009-0001-6328-7403), Jianfeng Wang² (ORCID: 0000-0002-6316-6361)</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Introduction or background (include the objective).</w:t>
      </w:r>
      <w:r>
        <w:rPr>
          <w:rFonts w:ascii="Times New Roman" w:hAnsi="Times New Roman"/>
          <w:b w:val="0"/>
          <w:sz w:val="24"/>
        </w:rPr>
        <w:t xml:space="preserve"> Two-step (product-method) Mendelian randomization mediation analyses routinely assume that the exposure-step and mediator-step instrument sets are independent, yet this assumption has never been checked at scale and no closed-form correction exists for when it fails. Our objective was to quantify how often the published two-step MR mediation literature uses an instrument-selection design capable of violating this independence assumption, to derive the omitted covariance in closed form, and to characterize the boundary conditions under which it overturns a conclusion.</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to code design type and overlap handling. We derived a closed-form expression for Cov(α̂, β̂) under two overlap channels — shared instruments and mediator–outcome sample overlap — with a conservative reliability bound validated across 180 simulation cells and a 200-cell flip-probability scan. We batch re-estimated every coded trio resolvable to public GWAS accessions (113 attempted, 108 succeeded) directly from OpenGWAS summary statistics using an all-Python pipeline (harmonized fixed-effects IVW plus the correction), and we estimated ρ_MY empirically for the overlapping trios from harmonized effect sizes.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draw instruments from overlapping GWAS pools without disclosing overlap handling and are capable of non-zero Cov(α̂, β̂); essentially none report or correct for it at the covariance level. The correction restored nominal coverage on the simulation grid; up to 10.4% flip probability was identified in the discordant/high-overlap regime of the 200-cell scan. Genuine instrument overlap was found in 6.5% (95% CI 3.2–12.8%; 7/108) of the re-estimated trios; among the five non-degenerate cases the correction narrowed every confidence interval (0.2–16.0%) with zero observed flips. This null result is imprecisely estimated (95% CI for the underlying flip rate: 0–43.4%) and should not be read as evidence that flips are rare in the wider literature. Five of six overlapping trios showed genetically concordant mediator–outcome effects (ρ_g up to +0.81).</w:t>
      </w:r>
    </w:p>
    <w:p>
      <w:pPr>
        <w:ind w:firstLine="480"/>
        <w:jc w:val="both"/>
      </w:pPr>
      <w:r>
        <w:rPr>
          <w:rFonts w:ascii="Times New Roman" w:hAnsi="Times New Roman"/>
          <w:b/>
          <w:sz w:val="24"/>
        </w:rPr>
        <w:t>Discussion (include the conclusion).</w:t>
      </w:r>
      <w:r>
        <w:rPr>
          <w:rFonts w:ascii="Times New Roman" w:hAnsi="Times New Roman"/>
          <w:b w:val="0"/>
          <w:sz w:val="24"/>
        </w:rPr>
        <w:t xml:space="preserve"> Rather than treating ρ_MY as an assumed-zero sensitivity parameter, we estimated it empirically and show the observed narrowing is a structural, mechanism-explained consequence of shared-instrument covariance (the dominant shared-instrument covariance is negative when α̂ and β̂ share a sign) rather than a fortunate coincidence. The contribution of this work is a validated method and a quantified, bounded description of an unreported design vulnerability — not a claim that any specific published conclusion is wrong. The field currently lacks the reporting infrastructure (n_s, π_shared, ρ_MY) to tell, for any given result, which regime it falls into; we provide the closed-form tool, the empirical boundary conditions, and the audit baseline needed to close that gap.</w:t>
      </w:r>
    </w:p>
    <w:p>
      <w:pPr>
        <w:ind w:firstLine="480"/>
        <w:jc w:val="both"/>
      </w:pPr>
      <w:r>
        <w:rPr>
          <w:rFonts w:ascii="Times New Roman" w:hAnsi="Times New Roman"/>
          <w:b/>
          <w:sz w:val="24"/>
        </w:rPr>
        <w:t>Plain Language Summary.</w:t>
      </w:r>
      <w:r>
        <w:rPr>
          <w:rFonts w:ascii="Times New Roman" w:hAnsi="Times New Roman"/>
          <w:b w:val="0"/>
          <w:sz w:val="24"/>
        </w:rPr>
        <w:t xml:space="preserve"> Two-step Mendelian randomization mediation is a popular genetic method for separating how an exposure acts directly from how it acts through an intermediate trait. It assumes the genetic instruments used in the two steps do not overlap, but this has never been checked at scale. We found that about 39% of 333 published two-step mediation studies use an instrument-selection design that can violate this assumption, and almost none correct for it. We derive the missing covariance formula in closed form and show, via 180- and 200-cell simulations, when it is large enough to flip a conclusion (up to ~10%). Re-analysing 108 studies resolvable to public data, 6.5% had genuine instrument overlap; in the five clean cases the correction narrowed every confidence interval with no flips, but this null finding is imprecise (95% CI for the flip rate 0–43%) and must not be read as "flips are rare." We also measured the relevant genetic concordance directly rather than assuming it zero. The takeaway for practitioners: report the number of shared instruments (n_s), their proportion (π_shared), and the mediator–outcome genetic correlation (ρ_MY) so reviewers can judge overlap risk; our released tool computes the correction without full reanalysis.</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What is new?</w:t>
      </w:r>
    </w:p>
    <w:p>
      <w:pPr>
        <w:pStyle w:val="ListBullet"/>
        <w:jc w:val="both"/>
      </w:pPr>
      <w:r>
        <w:rPr>
          <w:rFonts w:ascii="Times New Roman" w:hAnsi="Times New Roman"/>
          <w:b/>
          <w:sz w:val="24"/>
        </w:rPr>
        <w:t>Key findings:</w:t>
      </w:r>
      <w:r>
        <w:rPr>
          <w:rFonts w:ascii="Times New Roman" w:hAnsi="Times New Roman"/>
          <w:b w:val="0"/>
          <w:sz w:val="24"/>
        </w:rPr>
        <w:t xml:space="preserve"> Instrument overlap between the two steps of two-step MR mediation is common — 39.3% of 333 audited studies use a design that can produce non-independent (α̂, β̂), and 6.5% of 108 re-estimated trios show genuine SNP overlap — yet is almost never reported or corrected. We derive the first closed-form Cov(α̂, β̂) and bound the flip risk (≤10.4% in the worst simulated regime).</w:t>
      </w:r>
    </w:p>
    <w:p>
      <w:pPr>
        <w:pStyle w:val="ListBullet"/>
        <w:jc w:val="both"/>
      </w:pPr>
      <w:r>
        <w:rPr>
          <w:rFonts w:ascii="Times New Roman" w:hAnsi="Times New Roman"/>
          <w:b/>
          <w:sz w:val="24"/>
        </w:rPr>
        <w:t>What this adds to what is already known:</w:t>
      </w:r>
      <w:r>
        <w:rPr>
          <w:rFonts w:ascii="Times New Roman" w:hAnsi="Times New Roman"/>
          <w:b w:val="0"/>
          <w:sz w:val="24"/>
        </w:rPr>
        <w:t xml:space="preserve"> Prior work derived only the independent-sample case and left the overlapping-instrument covariance unsolved. We close that gap analytically, validate it on 180 simulation cells, empirically estimate the mediator–outcome genetic concordance (ρ_MY) that prior studies assumed zero, and show the observed CI-narrowing is structural (negative shared-instrument covariance when α̂ and β̂ share a sign), not lucky.</w:t>
      </w:r>
    </w:p>
    <w:p>
      <w:pPr>
        <w:pStyle w:val="ListBullet"/>
        <w:jc w:val="both"/>
      </w:pPr>
      <w:r>
        <w:rPr>
          <w:rFonts w:ascii="Times New Roman" w:hAnsi="Times New Roman"/>
          <w:b/>
          <w:sz w:val="24"/>
        </w:rPr>
        <w:t>What are the implications / what should change now:</w:t>
      </w:r>
      <w:r>
        <w:rPr>
          <w:rFonts w:ascii="Times New Roman" w:hAnsi="Times New Roman"/>
          <w:b w:val="0"/>
          <w:sz w:val="24"/>
        </w:rPr>
        <w:t xml:space="preserve"> Authors should report n_s, π_shared, and ρ_MY so reviewers can assess overlap risk; journals should add an overlap-disclosure item for two-step MR mediation. Our released R/Python tool computes the correction without full reanalysis.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Table 1 in the Supplement).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*gain* significance (turn a naively non-significant result significant) and never remove it. The maximum flip probability is 5.7% (at F = 30, ρ_MY = 0, π_shared = 1.0, λ ≈ 2.0); only 3/100 design points exceed 5%. Under discordant mediation or sample overlap the covariance is positive and the corrected SE is larger, so the correction can *lose*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S4).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*same*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S3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sz w:val="24"/>
        </w:rPr>
        <w:t>*Note (full):*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3c.</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*variance*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3b;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3b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*single* two-sample MR estimand (instrument-selection / Winner's Curse, weak-instrument bias, and exposure–outcome sample overlap) by simulating statistically independent summary statistics; it does not derive the covariance of a *product* estimand, so it leaves the two-step mediation term Cov(α̂, β̂) unaddressed. Table 4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4.</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*more*,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will be minted upon acceptance;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486400" cy="3587262"/>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Fig2_PRISMA.png"/>
                    <pic:cNvPicPr/>
                  </pic:nvPicPr>
                  <pic:blipFill>
                    <a:blip r:embed="rId10"/>
                    <a:stretch>
                      <a:fillRect/>
                    </a:stretch>
                  </pic:blipFill>
                  <pic:spPr>
                    <a:xfrm>
                      <a:off x="0" y="0"/>
                      <a:ext cx="5486400" cy="5486400"/>
                    </a:xfrm>
                    <a:prstGeom prst="rect"/>
                  </pic:spPr>
                </pic:pic>
              </a:graphicData>
            </a:graphic>
          </wp:inline>
        </w:drawing>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center"/>
      </w:pPr>
      <w:r>
        <w:drawing>
          <wp:inline xmlns:a="http://schemas.openxmlformats.org/drawingml/2006/main" xmlns:pic="http://schemas.openxmlformats.org/drawingml/2006/picture">
            <wp:extent cx="5486400" cy="2493818"/>
            <wp:docPr id="3" name="Picture 3"/>
            <wp:cNvGraphicFramePr>
              <a:graphicFrameLocks noChangeAspect="1"/>
            </wp:cNvGraphicFramePr>
            <a:graphic>
              <a:graphicData uri="http://schemas.openxmlformats.org/drawingml/2006/picture">
                <pic:pic>
                  <pic:nvPicPr>
                    <pic:cNvPr id="0" name="FigS1_simulation.png"/>
                    <pic:cNvPicPr/>
                  </pic:nvPicPr>
                  <pic:blipFill>
                    <a:blip r:embed="rId11"/>
                    <a:stretch>
                      <a:fillRect/>
                    </a:stretch>
                  </pic:blipFill>
                  <pic:spPr>
                    <a:xfrm>
                      <a:off x="0" y="0"/>
                      <a:ext cx="5486400" cy="2493818"/>
                    </a:xfrm>
                    <a:prstGeom prst="rect"/>
                  </pic:spPr>
                </pic:pic>
              </a:graphicData>
            </a:graphic>
          </wp:inline>
        </w:drawing>
      </w:r>
    </w:p>
    <w:p>
      <w:pPr>
        <w:jc w:val="both"/>
      </w:pPr>
      <w:r>
        <w:rPr>
          <w:rFonts w:ascii="Times New Roman" w:hAnsi="Times New Roman"/>
          <w:b/>
          <w:sz w:val="24"/>
        </w:rPr>
        <w:t>Supplementary Figure S1.</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3_literature.png"/>
                    <pic:cNvPicPr/>
                  </pic:nvPicPr>
                  <pic:blipFill>
                    <a:blip r:embed="rId12"/>
                    <a:stretch>
                      <a:fillRect/>
                    </a:stretch>
                  </pic:blipFill>
                  <pic:spPr>
                    <a:xfrm>
                      <a:off x="0" y="0"/>
                      <a:ext cx="5486400" cy="3657600"/>
                    </a:xfrm>
                    <a:prstGeom prst="rect"/>
                  </pic:spPr>
                </pic:pic>
              </a:graphicData>
            </a:graphic>
          </wp:inline>
        </w:drawing>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[95% CI 6.6–12.9%]). *Typical*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*Structural* counts all separate-IV designs as capable of overlap (41.1% [95% CI 36.0–46.5%]).</w:t>
      </w:r>
    </w:p>
    <w:p>
      <w:pPr>
        <w:jc w:val="center"/>
      </w:pPr>
      <w:r>
        <w:drawing>
          <wp:inline xmlns:a="http://schemas.openxmlformats.org/drawingml/2006/main" xmlns:pic="http://schemas.openxmlformats.org/drawingml/2006/picture">
            <wp:extent cx="5486400" cy="2481005"/>
            <wp:docPr id="5" name="Picture 5"/>
            <wp:cNvGraphicFramePr>
              <a:graphicFrameLocks noChangeAspect="1"/>
            </wp:cNvGraphicFramePr>
            <a:graphic>
              <a:graphicData uri="http://schemas.openxmlformats.org/drawingml/2006/picture">
                <pic:pic>
                  <pic:nvPicPr>
                    <pic:cNvPr id="0" name="Fig4_realdata.png"/>
                    <pic:cNvPicPr/>
                  </pic:nvPicPr>
                  <pic:blipFill>
                    <a:blip r:embed="rId13"/>
                    <a:stretch>
                      <a:fillRect/>
                    </a:stretch>
                  </pic:blipFill>
                  <pic:spPr>
                    <a:xfrm>
                      <a:off x="0" y="0"/>
                      <a:ext cx="5486400" cy="2481005"/>
                    </a:xfrm>
                    <a:prstGeom prst="rect"/>
                  </pic:spPr>
                </pic:pic>
              </a:graphicData>
            </a:graphic>
          </wp:inline>
        </w:drawing>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jc w:val="center"/>
      </w:pPr>
      <w:r>
        <w:drawing>
          <wp:inline xmlns:a="http://schemas.openxmlformats.org/drawingml/2006/main" xmlns:pic="http://schemas.openxmlformats.org/drawingml/2006/picture">
            <wp:extent cx="5486400" cy="2473693"/>
            <wp:docPr id="6" name="Picture 6"/>
            <wp:cNvGraphicFramePr>
              <a:graphicFrameLocks noChangeAspect="1"/>
            </wp:cNvGraphicFramePr>
            <a:graphic>
              <a:graphicData uri="http://schemas.openxmlformats.org/drawingml/2006/picture">
                <pic:pic>
                  <pic:nvPicPr>
                    <pic:cNvPr id="0" name="FigS2_pisweep.png"/>
                    <pic:cNvPicPr/>
                  </pic:nvPicPr>
                  <pic:blipFill>
                    <a:blip r:embed="rId14"/>
                    <a:stretch>
                      <a:fillRect/>
                    </a:stretch>
                  </pic:blipFill>
                  <pic:spPr>
                    <a:xfrm>
                      <a:off x="0" y="0"/>
                      <a:ext cx="5486400" cy="2473693"/>
                    </a:xfrm>
                    <a:prstGeom prst="rect"/>
                  </pic:spPr>
                </pic:pic>
              </a:graphicData>
            </a:graphic>
          </wp:inline>
        </w:drawing>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jc w:val="center"/>
      </w:pPr>
      <w:r>
        <w:drawing>
          <wp:inline xmlns:a="http://schemas.openxmlformats.org/drawingml/2006/main" xmlns:pic="http://schemas.openxmlformats.org/drawingml/2006/picture">
            <wp:extent cx="5486400" cy="2362554"/>
            <wp:docPr id="7" name="Picture 7"/>
            <wp:cNvGraphicFramePr>
              <a:graphicFrameLocks noChangeAspect="1"/>
            </wp:cNvGraphicFramePr>
            <a:graphic>
              <a:graphicData uri="http://schemas.openxmlformats.org/drawingml/2006/picture">
                <pic:pic>
                  <pic:nvPicPr>
                    <pic:cNvPr id="0" name="FigS3_batch_forest.png"/>
                    <pic:cNvPicPr/>
                  </pic:nvPicPr>
                  <pic:blipFill>
                    <a:blip r:embed="rId15"/>
                    <a:stretch>
                      <a:fillRect/>
                    </a:stretch>
                  </pic:blipFill>
                  <pic:spPr>
                    <a:xfrm>
                      <a:off x="0" y="0"/>
                      <a:ext cx="5486400" cy="2362554"/>
                    </a:xfrm>
                    <a:prstGeom prst="rect"/>
                  </pic:spPr>
                </pic:pic>
              </a:graphicData>
            </a:graphic>
          </wp:inline>
        </w:drawing>
      </w:r>
    </w:p>
    <w:p>
      <w:pPr>
        <w:jc w:val="both"/>
      </w:pPr>
      <w:r>
        <w:rPr>
          <w:rFonts w:ascii="Times New Roman" w:hAnsi="Times New Roman"/>
          <w:b/>
          <w:sz w:val="24"/>
        </w:rPr>
        <w:t>Supplementary Figure S3.</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jc w:val="center"/>
      </w:pPr>
      <w:r>
        <w:drawing>
          <wp:inline xmlns:a="http://schemas.openxmlformats.org/drawingml/2006/main" xmlns:pic="http://schemas.openxmlformats.org/drawingml/2006/picture">
            <wp:extent cx="5486400" cy="2246996"/>
            <wp:docPr id="8" name="Picture 8"/>
            <wp:cNvGraphicFramePr>
              <a:graphicFrameLocks noChangeAspect="1"/>
            </wp:cNvGraphicFramePr>
            <a:graphic>
              <a:graphicData uri="http://schemas.openxmlformats.org/drawingml/2006/picture">
                <pic:pic>
                  <pic:nvPicPr>
                    <pic:cNvPr id="0" name="FigS4_flip_probability.png"/>
                    <pic:cNvPicPr/>
                  </pic:nvPicPr>
                  <pic:blipFill>
                    <a:blip r:embed="rId16"/>
                    <a:stretch>
                      <a:fillRect/>
                    </a:stretch>
                  </pic:blipFill>
                  <pic:spPr>
                    <a:xfrm>
                      <a:off x="0" y="0"/>
                      <a:ext cx="5486400" cy="2246996"/>
                    </a:xfrm>
                    <a:prstGeom prst="rect"/>
                  </pic:spPr>
                </pic:pic>
              </a:graphicData>
            </a:graphic>
          </wp:inline>
        </w:drawing>
      </w:r>
    </w:p>
    <w:p>
      <w:pPr>
        <w:jc w:val="both"/>
      </w:pPr>
      <w:r>
        <w:rPr>
          <w:rFonts w:ascii="Times New Roman" w:hAnsi="Times New Roman"/>
          <w:b/>
          <w:sz w:val="24"/>
        </w:rPr>
        <w:t>Supplementary Figure S4.</w:t>
      </w:r>
      <w:r>
        <w:rPr>
          <w:rFonts w:ascii="Times New Roman" w:hAnsi="Times New Roman"/>
          <w:b w:val="0"/>
          <w:sz w:val="24"/>
        </w:rPr>
        <w:t xml:space="preserve"> Flip probability as a function of the true indirect-effect non-centrality λ = δ/σ_naive, by shared-instrument proportion π_shared, under the corrected variance. *Panel A* (concordant mediation, ρ_MY = 0, F = 10): the correction narrows the CI, so flips are gains of significance; the maximum across the 200-cell grid is 5.7%. *Panel B* (discordant mediation / full sample overlap, ρ_MY = 1, F = 10): the correction widens the CI, so flips are losses of significance; the maximum is 10.4%. The dashed vertical line marks the naive 1.96 threshold; both panels confine the flip band to λ ≈ 1.7–2.4.</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SE-change forest, and the flip-probability scan,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