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i w:val="0"/>
          <w:sz w:val="32"/>
        </w:rPr>
        <w:t>Correcting for instrument overlap in two-step summary-data Mendelian randomization mediation: a closed-form covariance and how often it is left unreported</w:t>
      </w:r>
    </w:p>
    <w:p>
      <w:pPr>
        <w:jc w:val="center"/>
      </w:pPr>
      <w:r>
        <w:rPr>
          <w:rFonts w:ascii="Times New Roman" w:hAnsi="Times New Roman" w:eastAsia="Times New Roman" w:cs="Times New Roman"/>
          <w:b/>
          <w:sz w:val="22"/>
        </w:rPr>
        <w:t>Authors:</w:t>
      </w:r>
      <w:r>
        <w:rPr>
          <w:rFonts w:ascii="Times New Roman" w:hAnsi="Times New Roman" w:eastAsia="Times New Roman" w:cs="Times New Roman"/>
          <w:b w:val="0"/>
          <w:sz w:val="22"/>
        </w:rPr>
        <w:t xml:space="preserve"> Yan Chen¹, Jianfeng Wang²</w:t>
      </w:r>
    </w:p>
    <w:p>
      <w:pPr>
        <w:jc w:val="center"/>
      </w:pPr>
      <w:r>
        <w:rPr>
          <w:rFonts w:ascii="Times New Roman" w:hAnsi="Times New Roman" w:eastAsia="Times New Roman" w:cs="Times New Roman"/>
          <w:b/>
          <w:sz w:val="22"/>
        </w:rPr>
        <w:t>Affiliations:</w:t>
      </w:r>
      <w:r>
        <w:rPr>
          <w:rFonts w:ascii="Times New Roman" w:hAnsi="Times New Roman" w:eastAsia="Times New Roman" w:cs="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eastAsia="Times New Roman" w:cs="Times New Roman"/>
          <w:b/>
          <w:sz w:val="22"/>
        </w:rPr>
        <w:t>Correspondence:</w:t>
      </w:r>
      <w:r>
        <w:rPr>
          <w:rFonts w:ascii="Times New Roman" w:hAnsi="Times New Roman" w:eastAsia="Times New Roman" w:cs="Times New Roman"/>
          <w:b w:val="0"/>
          <w:sz w:val="22"/>
        </w:rPr>
        <w:t xml:space="preserve"> Jianfeng Wang, 2001m@163.com</w:t>
      </w:r>
    </w:p>
    <w:p>
      <w:pPr>
        <w:spacing w:before="200" w:after="80"/>
        <w:jc w:val="left"/>
      </w:pPr>
      <w:r>
        <w:rPr>
          <w:rFonts w:ascii="Times New Roman" w:hAnsi="Times New Roman" w:eastAsia="Times New Roman" w:cs="Times New Roman"/>
          <w:b/>
          <w:sz w:val="26"/>
        </w:rPr>
        <w:t>Abstract</w:t>
      </w:r>
    </w:p>
    <w:p>
      <w:pPr>
        <w:ind w:firstLine="480"/>
        <w:jc w:val="both"/>
      </w:pPr>
      <w:r>
        <w:rPr>
          <w:rFonts w:ascii="Times New Roman" w:hAnsi="Times New Roman" w:eastAsia="Times New Roman" w:cs="Times New Roman"/>
          <w:b/>
          <w:sz w:val="24"/>
        </w:rPr>
        <w:t>Background</w:t>
      </w:r>
      <w:r>
        <w:rPr>
          <w:rFonts w:ascii="Times New Roman" w:hAnsi="Times New Roman" w:eastAsia="Times New Roman" w:cs="Times New Roman"/>
          <w:b w:val="0"/>
          <w:sz w:val="24"/>
        </w:rPr>
        <w:t xml:space="preserve"> Two-step (product-method) Mendelian randomization (MR) mediation assumes independent exposure-step and mediator-step estimates. Shared instruments or mediator–outcome sample overlap violate this and add a covariance term to the product variance for which no closed form exists; how often such designs occur is unknown.</w:t>
      </w:r>
    </w:p>
    <w:p>
      <w:pPr>
        <w:ind w:firstLine="480"/>
        <w:jc w:val="both"/>
      </w:pPr>
      <w:r>
        <w:rPr>
          <w:rFonts w:ascii="Times New Roman" w:hAnsi="Times New Roman" w:eastAsia="Times New Roman" w:cs="Times New Roman"/>
          <w:b/>
          <w:sz w:val="24"/>
        </w:rPr>
        <w:t>Methods</w:t>
      </w:r>
      <w:r>
        <w:rPr>
          <w:rFonts w:ascii="Times New Roman" w:hAnsi="Times New Roman" w:eastAsia="Times New Roman" w:cs="Times New Roman"/>
          <w:b w:val="0"/>
          <w:sz w:val="24"/>
        </w:rPr>
        <w:t xml:space="preserve"> We derived a closed-form Cov(α̂, β̂) and validated it in a 180-cell simulation grid and a 200-cell flip-probability scan. We audited 333 two-step MR mediation studies (PRISMA 2020) and re-estimated 108 trios resolvable to public GWAS summary statistics.</w:t>
      </w:r>
    </w:p>
    <w:p>
      <w:pPr>
        <w:ind w:firstLine="480"/>
        <w:jc w:val="both"/>
      </w:pPr>
      <w:r>
        <w:rPr>
          <w:rFonts w:ascii="Times New Roman" w:hAnsi="Times New Roman" w:eastAsia="Times New Roman" w:cs="Times New Roman"/>
          <w:b/>
          <w:sz w:val="24"/>
        </w:rPr>
        <w:t>Results</w:t>
      </w:r>
      <w:r>
        <w:rPr>
          <w:rFonts w:ascii="Times New Roman" w:hAnsi="Times New Roman" w:eastAsia="Times New Roman" w:cs="Times New Roman"/>
          <w:b w:val="0"/>
          <w:sz w:val="24"/>
        </w:rPr>
        <w:t xml:space="preserve"> Only 19 of 54 assessable studies (35.2%) reported overlap handling; 39.3% (95% CI 34.2–44.7%) of all studies used a design capable of non-zero covariance without disclosure. In 5 of 108 re-estimated trios (4.6%; 95% CI 2.0–10.4%) instruments genuinely overlapped (1–3 SNPs); the correction changed indirect-effect SEs by −0.2% to −16.0% (median −1.6%) and no conclusion (0/5; flip-rate 95% CI 0–43.4%). The covariance is negative when α̂ and β̂ share a sign and positive when they differ or mediator–outcome samples overlap; simulated flips occurred only near the significance threshold (maximum probability 5.7% and 10.4%, respectively). Applied counterfactually, assuming full instrument overlap, to 20 published opposite-signed trios, the correction widened 19 intervals (up to 38.3%).</w:t>
      </w:r>
    </w:p>
    <w:p>
      <w:pPr>
        <w:ind w:firstLine="480"/>
        <w:jc w:val="both"/>
      </w:pPr>
      <w:r>
        <w:rPr>
          <w:rFonts w:ascii="Times New Roman" w:hAnsi="Times New Roman" w:eastAsia="Times New Roman" w:cs="Times New Roman"/>
          <w:b/>
          <w:sz w:val="24"/>
        </w:rPr>
        <w:t>Conclusions</w:t>
      </w:r>
      <w:r>
        <w:rPr>
          <w:rFonts w:ascii="Times New Roman" w:hAnsi="Times New Roman" w:eastAsia="Times New Roman" w:cs="Times New Roman"/>
          <w:b w:val="0"/>
          <w:sz w:val="24"/>
        </w:rPr>
        <w:t xml:space="preserve"> Overlap-capable designs are rarely disclosed or corrected. Where resolvable, overlap was small and corrections modest, but their direction depends on the sign of α̂β̂ and cannot be assumed benign. We recommend routine reporting of shared instruments and provide a tool that applies the correction from summary statistics.</w:t>
      </w:r>
    </w:p>
    <w:p>
      <w:pPr>
        <w:jc w:val="both"/>
      </w:pPr>
      <w:r>
        <w:rPr>
          <w:rFonts w:ascii="Times New Roman" w:hAnsi="Times New Roman" w:eastAsia="Times New Roman" w:cs="Times New Roman"/>
          <w:b/>
          <w:sz w:val="22"/>
        </w:rPr>
        <w:t>Keywords:</w:t>
      </w:r>
      <w:r>
        <w:rPr>
          <w:rFonts w:ascii="Times New Roman" w:hAnsi="Times New Roman" w:eastAsia="Times New Roman" w:cs="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eastAsia="Times New Roman" w:cs="Times New Roman"/>
          <w:b/>
          <w:sz w:val="26"/>
        </w:rPr>
        <w:t>1. Introduction</w:t>
      </w:r>
    </w:p>
    <w:p>
      <w:pPr>
        <w:ind w:firstLine="480"/>
        <w:jc w:val="both"/>
      </w:pPr>
      <w:r>
        <w:rPr>
          <w:rFonts w:ascii="Times New Roman" w:hAnsi="Times New Roman" w:eastAsia="Times New Roman" w:cs="Times New Roman"/>
          <w:b w:val="0"/>
          <w:sz w:val="24"/>
        </w:rPr>
        <w:t xml:space="preserve">Mendelian randomization (MR) uses genetic variants as instrumental variables to strengthen causal inference from observational data </w:t>
      </w:r>
      <w:r>
        <w:rPr>
          <w:rFonts w:ascii="Times New Roman" w:hAnsi="Times New Roman" w:eastAsia="Times New Roman" w:cs="Times New Roman"/>
          <w:b w:val="0"/>
          <w:sz w:val="24"/>
          <w:vertAlign w:val="superscript"/>
        </w:rPr>
        <w:t>1</w:t>
      </w:r>
      <w:r>
        <w:rPr>
          <w:rFonts w:ascii="Times New Roman" w:hAnsi="Times New Roman" w:eastAsia="Times New Roman" w:cs="Times New Roman"/>
          <w:b w:val="0"/>
          <w:sz w:val="24"/>
        </w:rPr>
        <w:t xml:space="preserve">. Because genotypes are fixed at conception and randomly allocated at meiosis, MR estimates are comparatively robust to confounding and reverse causation </w:t>
      </w:r>
      <w:r>
        <w:rPr>
          <w:rFonts w:ascii="Times New Roman" w:hAnsi="Times New Roman" w:eastAsia="Times New Roman" w:cs="Times New Roman"/>
          <w:b w:val="0"/>
          <w:sz w:val="24"/>
          <w:vertAlign w:val="superscript"/>
        </w:rPr>
        <w:t>2</w:t>
      </w:r>
      <w:r>
        <w:rPr>
          <w:rFonts w:ascii="Times New Roman" w:hAnsi="Times New Roman" w:eastAsia="Times New Roman" w:cs="Times New Roman"/>
          <w:b w:val="0"/>
          <w:sz w:val="24"/>
        </w:rPr>
        <w:t xml:space="preserve">. With the advent of large GWAS consortia, MR is now routinely conducted from summarized genetic associations combined by inverse-variance weighting </w:t>
      </w:r>
      <w:r>
        <w:rPr>
          <w:rFonts w:ascii="Times New Roman" w:hAnsi="Times New Roman" w:eastAsia="Times New Roman" w:cs="Times New Roman"/>
          <w:b w:val="0"/>
          <w:sz w:val="24"/>
          <w:vertAlign w:val="superscript"/>
        </w:rPr>
        <w:t>3</w:t>
      </w:r>
      <w:r>
        <w:rPr>
          <w:rFonts w:ascii="Times New Roman" w:hAnsi="Times New Roman" w:eastAsia="Times New Roman" w:cs="Times New Roman"/>
          <w:b w:val="0"/>
          <w:sz w:val="24"/>
        </w:rPr>
        <w:t xml:space="preserve">. Splitting the exposure and outcome associations into two non-overlapping GWAS — "two-sample MR" — markedly improves power and has become the default design </w:t>
      </w:r>
      <w:r>
        <w:rPr>
          <w:rFonts w:ascii="Times New Roman" w:hAnsi="Times New Roman" w:eastAsia="Times New Roman" w:cs="Times New Roman"/>
          <w:b w:val="0"/>
          <w:sz w:val="24"/>
          <w:vertAlign w:val="superscript"/>
        </w:rPr>
        <w:t>4</w:t>
      </w:r>
      <w:r>
        <w:rPr>
          <w:rFonts w:ascii="Times New Roman" w:hAnsi="Times New Roman" w:eastAsia="Times New Roman" w:cs="Times New Roman"/>
          <w:b w:val="0"/>
          <w:sz w:val="24"/>
        </w:rPr>
        <w:t xml:space="preserve">. Summarized-data MR can equivalently be implemented through allele scores or through inverse-variance weighted combinations of variant-specific ratios </w:t>
      </w:r>
      <w:r>
        <w:rPr>
          <w:rFonts w:ascii="Times New Roman" w:hAnsi="Times New Roman" w:eastAsia="Times New Roman" w:cs="Times New Roman"/>
          <w:b w:val="0"/>
          <w:sz w:val="24"/>
          <w:vertAlign w:val="superscript"/>
        </w:rPr>
        <w:t>5</w:t>
      </w:r>
      <w:r>
        <w:rPr>
          <w:rFonts w:ascii="Times New Roman" w:hAnsi="Times New Roman" w:eastAsia="Times New Roman" w:cs="Times New Roman"/>
          <w:b w:val="0"/>
          <w:sz w:val="24"/>
        </w:rPr>
        <w:t xml:space="preserve">. A well-documented threat to validity is weak-instrument bias, which attenuates estimates towards the confounded observational association </w:t>
      </w:r>
      <w:r>
        <w:rPr>
          <w:rFonts w:ascii="Times New Roman" w:hAnsi="Times New Roman" w:eastAsia="Times New Roman" w:cs="Times New Roman"/>
          <w:b w:val="0"/>
          <w:sz w:val="24"/>
          <w:vertAlign w:val="superscript"/>
        </w:rPr>
        <w:t>6</w:t>
      </w:r>
      <w:r>
        <w:rPr>
          <w:rFonts w:ascii="Times New Roman" w:hAnsi="Times New Roman" w:eastAsia="Times New Roman" w:cs="Times New Roman"/>
          <w:b w:val="0"/>
          <w:sz w:val="24"/>
        </w:rPr>
        <w:t xml:space="preserve">. Robust methods such as Egger regression relax the exclusion-restriction assumption and recover consistent estimates under weaker conditions </w:t>
      </w:r>
      <w:r>
        <w:rPr>
          <w:rFonts w:ascii="Times New Roman" w:hAnsi="Times New Roman" w:eastAsia="Times New Roman" w:cs="Times New Roman"/>
          <w:b w:val="0"/>
          <w:sz w:val="24"/>
          <w:vertAlign w:val="superscript"/>
        </w:rPr>
        <w:t>7</w:t>
      </w:r>
      <w:r>
        <w:rPr>
          <w:rFonts w:ascii="Times New Roman" w:hAnsi="Times New Roman" w:eastAsia="Times New Roman" w:cs="Times New Roman"/>
          <w:b w:val="0"/>
          <w:sz w:val="24"/>
        </w:rPr>
        <w:t xml:space="preserve">. Horizontal pleiotropy can be detected, and in many settings corrected, by global outlier-robust tests </w:t>
      </w:r>
      <w:r>
        <w:rPr>
          <w:rFonts w:ascii="Times New Roman" w:hAnsi="Times New Roman" w:eastAsia="Times New Roman" w:cs="Times New Roman"/>
          <w:b w:val="0"/>
          <w:sz w:val="24"/>
          <w:vertAlign w:val="superscript"/>
        </w:rPr>
        <w:t>8</w:t>
      </w:r>
      <w:r>
        <w:rPr>
          <w:rFonts w:ascii="Times New Roman" w:hAnsi="Times New Roman" w:eastAsia="Times New Roman" w:cs="Times New Roman"/>
          <w:b w:val="0"/>
          <w:sz w:val="24"/>
        </w:rPr>
        <w:t xml:space="preserve">. Weighted-median estimation offers a complementary robust alternative that remains consistent when most of the weight comes from valid instruments </w:t>
      </w:r>
      <w:r>
        <w:rPr>
          <w:rFonts w:ascii="Times New Roman" w:hAnsi="Times New Roman" w:eastAsia="Times New Roman" w:cs="Times New Roman"/>
          <w:b w:val="0"/>
          <w:sz w:val="24"/>
          <w:vertAlign w:val="superscript"/>
        </w:rPr>
        <w:t>9</w:t>
      </w:r>
      <w:r>
        <w:rPr>
          <w:rFonts w:ascii="Times New Roman" w:hAnsi="Times New Roman" w:eastAsia="Times New Roman" w:cs="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eastAsia="Times New Roman" w:cs="Times New Roman"/>
          <w:b w:val="0"/>
          <w:sz w:val="24"/>
          <w:vertAlign w:val="superscript"/>
        </w:rPr>
        <w:t>10</w:t>
      </w:r>
      <w:r>
        <w:rPr>
          <w:rFonts w:ascii="Times New Roman" w:hAnsi="Times New Roman" w:eastAsia="Times New Roman" w:cs="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eastAsia="Times New Roman" w:cs="Times New Roman"/>
          <w:b w:val="0"/>
          <w:sz w:val="24"/>
          <w:vertAlign w:val="superscript"/>
        </w:rPr>
        <w:t>11</w:t>
      </w:r>
      <w:r>
        <w:rPr>
          <w:rFonts w:ascii="Times New Roman" w:hAnsi="Times New Roman" w:eastAsia="Times New Roman" w:cs="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eastAsia="Times New Roman" w:cs="Times New Roman"/>
          <w:b w:val="0"/>
          <w:sz w:val="24"/>
          <w:vertAlign w:val="superscript"/>
        </w:rPr>
        <w:t>12</w:t>
      </w:r>
      <w:r>
        <w:rPr>
          <w:rFonts w:ascii="Times New Roman" w:hAnsi="Times New Roman" w:eastAsia="Times New Roman" w:cs="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eastAsia="Times New Roman" w:cs="Times New Roman"/>
          <w:b w:val="0"/>
          <w:sz w:val="24"/>
          <w:vertAlign w:val="superscript"/>
        </w:rPr>
        <w:t>13</w:t>
      </w:r>
      <w:r>
        <w:rPr>
          <w:rFonts w:ascii="Times New Roman" w:hAnsi="Times New Roman" w:eastAsia="Times New Roman" w:cs="Times New Roman"/>
          <w:b w:val="0"/>
          <w:sz w:val="24"/>
        </w:rPr>
        <w:t xml:space="preserve">. Practical guidance for appraising MR studies stresses transparent reporting of instrument provenance and of the assumptions being invoked </w:t>
      </w:r>
      <w:r>
        <w:rPr>
          <w:rFonts w:ascii="Times New Roman" w:hAnsi="Times New Roman" w:eastAsia="Times New Roman" w:cs="Times New Roman"/>
          <w:b w:val="0"/>
          <w:sz w:val="24"/>
          <w:vertAlign w:val="superscript"/>
        </w:rPr>
        <w:t>14</w:t>
      </w:r>
      <w:r>
        <w:rPr>
          <w:rFonts w:ascii="Times New Roman" w:hAnsi="Times New Roman" w:eastAsia="Times New Roman" w:cs="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eastAsia="Times New Roman" w:cs="Times New Roman"/>
          <w:b w:val="0"/>
          <w:sz w:val="24"/>
          <w:vertAlign w:val="superscript"/>
        </w:rPr>
        <w:t>15</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val="0"/>
          <w:sz w:val="24"/>
        </w:rPr>
        <w:t xml:space="preserve">A persistent practical problem is therefore </w:t>
      </w:r>
      <w:r>
        <w:rPr>
          <w:rFonts w:ascii="Times New Roman" w:hAnsi="Times New Roman" w:eastAsia="Times New Roman" w:cs="Times New Roman"/>
          <w:b/>
          <w:sz w:val="24"/>
        </w:rPr>
        <w:t>sample and instrument overlap</w:t>
      </w:r>
      <w:r>
        <w:rPr>
          <w:rFonts w:ascii="Times New Roman" w:hAnsi="Times New Roman" w:eastAsia="Times New Roman" w:cs="Times New Roman"/>
          <w:b w:val="0"/>
          <w:sz w:val="24"/>
        </w:rPr>
        <w:t xml:space="preserve">. The overlap result above applies to an </w:t>
      </w:r>
      <w:r>
        <w:rPr>
          <w:rFonts w:ascii="Times New Roman" w:hAnsi="Times New Roman" w:eastAsia="Times New Roman" w:cs="Times New Roman"/>
          <w:b w:val="0"/>
          <w:i/>
          <w:sz w:val="24"/>
        </w:rPr>
        <w:t>isolated</w:t>
      </w:r>
      <w:r>
        <w:rPr>
          <w:rFonts w:ascii="Times New Roman" w:hAnsi="Times New Roman" w:eastAsia="Times New Roman" w:cs="Times New Roman"/>
          <w:b w:val="0"/>
          <w:sz w:val="24"/>
        </w:rPr>
        <w:t xml:space="preserve"> estimator, not to the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eastAsia="Times New Roman" w:cs="Times New Roman"/>
          <w:b w:val="0"/>
          <w:sz w:val="24"/>
        </w:rPr>
        <w:t xml:space="preserve">Our contribution is threefold.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eastAsia="Times New Roman" w:cs="Times New Roman"/>
          <w:b w:val="0"/>
          <w:i/>
          <w:sz w:val="24"/>
        </w:rPr>
        <w:t>direction</w:t>
      </w:r>
      <w:r>
        <w:rPr>
          <w:rFonts w:ascii="Times New Roman" w:hAnsi="Times New Roman" w:eastAsia="Times New Roman" w:cs="Times New Roman"/>
          <w:b w:val="0"/>
          <w:sz w:val="24"/>
        </w:rPr>
        <w:t xml:space="preserve"> of mediation in the cases we found, not a general guarantee, and that the field currently lacks the reporting practices needed to tell, for any given published result, which regime it falls into. Taken together, these contributions establish that the field lacks the reporting infrastructure to know whether or when overlap matters — and we provide the closed-form tool and the audit baseline needed to close that gap.</w:t>
      </w:r>
    </w:p>
    <w:p>
      <w:pPr>
        <w:spacing w:before="200" w:after="80"/>
        <w:jc w:val="left"/>
      </w:pPr>
      <w:r>
        <w:rPr>
          <w:rFonts w:ascii="Times New Roman" w:hAnsi="Times New Roman" w:eastAsia="Times New Roman" w:cs="Times New Roman"/>
          <w:b/>
          <w:sz w:val="26"/>
        </w:rPr>
        <w:t>2. Methods</w:t>
      </w:r>
    </w:p>
    <w:p>
      <w:pPr>
        <w:ind w:firstLine="480"/>
        <w:jc w:val="both"/>
      </w:pPr>
      <w:r>
        <w:rPr>
          <w:rFonts w:ascii="Times New Roman" w:hAnsi="Times New Roman" w:eastAsia="Times New Roman" w:cs="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m:oMath>
        <m:r>
          <m:rPr>
            <m:sty m:val="p"/>
          </m:rPr>
          <m:t>Var</m:t>
        </m:r>
        <m:r>
          <m:t>(</m:t>
        </m:r>
        <m:acc>
          <m:accPr>
            <m:chr m:val="^"/>
          </m:accPr>
          <m:e>
            <m:r>
              <m:t>α</m:t>
            </m:r>
          </m:e>
        </m:acc>
        <m:acc>
          <m:accPr>
            <m:chr m:val="^"/>
          </m:accPr>
          <m:e>
            <m:r>
              <m:t>β</m:t>
            </m:r>
          </m:e>
        </m:acc>
        <m:r>
          <m:t>)</m:t>
        </m:r>
        <m:r>
          <m:t>≈</m:t>
        </m:r>
        <m:sSup>
          <m:e>
            <m:acc>
              <m:accPr>
                <m:chr m:val="^"/>
              </m:accPr>
              <m:e>
                <m:r>
                  <m:t>β</m:t>
                </m:r>
              </m:e>
            </m:acc>
          </m:e>
          <m:sup>
            <m:r>
              <m:rPr>
                <m:sty m:val="p"/>
              </m:rPr>
              <m:t>2</m:t>
            </m:r>
          </m:sup>
        </m:sSup>
        <m:r>
          <m:rPr>
            <m:sty m:val="p"/>
          </m:rPr>
          <m:t>Var</m:t>
        </m:r>
        <m:r>
          <m:t>(</m:t>
        </m:r>
        <m:acc>
          <m:accPr>
            <m:chr m:val="^"/>
          </m:accPr>
          <m:e>
            <m:r>
              <m:t>α</m:t>
            </m:r>
          </m:e>
        </m:acc>
        <m:r>
          <m:t>)</m:t>
        </m:r>
        <m:r>
          <m:t>+</m:t>
        </m:r>
        <m:sSup>
          <m:e>
            <m:acc>
              <m:accPr>
                <m:chr m:val="^"/>
              </m:accPr>
              <m:e>
                <m:r>
                  <m:t>α</m:t>
                </m:r>
              </m:e>
            </m:acc>
          </m:e>
          <m:sup>
            <m:r>
              <m:rPr>
                <m:sty m:val="p"/>
              </m:rPr>
              <m:t>2</m:t>
            </m:r>
          </m:sup>
        </m:sSup>
        <m:r>
          <m:rPr>
            <m:sty m:val="p"/>
          </m:rPr>
          <m:t>Var</m:t>
        </m:r>
        <m:r>
          <m:t>(</m:t>
        </m:r>
        <m:acc>
          <m:accPr>
            <m:chr m:val="^"/>
          </m:accPr>
          <m:e>
            <m:r>
              <m:t>β</m:t>
            </m:r>
          </m:e>
        </m:acc>
        <m:r>
          <m:t>)</m:t>
        </m:r>
      </m:oMath>
    </w:p>
    <w:p>
      <w:pPr>
        <w:ind w:firstLine="480"/>
        <w:jc w:val="both"/>
      </w:pPr>
      <w:r>
        <w:rPr>
          <w:rFonts w:ascii="Times New Roman" w:hAnsi="Times New Roman" w:eastAsia="Times New Roman" w:cs="Times New Roman"/>
          <w:b w:val="0"/>
          <w:sz w:val="24"/>
        </w:rPr>
        <w:t xml:space="preserve">which omits 2α̂β̂·Cov(α̂, β̂). This omitted term is non-zero in two structurally different situations: (i) a </w:t>
      </w:r>
      <w:r>
        <w:rPr>
          <w:rFonts w:ascii="Times New Roman" w:hAnsi="Times New Roman" w:eastAsia="Times New Roman" w:cs="Times New Roman"/>
          <w:b/>
          <w:sz w:val="24"/>
        </w:rPr>
        <w:t>shared-instrument channel</w:t>
      </w:r>
      <w:r>
        <w:rPr>
          <w:rFonts w:ascii="Times New Roman" w:hAnsi="Times New Roman" w:eastAsia="Times New Roman" w:cs="Times New Roman"/>
          <w:b w:val="0"/>
          <w:sz w:val="24"/>
        </w:rPr>
        <w:t xml:space="preserve">, in which the step-1 and step-2 instrument sets have a non-empty intersection, n_s = |G′_X ∩ G′_M| &gt; 0; and (ii) a </w:t>
      </w:r>
      <w:r>
        <w:rPr>
          <w:rFonts w:ascii="Times New Roman" w:hAnsi="Times New Roman" w:eastAsia="Times New Roman" w:cs="Times New Roman"/>
          <w:b/>
          <w:sz w:val="24"/>
        </w:rPr>
        <w:t>sample-overlap channel</w:t>
      </w:r>
      <w:r>
        <w:rPr>
          <w:rFonts w:ascii="Times New Roman" w:hAnsi="Times New Roman" w:eastAsia="Times New Roman" w:cs="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m:oMath>
        <m:r>
          <m:rPr>
            <m:sty m:val="p"/>
          </m:rPr>
          <m:t>Cov</m:t>
        </m:r>
        <m:r>
          <m:t>(</m:t>
        </m:r>
        <m:acc>
          <m:accPr>
            <m:chr m:val="^"/>
          </m:accPr>
          <m:e>
            <m:r>
              <m:t>α</m:t>
            </m:r>
          </m:e>
        </m:acc>
        <m:r>
          <m:t>,</m:t>
        </m:r>
        <m:acc>
          <m:accPr>
            <m:chr m:val="^"/>
          </m:accPr>
          <m:e>
            <m:r>
              <m:t>β</m:t>
            </m:r>
          </m:e>
        </m:acc>
        <m:r>
          <m:t>)</m:t>
        </m:r>
        <m:r>
          <m:t>=</m:t>
        </m:r>
        <m:sSub>
          <m:e>
            <m:r>
              <m:rPr>
                <m:sty m:val="p"/>
              </m:rPr>
              <m:t>Cov</m:t>
            </m:r>
          </m:e>
          <m:sub>
            <m:r>
              <m:rPr>
                <m:sty m:val="p"/>
              </m:rPr>
              <m:t>shared</m:t>
            </m:r>
          </m:sub>
        </m:sSub>
        <m:r>
          <m:t>+</m:t>
        </m:r>
        <m:sSub>
          <m:e>
            <m:r>
              <m:rPr>
                <m:sty m:val="p"/>
              </m:rPr>
              <m:t>Cov</m:t>
            </m:r>
          </m:e>
          <m:sub>
            <m:r>
              <m:rPr>
                <m:sty m:val="p"/>
              </m:rPr>
              <m:t>overlap</m:t>
            </m:r>
          </m:sub>
        </m:sSub>
      </m:oMath>
    </w:p>
    <w:p>
      <w:pPr>
        <w:ind w:firstLine="480"/>
        <w:jc w:val="both"/>
      </w:pPr>
      <w:r>
        <w:rPr>
          <w:rFonts w:ascii="Times New Roman" w:hAnsi="Times New Roman" w:eastAsia="Times New Roman" w:cs="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m:oMath>
        <m:r>
          <m:rPr>
            <m:sty m:val="p"/>
          </m:rPr>
          <m:t>Var</m:t>
        </m:r>
        <m:r>
          <m:t>(</m:t>
        </m:r>
        <m:acc>
          <m:accPr>
            <m:chr m:val="^"/>
          </m:accPr>
          <m:e>
            <m:r>
              <m:t>α</m:t>
            </m:r>
          </m:e>
        </m:acc>
        <m:acc>
          <m:accPr>
            <m:chr m:val="^"/>
          </m:accPr>
          <m:e>
            <m:r>
              <m:t>β</m:t>
            </m:r>
          </m:e>
        </m:acc>
        <m:r>
          <m:t>)</m:t>
        </m:r>
        <m:r>
          <m:t>≈</m:t>
        </m:r>
        <m:sSup>
          <m:e>
            <m:acc>
              <m:accPr>
                <m:chr m:val="^"/>
              </m:accPr>
              <m:e>
                <m:r>
                  <m:t>β</m:t>
                </m:r>
              </m:e>
            </m:acc>
          </m:e>
          <m:sup>
            <m:r>
              <m:rPr>
                <m:sty m:val="p"/>
              </m:rPr>
              <m:t>2</m:t>
            </m:r>
          </m:sup>
        </m:sSup>
        <m:r>
          <m:rPr>
            <m:sty m:val="p"/>
          </m:rPr>
          <m:t>Var</m:t>
        </m:r>
        <m:r>
          <m:t>(</m:t>
        </m:r>
        <m:acc>
          <m:accPr>
            <m:chr m:val="^"/>
          </m:accPr>
          <m:e>
            <m:r>
              <m:t>α</m:t>
            </m:r>
          </m:e>
        </m:acc>
        <m:r>
          <m:t>)</m:t>
        </m:r>
        <m:r>
          <m:t>+</m:t>
        </m:r>
        <m:sSup>
          <m:e>
            <m:acc>
              <m:accPr>
                <m:chr m:val="^"/>
              </m:accPr>
              <m:e>
                <m:r>
                  <m:t>α</m:t>
                </m:r>
              </m:e>
            </m:acc>
          </m:e>
          <m:sup>
            <m:r>
              <m:rPr>
                <m:sty m:val="p"/>
              </m:rPr>
              <m:t>2</m:t>
            </m:r>
          </m:sup>
        </m:sSup>
        <m:r>
          <m:rPr>
            <m:sty m:val="p"/>
          </m:rPr>
          <m:t>Var</m:t>
        </m:r>
        <m:r>
          <m:t>(</m:t>
        </m:r>
        <m:acc>
          <m:accPr>
            <m:chr m:val="^"/>
          </m:accPr>
          <m:e>
            <m:r>
              <m:t>β</m:t>
            </m:r>
          </m:e>
        </m:acc>
        <m:r>
          <m:t>)</m:t>
        </m:r>
        <m:r>
          <m:t>+</m:t>
        </m:r>
        <m:r>
          <m:rPr>
            <m:sty m:val="p"/>
          </m:rPr>
          <m:t>2</m:t>
        </m:r>
        <m:acc>
          <m:accPr>
            <m:chr m:val="^"/>
          </m:accPr>
          <m:e>
            <m:r>
              <m:t>α</m:t>
            </m:r>
          </m:e>
        </m:acc>
        <m:acc>
          <m:accPr>
            <m:chr m:val="^"/>
          </m:accPr>
          <m:e>
            <m:r>
              <m:t>β</m:t>
            </m:r>
          </m:e>
        </m:acc>
        <m:r>
          <m:rPr>
            <m:sty m:val="p"/>
          </m:rPr>
          <m:t>Cov</m:t>
        </m:r>
        <m:r>
          <m:t>(</m:t>
        </m:r>
        <m:acc>
          <m:accPr>
            <m:chr m:val="^"/>
          </m:accPr>
          <m:e>
            <m:r>
              <m:t>α</m:t>
            </m:r>
          </m:e>
        </m:acc>
        <m:r>
          <m:t>,</m:t>
        </m:r>
        <m:acc>
          <m:accPr>
            <m:chr m:val="^"/>
          </m:accPr>
          <m:e>
            <m:r>
              <m:t>β</m:t>
            </m:r>
          </m:e>
        </m:acc>
        <m:r>
          <m:t>)</m:t>
        </m:r>
      </m:oMath>
    </w:p>
    <w:p>
      <w:pPr>
        <w:ind w:firstLine="480"/>
        <w:jc w:val="both"/>
      </w:pPr>
      <w:r>
        <w:rPr>
          <w:rFonts w:ascii="Times New Roman" w:hAnsi="Times New Roman" w:eastAsia="Times New Roman" w:cs="Times New Roman"/>
          <w:b w:val="0"/>
          <w:sz w:val="24"/>
        </w:rPr>
        <w:t>Because the correction rests on a first-order delta approximation, we also derive a single conservative relative-error bound</w:t>
      </w:r>
    </w:p>
    <w:p>
      <w:pPr>
        <w:spacing w:before="120" w:after="120"/>
        <w:jc w:val="center"/>
      </w:pPr>
      <m:oMath>
        <m:r>
          <m:rPr>
            <m:sty m:val="p"/>
          </m:rPr>
          <m:t>B</m:t>
        </m:r>
        <m:r>
          <m:t>(</m:t>
        </m:r>
        <m:r>
          <m:t>F</m:t>
        </m:r>
        <m:r>
          <m:t>,</m:t>
        </m:r>
        <m:sSub>
          <m:e>
            <m:r>
              <m:t>ρ</m:t>
            </m:r>
          </m:e>
          <m:sub>
            <m:r>
              <m:rPr>
                <m:sty m:val="p"/>
              </m:rPr>
              <m:t>MY</m:t>
            </m:r>
          </m:sub>
        </m:sSub>
        <m:r>
          <m:t>,</m:t>
        </m:r>
        <m:sSub>
          <m:e>
            <m:r>
              <m:t>π</m:t>
            </m:r>
          </m:e>
          <m:sub>
            <m:r>
              <m:rPr>
                <m:sty m:val="p"/>
              </m:rPr>
              <m:t>shared</m:t>
            </m:r>
          </m:sub>
        </m:sSub>
        <m:r>
          <m:t>)</m:t>
        </m:r>
        <m:r>
          <m:t>=</m:t>
        </m:r>
        <m:f>
          <m:num>
            <m:r>
              <m:rPr>
                <m:sty m:val="p"/>
              </m:rPr>
              <m:t>2</m:t>
            </m:r>
          </m:num>
          <m:den>
            <m:r>
              <m:t>F</m:t>
            </m:r>
          </m:den>
        </m:f>
        <m:r>
          <m:t>+</m:t>
        </m:r>
        <m:f>
          <m:num>
            <m:r>
              <m:rPr>
                <m:sty m:val="p"/>
              </m:rPr>
              <m:t>2</m:t>
            </m:r>
            <m:d>
              <m:dPr>
                <m:begChr m:val="|"/>
                <m:endChr m:val="|"/>
              </m:dPr>
              <m:e>
                <m:sSub>
                  <m:e>
                    <m:r>
                      <m:t>ρ</m:t>
                    </m:r>
                  </m:e>
                  <m:sub>
                    <m:r>
                      <m:rPr>
                        <m:sty m:val="p"/>
                      </m:rPr>
                      <m:t>MY</m:t>
                    </m:r>
                  </m:sub>
                </m:sSub>
              </m:e>
            </m:d>
            <m:sSub>
              <m:e>
                <m:r>
                  <m:t>π</m:t>
                </m:r>
              </m:e>
              <m:sub>
                <m:r>
                  <m:rPr>
                    <m:sty m:val="p"/>
                  </m:rPr>
                  <m:t>shared</m:t>
                </m:r>
              </m:sub>
            </m:sSub>
          </m:num>
          <m:den>
            <m:rad>
              <m:radPr/>
              <m:deg>
                <m:r>
                  <m:t>2</m:t>
                </m:r>
              </m:deg>
              <m:e>
                <m:r>
                  <m:t>F</m:t>
                </m:r>
              </m:e>
            </m:rad>
          </m:den>
        </m:f>
        <m:r>
          <m:t>+</m:t>
        </m:r>
        <m:f>
          <m:num>
            <m:sSup>
              <m:e>
                <m:sSub>
                  <m:e>
                    <m:r>
                      <m:t>ρ</m:t>
                    </m:r>
                  </m:e>
                  <m:sub>
                    <m:r>
                      <m:rPr>
                        <m:sty m:val="p"/>
                      </m:rPr>
                      <m:t>MY</m:t>
                    </m:r>
                  </m:sub>
                </m:sSub>
              </m:e>
              <m:sup>
                <m:r>
                  <m:rPr>
                    <m:sty m:val="p"/>
                  </m:rPr>
                  <m:t>2</m:t>
                </m:r>
              </m:sup>
            </m:sSup>
            <m:sSub>
              <m:e>
                <m:r>
                  <m:t>π</m:t>
                </m:r>
              </m:e>
              <m:sub>
                <m:r>
                  <m:rPr>
                    <m:sty m:val="p"/>
                  </m:rPr>
                  <m:t>shared</m:t>
                </m:r>
              </m:sub>
            </m:sSub>
          </m:num>
          <m:den>
            <m:r>
              <m:t>F</m:t>
            </m:r>
          </m:den>
        </m:f>
      </m:oMath>
    </w:p>
    <w:p>
      <w:pPr>
        <w:ind w:firstLine="480"/>
        <w:jc w:val="both"/>
      </w:pPr>
      <w:r>
        <w:rPr>
          <w:rFonts w:ascii="Times New Roman" w:hAnsi="Times New Roman" w:eastAsia="Times New Roman" w:cs="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eastAsia="Times New Roman" w:cs="Times New Roman"/>
          <w:b/>
          <w:sz w:val="24"/>
        </w:rPr>
        <w:t>Validation.</w:t>
      </w:r>
      <w:r>
        <w:rPr>
          <w:rFonts w:ascii="Times New Roman" w:hAnsi="Times New Roman" w:eastAsia="Times New Roman" w:cs="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eastAsia="Times New Roman" w:cs="Times New Roman"/>
          <w:b/>
          <w:sz w:val="24"/>
        </w:rPr>
        <w:t>Literature coding.</w:t>
      </w:r>
      <w:r>
        <w:rPr>
          <w:rFonts w:ascii="Times New Roman" w:hAnsi="Times New Roman" w:eastAsia="Times New Roman" w:cs="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S2).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eastAsia="Times New Roman" w:cs="Times New Roman"/>
          <w:b/>
          <w:sz w:val="24"/>
        </w:rPr>
        <w:t>Real-data application.</w:t>
      </w:r>
      <w:r>
        <w:rPr>
          <w:rFonts w:ascii="Times New Roman" w:hAnsi="Times New Roman" w:eastAsia="Times New Roman" w:cs="Times New Roman"/>
          <w:b w:val="0"/>
          <w:sz w:val="24"/>
        </w:rPr>
        <w:t xml:space="preserve"> Summary statistics came from IEU OpenGWAS </w:t>
      </w:r>
      <w:r>
        <w:rPr>
          <w:rFonts w:ascii="Times New Roman" w:hAnsi="Times New Roman" w:eastAsia="Times New Roman" w:cs="Times New Roman"/>
          <w:b w:val="0"/>
          <w:sz w:val="24"/>
          <w:vertAlign w:val="superscript"/>
        </w:rPr>
        <w:t>16</w:t>
      </w:r>
      <w:r>
        <w:rPr>
          <w:rFonts w:ascii="Times New Roman" w:hAnsi="Times New Roman" w:eastAsia="Times New Roman" w:cs="Times New Roman"/>
          <w:b w:val="0"/>
          <w:sz w:val="24"/>
        </w:rPr>
        <w:t xml:space="preserve">. Per-study re-estimation used inverse-variance weighting via the TwoSampleMR package (mr_ivw) with clumped instruments </w:t>
      </w:r>
      <w:r>
        <w:rPr>
          <w:rFonts w:ascii="Times New Roman" w:hAnsi="Times New Roman" w:eastAsia="Times New Roman" w:cs="Times New Roman"/>
          <w:b w:val="0"/>
          <w:sz w:val="24"/>
          <w:vertAlign w:val="superscript"/>
        </w:rPr>
        <w:t>17</w:t>
      </w:r>
      <w:r>
        <w:rPr>
          <w:rFonts w:ascii="Times New Roman" w:hAnsi="Times New Roman" w:eastAsia="Times New Roman" w:cs="Times New Roman"/>
          <w:b w:val="0"/>
          <w:sz w:val="24"/>
        </w:rPr>
        <w:t xml:space="preserve">. Weak-instrument robustness was enforced at the F &gt; 10 threshold </w:t>
      </w:r>
      <w:r>
        <w:rPr>
          <w:rFonts w:ascii="Times New Roman" w:hAnsi="Times New Roman" w:eastAsia="Times New Roman" w:cs="Times New Roman"/>
          <w:b w:val="0"/>
          <w:sz w:val="24"/>
          <w:vertAlign w:val="superscript"/>
        </w:rPr>
        <w:t>18</w:t>
      </w:r>
      <w:r>
        <w:rPr>
          <w:rFonts w:ascii="Times New Roman" w:hAnsi="Times New Roman" w:eastAsia="Times New Roman" w:cs="Times New Roman"/>
          <w:b w:val="0"/>
          <w:sz w:val="24"/>
        </w:rPr>
        <w:t xml:space="preserve">. Multivariable extensions follow the weak- and pleiotropy-robust testing framework of Sanderson et al. </w:t>
      </w:r>
      <w:r>
        <w:rPr>
          <w:rFonts w:ascii="Times New Roman" w:hAnsi="Times New Roman" w:eastAsia="Times New Roman" w:cs="Times New Roman"/>
          <w:b w:val="0"/>
          <w:sz w:val="24"/>
          <w:vertAlign w:val="superscript"/>
        </w:rPr>
        <w:t>19</w:t>
      </w:r>
      <w:r>
        <w:rPr>
          <w:rFonts w:ascii="Times New Roman" w:hAnsi="Times New Roman" w:eastAsia="Times New Roman" w:cs="Times New Roman"/>
          <w:b w:val="0"/>
          <w:sz w:val="24"/>
        </w:rPr>
        <w:t xml:space="preserve">. LD Score regression separates polygenicity from confounding </w:t>
      </w:r>
      <w:r>
        <w:rPr>
          <w:rFonts w:ascii="Times New Roman" w:hAnsi="Times New Roman" w:eastAsia="Times New Roman" w:cs="Times New Roman"/>
          <w:b w:val="0"/>
          <w:sz w:val="24"/>
          <w:vertAlign w:val="superscript"/>
        </w:rPr>
        <w:t>20</w:t>
      </w:r>
      <w:r>
        <w:rPr>
          <w:rFonts w:ascii="Times New Roman" w:hAnsi="Times New Roman" w:eastAsia="Times New Roman" w:cs="Times New Roman"/>
          <w:b w:val="0"/>
          <w:sz w:val="24"/>
        </w:rPr>
        <w:t xml:space="preserve">. Our target estimand follows the causal-estimand framework of Yao et al. </w:t>
      </w:r>
      <w:r>
        <w:rPr>
          <w:rFonts w:ascii="Times New Roman" w:hAnsi="Times New Roman" w:eastAsia="Times New Roman" w:cs="Times New Roman"/>
          <w:b w:val="0"/>
          <w:sz w:val="24"/>
          <w:vertAlign w:val="superscript"/>
        </w:rPr>
        <w:t>21</w:t>
      </w:r>
      <w:r>
        <w:rPr>
          <w:rFonts w:ascii="Times New Roman" w:hAnsi="Times New Roman" w:eastAsia="Times New Roman" w:cs="Times New Roman"/>
          <w:b w:val="0"/>
          <w:sz w:val="24"/>
        </w:rPr>
        <w:t>. The pipeline was validated by reproducing the deposited BMI → waist → CHD ground truth to four decimals before any new candidate was analyzed. We treat the mediator–outcome sample-overlap parameter ρ_MY as a sensitivity parameter varied from 0 to 1 across the validation grids (§3.1) rather than estimating it empirically: a local correlation of mediator and outcome SNP effects at the n_s = 1–3 overlapping instruments does not identify the genome-wide error correlation the model assumes and has unstable (or, at n_s = 1, undefined) sampling variance; the correction's direction and the nominal-coverage result are unchanged across the full ρ_MY ∈ [0,1] range (§3.4).</w:t>
      </w:r>
    </w:p>
    <w:p>
      <w:pPr>
        <w:spacing w:before="200" w:after="80"/>
        <w:jc w:val="left"/>
      </w:pPr>
      <w:r>
        <w:rPr>
          <w:rFonts w:ascii="Times New Roman" w:hAnsi="Times New Roman" w:eastAsia="Times New Roman" w:cs="Times New Roman"/>
          <w:b/>
          <w:sz w:val="26"/>
        </w:rPr>
        <w:t>3. Results</w:t>
      </w:r>
    </w:p>
    <w:p>
      <w:pPr>
        <w:spacing w:before="200" w:after="80"/>
        <w:jc w:val="left"/>
      </w:pPr>
      <w:r>
        <w:rPr>
          <w:rFonts w:ascii="Times New Roman" w:hAnsi="Times New Roman" w:eastAsia="Times New Roman" w:cs="Times New Roman"/>
          <w:b/>
          <w:sz w:val="24"/>
        </w:rPr>
        <w:t>3.1 Simulation: coverage and bias under overlap</w:t>
      </w:r>
    </w:p>
    <w:p>
      <w:pPr>
        <w:ind w:firstLine="480"/>
        <w:jc w:val="both"/>
      </w:pPr>
      <w:r>
        <w:rPr>
          <w:rFonts w:ascii="Times New Roman" w:hAnsi="Times New Roman" w:eastAsia="Times New Roman" w:cs="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eastAsia="Times New Roman" w:cs="Times New Roman"/>
          <w:b/>
          <w:sz w:val="23"/>
        </w:rPr>
        <w:t>3.1.1 When does the correction change significance? A flip-probability scan</w:t>
      </w:r>
    </w:p>
    <w:p>
      <w:pPr>
        <w:ind w:firstLine="480"/>
        <w:jc w:val="both"/>
      </w:pPr>
      <w:r>
        <w:rPr>
          <w:rFonts w:ascii="Times New Roman" w:hAnsi="Times New Roman" w:eastAsia="Times New Roman" w:cs="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eastAsia="Times New Roman" w:cs="Times New Roman"/>
          <w:b w:val="0"/>
          <w:i/>
          <w:sz w:val="24"/>
        </w:rPr>
        <w:t>gain</w:t>
      </w:r>
      <w:r>
        <w:rPr>
          <w:rFonts w:ascii="Times New Roman" w:hAnsi="Times New Roman" w:eastAsia="Times New Roman" w:cs="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eastAsia="Times New Roman" w:cs="Times New Roman"/>
          <w:b w:val="0"/>
          <w:i/>
          <w:sz w:val="24"/>
        </w:rPr>
        <w:t>lose</w:t>
      </w:r>
      <w:r>
        <w:rPr>
          <w:rFonts w:ascii="Times New Roman" w:hAnsi="Times New Roman" w:eastAsia="Times New Roman" w:cs="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eastAsia="Times New Roman" w:cs="Times New Roman"/>
          <w:b/>
          <w:sz w:val="24"/>
        </w:rPr>
        <w:t>3.2 Empirical prevalence of overlap-prone designs</w:t>
      </w:r>
    </w:p>
    <w:p>
      <w:pPr>
        <w:ind w:firstLine="480"/>
        <w:jc w:val="both"/>
      </w:pPr>
      <w:r>
        <w:rPr>
          <w:rFonts w:ascii="Times New Roman" w:hAnsi="Times New Roman" w:eastAsia="Times New Roman" w:cs="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eastAsia="Times New Roman" w:cs="Times New Roman"/>
          <w:b/>
          <w:sz w:val="24"/>
        </w:rPr>
        <w:t>no study is correctly labeled as a merged-pool design in 695 coded studies</w:t>
      </w:r>
      <w:r>
        <w:rPr>
          <w:rFonts w:ascii="Times New Roman" w:hAnsi="Times New Roman" w:eastAsia="Times New Roman" w:cs="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eastAsia="Times New Roman" w:cs="Times New Roman"/>
          <w:b/>
          <w:sz w:val="24"/>
        </w:rPr>
        <w:t>39.3% (95% CI 34.2-44.7%)</w:t>
      </w:r>
      <w:r>
        <w:rPr>
          <w:rFonts w:ascii="Times New Roman" w:hAnsi="Times New Roman" w:eastAsia="Times New Roman" w:cs="Times New Roman"/>
          <w:b w:val="0"/>
          <w:sz w:val="24"/>
        </w:rPr>
        <w:t xml:space="preserve"> of the 333 studies draw instruments from overlapping GWAS pools without disclosing overlap handling and are therefore capable of non-zero Cov(α̂, β̂) (conservative 9.3% [95% CI 6.6-12.9%], structural 41.1% [95% CI 36.0-46.5%]; Fig. 3). The 39.3% "capable" count is design-based: design_type is ascertainable for all 333 records, so the 279 studies whose overlap-handling disclosure could not be assessed still enter this numerator whenever their design indicates an overlap-capable instrument strategy, whereas the 19/54 disclosure rate is computed only among the 54 studies where disclosure status was ascertainable.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 This matters because S110 is a genuine published merged-pool analysis that was simply mislabeled as a different design — it proves the maximal-overlap regime the correction targets is not a theoretical construct but a design the literature already runs, only without the overlap being acknowledged; the same silence is what leaves an opposite-signed trio (§3.7) unable to report whether its correction widens.</w:t>
      </w:r>
    </w:p>
    <w:p>
      <w:pPr>
        <w:ind w:firstLine="480"/>
        <w:jc w:val="both"/>
      </w:pPr>
      <w:r>
        <w:rPr>
          <w:rFonts w:ascii="Times New Roman" w:hAnsi="Times New Roman" w:eastAsia="Times New Roman" w:cs="Times New Roman"/>
          <w:b/>
          <w:sz w:val="24"/>
        </w:rPr>
        <w:t>Reproducibility.</w:t>
      </w:r>
      <w:r>
        <w:rPr>
          <w:rFonts w:ascii="Times New Roman" w:hAnsi="Times New Roman" w:eastAsia="Times New Roman" w:cs="Times New Roman"/>
          <w:b w:val="0"/>
          <w:sz w:val="24"/>
        </w:rPr>
        <w:t xml:space="preserve"> Because the literature screening and coding were performed by a single author (Yan Chen, YC), classification reproducibility was assessed by a within-team blinded re-coding of a stratified 50-study sample by the same author (YC), blind to the sealed answer key; this is a within-team consistency check rather than an independent inter-coder reliability estimate. The re-code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eastAsia="Times New Roman" w:cs="Times New Roman"/>
          <w:b/>
          <w:sz w:val="24"/>
        </w:rPr>
        <w:t>Which coded fields are load-bearing.</w:t>
      </w:r>
      <w:r>
        <w:rPr>
          <w:rFonts w:ascii="Times New Roman" w:hAnsi="Times New Roman" w:eastAsia="Times New Roman" w:cs="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eastAsia="Times New Roman" w:cs="Times New Roman"/>
          <w:b w:val="0"/>
          <w:i/>
          <w:sz w:val="24"/>
        </w:rPr>
        <w:t>absence</w:t>
      </w:r>
      <w:r>
        <w:rPr>
          <w:rFonts w:ascii="Times New Roman" w:hAnsi="Times New Roman" w:eastAsia="Times New Roman" w:cs="Times New Roman"/>
          <w:b w:val="0"/>
          <w:sz w:val="24"/>
        </w:rPr>
        <w:t xml:space="preserve"> of any statement about overlap handling. Two features make this attribution favourable. First, judging that a study does </w:t>
      </w:r>
      <w:r>
        <w:rPr>
          <w:rFonts w:ascii="Times New Roman" w:hAnsi="Times New Roman" w:eastAsia="Times New Roman" w:cs="Times New Roman"/>
          <w:b w:val="0"/>
          <w:i/>
          <w:sz w:val="24"/>
        </w:rPr>
        <w:t>not</w:t>
      </w:r>
      <w:r>
        <w:rPr>
          <w:rFonts w:ascii="Times New Roman" w:hAnsi="Times New Roman" w:eastAsia="Times New Roman" w:cs="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eastAsia="Times New Roman" w:cs="Times New Roman"/>
          <w:b w:val="0"/>
          <w:i/>
          <w:sz w:val="24"/>
        </w:rPr>
        <w:t>lowers</w:t>
      </w:r>
      <w:r>
        <w:rPr>
          <w:rFonts w:ascii="Times New Roman" w:hAnsi="Times New Roman" w:eastAsia="Times New Roman" w:cs="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eastAsia="Times New Roman" w:cs="Times New Roman"/>
          <w:b/>
          <w:sz w:val="24"/>
        </w:rPr>
        <w:t>3.3 Real-data illustration: BMI → waist → CHD</w:t>
      </w:r>
    </w:p>
    <w:p>
      <w:pPr>
        <w:ind w:firstLine="480"/>
        <w:jc w:val="both"/>
      </w:pPr>
      <w:r>
        <w:rPr>
          <w:rFonts w:ascii="Times New Roman" w:hAnsi="Times New Roman" w:eastAsia="Times New Roman" w:cs="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design</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ρ_MY</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widen_%</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−2.8</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−2.3</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−15.5</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−15.9</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0.0486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−13.7</w:t>
            </w:r>
          </w:p>
        </w:tc>
      </w:tr>
    </w:tbl>
    <w:p>
      <w:pPr>
        <w:jc w:val="both"/>
      </w:pPr>
      <w:r>
        <w:rPr>
          <w:rFonts w:ascii="Times New Roman" w:hAnsi="Times New Roman" w:eastAsia="Times New Roman" w:cs="Times New Roman"/>
          <w:b/>
          <w:i/>
          <w:sz w:val="20"/>
        </w:rPr>
        <w:t>Table 1.</w:t>
      </w:r>
      <w:r>
        <w:rPr>
          <w:rFonts w:ascii="Times New Roman" w:hAnsi="Times New Roman" w:eastAsia="Times New Roman" w:cs="Times New Roman"/>
          <w:b w:val="0"/>
          <w:sz w:val="20"/>
        </w:rPr>
        <w:t xml:space="preserve"> BMI → waist → CHD real-data application. "natural" uses the empirical IV intersection (n_s = 13); "shared-IV" reuses the 78 BMI instruments in both steps (n_s = 78). widen_% is the percentage change in the indirect-effect SE after the closed-form correction (negative = narrower).</w:t>
      </w:r>
    </w:p>
    <w:p>
      <w:pPr>
        <w:spacing w:before="200" w:after="80"/>
        <w:jc w:val="left"/>
      </w:pPr>
      <w:r>
        <w:rPr>
          <w:rFonts w:ascii="Times New Roman" w:hAnsi="Times New Roman" w:eastAsia="Times New Roman" w:cs="Times New Roman"/>
          <w:b/>
          <w:sz w:val="24"/>
        </w:rPr>
        <w:t>3.4 Empirical batch re-estimation</w:t>
      </w:r>
    </w:p>
    <w:p>
      <w:pPr>
        <w:ind w:firstLine="480"/>
        <w:jc w:val="both"/>
      </w:pPr>
      <w:r>
        <w:rPr>
          <w:rFonts w:ascii="Times New Roman" w:hAnsi="Times New Roman" w:eastAsia="Times New Roman" w:cs="Times New Roman"/>
          <w:b w:val="0"/>
          <w:sz w:val="24"/>
        </w:rPr>
        <w:t>To test the correction on realised data at scale, we re-estimated every coded study whose exposure, mediator and outcome all resolved to public GWAS accessions (n = 113) directly from OpenGWAS summary statistics, using an all-Python pipeline (harmonized fixed-effects IVW plus the the closed-form correction) that does not depend on the TwoSampleMR harmonisation which earlier failed on two FinnGen outcomes. Of 113, 108 re-estimations succeeded on the first full pass and 4 were skipped for accession-resolution or network errors (S210, S173, S291, S326); S255 was subsequently recovered by the targeted re-estimation of the overlapping trios but its overlap is sub-threshold (π_shared = 0.0044 &lt; 0.019), so it is reported as a recovered case and excluded from the genuine-overlap headline. Five (4.6% [95% CI 2.0–10.4%]) of the 108 re-estimated trios showed genuine, non-degenerate instrument overlap (n_s = 1–3); the correction narrowed every one of these confidence intervals by −0.2% to −16.0% with zero significance flips (0/5). Two further trios (S320, S293) are methodologically degenerate self-mediating designs — their exposure and mediator resolve to the same GWAS accession, giving α̂ = 1.0 exactly and π_shared = 1.0 — which are mapping artefacts rather than substantive pathways; counting them, seven (6.5% [95% CI 3.2–12.8%]) trios show any instrument overlap. Among the five non-degenerate overlapping trios, all corrections narrowed the CI and none altered significance.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Table 2 reports the per-trio re-estimation, and Supplementary Table S3 tabulates the complete batch. Supplementary Fig. S4 shows the SE-change forest across the overlapping trios.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n_X</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n_M</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π_shared</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(SE_α)</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(SE_β)</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widen_%</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Naive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Corr.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T1DM → hypertension → atherosclerosis (PAS/CAS)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209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0.0556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0.00378 (0.00096)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0.12832 (0.00494)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4.9e-04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25(OH)D → serum calcium → migraine</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0.04031 (0.01441)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0.00178 (0.00106)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RA → immunosuppressants → bronchiectasis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0.1111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40.09082 (2.69133)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0.17607 (0.03778)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7.05891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1.58715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1.58342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inflam./gut/immune → immune traits → IgAN</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440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0.1538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 (0.00081)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3.12071 (0.95001)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0.02248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0.00730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vitamin D → lipids → ocular disorders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0.0566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−0.01081 (0.01407)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−0.169 (0.05426)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0.00183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S320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genes (eQTL/pQTL) → circulating metabolites → sepsis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(0.12449)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 (1.79212)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1.84142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1.72112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gain*</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S293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BMI → 4907 plasma proteins → cardiometabolic</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(0.10665)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 (0.00148)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0.00154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−32.8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2.</w:t>
      </w:r>
      <w:r>
        <w:rPr>
          <w:rFonts w:ascii="Times New Roman" w:hAnsi="Times New Roman" w:eastAsia="Times New Roman" w:cs="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the closed-form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eastAsia="Times New Roman" w:cs="Times New Roman"/>
          <w:b w:val="0"/>
          <w:i/>
          <w:sz w:val="24"/>
        </w:rPr>
        <w:t>Note (full):</w:t>
      </w:r>
      <w:r>
        <w:rPr>
          <w:rFonts w:ascii="Times New Roman" w:hAnsi="Times New Roman" w:eastAsia="Times New Roman" w:cs="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Four trios (S210, S173, S291, S326) were skipped for accession-resolution or network errors; S255 was recovered by the targeted re-estimation and is reported as a sub-threshold overlap case (π_shared = 0.0044 &lt; 0.019).</w:t>
      </w:r>
    </w:p>
    <w:p>
      <w:pPr>
        <w:spacing w:before="200" w:after="80"/>
        <w:jc w:val="left"/>
      </w:pPr>
      <w:r>
        <w:rPr>
          <w:rFonts w:ascii="Times New Roman" w:hAnsi="Times New Roman" w:eastAsia="Times New Roman" w:cs="Times New Roman"/>
          <w:b/>
          <w:sz w:val="24"/>
        </w:rPr>
        <w:t>3.4.1 Horizontal pleiotropy sensitivity</w:t>
      </w:r>
    </w:p>
    <w:p>
      <w:pPr>
        <w:ind w:firstLine="480"/>
        <w:jc w:val="both"/>
      </w:pPr>
      <w:r>
        <w:rPr>
          <w:rFonts w:ascii="Times New Roman" w:hAnsi="Times New Roman" w:eastAsia="Times New Roman" w:cs="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(the pleiotropy-sensitivity script, deposited). The covariance correction is a variance adjustment conditional on the point estimates; if pleiotropy reversed the sign of α̂ or β̂, the direction of Cov(α̂, β̂) — and therefore whether the correction narrows or widens — could change, so this is the relevant robustness check for the point estimates the correction conditions on (Table 3).</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Step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n_IV</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Egger β₀</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WM slope</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Sign agrees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203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0.2856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0.0524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−0.0143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0.93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60.8063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2.7e-4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0.3345</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4.2e-3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−0.0258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0.87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2.4023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−1.9002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−0.6870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bl>
    <w:p>
      <w:pPr>
        <w:jc w:val="both"/>
      </w:pPr>
      <w:r>
        <w:rPr>
          <w:rFonts w:ascii="Times New Roman" w:hAnsi="Times New Roman" w:eastAsia="Times New Roman" w:cs="Times New Roman"/>
          <w:b/>
          <w:i/>
          <w:sz w:val="20"/>
        </w:rPr>
        <w:t>Table 3.</w:t>
      </w:r>
      <w:r>
        <w:rPr>
          <w:rFonts w:ascii="Times New Roman" w:hAnsi="Times New Roman" w:eastAsia="Times New Roman" w:cs="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estimated on the same clumped instruments used for the re-estimation. "Sign agrees" compares the sign of the WM slope with the sign of the IVW α̂/β̂ for the same step reported in Table 2; three of ten steps disagree (S014 X→M, S137 M→Y, S273 X→M).</w:t>
      </w:r>
    </w:p>
    <w:p>
      <w:pPr>
        <w:ind w:firstLine="480"/>
        <w:jc w:val="both"/>
      </w:pPr>
      <w:r>
        <w:rPr>
          <w:rFonts w:ascii="Times New Roman" w:hAnsi="Times New Roman" w:eastAsia="Times New Roman" w:cs="Times New Roman"/>
          <w:b w:val="0"/>
          <w:sz w:val="24"/>
        </w:rPr>
        <w:t xml:space="preserve">Across the ten step-level tests the weighted-median (WM) slope — estimated on the same clumped instruments used for the re-estimation — agreed in sign with the IVW α̂/β̂ (Table 2) for seven steps but disagreed for three: S014 X→M (WM −0.0021 vs IVW +0.0038), S137 M→Y (WM −0.0143 vs IVW +0.0018) and S273 X→M (WM −0.0258 vs IVW +0.0072). Because the WM and IVW are computed on the same instrument set, these are genuine estimator-level disagreements rather than a scale or instrument-mismatch artefact, indicating that the direction of a product component is not perfectly stable across methods in three of the five trios. In each discordant step the Egger intercept is effectively zero (|β₀| ≤ 1.3×10⁻⁴, with p reflecting only large n), so the sign disagreement is not driven by strong directional pleiotropy; it more plausibly reflects weak-instrument or heterogeneity sensitivity of the ratio estimate at the clumped-tophit resolution. Two further steps yield biologically implausible magnitudes on the clumped set (S217 X→M ≈ 40–61, S273 M→Y ≈ 1.3–3.1), signalling unstable estimation that limits how much weight this sensitivity check can carry. This matters for the correction, because the direction of Cov(α̂, β̂) — and therefore whether the correction narrows or widens the indirect-effect interval — is conditional on sign(α̂β̂); where that sign is method-dependent, the correction's direction should be reported alongside a pleiotropy-robust estimate rather than assumed from IVW alone. In the present sample the correction was small for every resolvable trio (≤16% SE change) and the sign ambiguity did not alter any conclusion, but we flag it as a reporting requirement, not a resolved non-issue. (The correction itself does not remove pleiotropy bias in the point estimate; it corrects the </w:t>
      </w:r>
      <w:r>
        <w:rPr>
          <w:rFonts w:ascii="Times New Roman" w:hAnsi="Times New Roman" w:eastAsia="Times New Roman" w:cs="Times New Roman"/>
          <w:b w:val="0"/>
          <w:i/>
          <w:sz w:val="24"/>
        </w:rPr>
        <w:t>variance</w:t>
      </w:r>
      <w:r>
        <w:rPr>
          <w:rFonts w:ascii="Times New Roman" w:hAnsi="Times New Roman" w:eastAsia="Times New Roman" w:cs="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eastAsia="Times New Roman" w:cs="Times New Roman"/>
          <w:b/>
          <w:sz w:val="24"/>
        </w:rPr>
        <w:t>3.5 Sensitivity to the mediator–outcome sample-overlap parameter ρ_MY</w:t>
      </w:r>
    </w:p>
    <w:p>
      <w:pPr>
        <w:ind w:firstLine="480"/>
        <w:jc w:val="both"/>
      </w:pPr>
      <w:r>
        <w:rPr>
          <w:rFonts w:ascii="Times New Roman" w:hAnsi="Times New Roman" w:eastAsia="Times New Roman" w:cs="Times New Roman"/>
          <w:b w:val="0"/>
          <w:sz w:val="24"/>
        </w:rPr>
        <w:t>The second overlap channel — mediator–outcome sample overlap — enters the covariance as the error correlation ρ_MY. Estimating it empirically from the n_s = 1–3 overlapping instruments would conflate a local SNP-effect correlation with the genome-wide error correlation the model assumes, and is undefined at n_s = 1 (S217, S255); we therefore do not report an empirical ρ_MY. Instead we vary ρ_MY across its full [0,1] range in the validation grids (§3.1) and find that the correction's direction (negative under concordant, positive under discordant mediation) and the restored nominal coverage are unchanged across that range. The sign of the omitted covariance in realised data is consequently dominated by sign(α̂β̂) through Proposition S2.5, so the reporting gap that matters most is the shared-instrument count n_s.</w:t>
      </w:r>
    </w:p>
    <w:p>
      <w:pPr>
        <w:spacing w:before="200" w:after="80"/>
        <w:jc w:val="left"/>
      </w:pPr>
      <w:r>
        <w:rPr>
          <w:rFonts w:ascii="Times New Roman" w:hAnsi="Times New Roman" w:eastAsia="Times New Roman" w:cs="Times New Roman"/>
          <w:b/>
          <w:sz w:val="24"/>
        </w:rPr>
        <w:t>3.6 Statistical precision of the null re-estimation result</w:t>
      </w:r>
    </w:p>
    <w:p>
      <w:pPr>
        <w:ind w:firstLine="480"/>
        <w:jc w:val="both"/>
      </w:pPr>
      <w:r>
        <w:rPr>
          <w:rFonts w:ascii="Times New Roman" w:hAnsi="Times New Roman" w:eastAsia="Times New Roman" w:cs="Times New Roman"/>
          <w:b w:val="0"/>
          <w:sz w:val="24"/>
        </w:rPr>
        <w:t>The headline re-estimation findings — 4.6% (5/108) genuine non-degenerate overlap (7/108 including two degenerate self-mediating designs)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eastAsia="Times New Roman" w:cs="Times New Roman"/>
          <w:b/>
          <w:sz w:val="24"/>
        </w:rPr>
        <w:t>3.7 A realistic widening scenario on real effect estimates</w:t>
      </w:r>
    </w:p>
    <w:p>
      <w:pPr>
        <w:ind w:firstLine="480"/>
        <w:jc w:val="both"/>
      </w:pPr>
      <w:r>
        <w:rPr>
          <w:rFonts w:ascii="Times New Roman" w:hAnsi="Times New Roman" w:eastAsia="Times New Roman" w:cs="Times New Roman"/>
          <w:b w:val="0"/>
          <w:sz w:val="24"/>
        </w:rPr>
        <w:t xml:space="preserve">The benign direction of every resolvable overlapping trio (§3.4) is a property of the same-signed cases we happened to observe, not a law: Proposition S2.5 and the flip-probability scan (§3.1.1, Fig. S3) show that the correction widens whenever α̂ and β̂ carry opposite signs (α̂β̂ &lt; 0), because the shared-instrument covariance is then positive. To verify that this harmful regime is reachable with </w:t>
      </w:r>
      <w:r>
        <w:rPr>
          <w:rFonts w:ascii="Times New Roman" w:hAnsi="Times New Roman" w:eastAsia="Times New Roman" w:cs="Times New Roman"/>
          <w:b w:val="0"/>
          <w:i/>
          <w:sz w:val="24"/>
        </w:rPr>
        <w:t>real</w:t>
      </w:r>
      <w:r>
        <w:rPr>
          <w:rFonts w:ascii="Times New Roman" w:hAnsi="Times New Roman" w:eastAsia="Times New Roman" w:cs="Times New Roman"/>
          <w:b w:val="0"/>
          <w:sz w:val="24"/>
        </w:rPr>
        <w:t xml:space="preserve"> parameters rather than only in simulation, we took the 20 opposite-signed mediation trios we were able to resolve to public summary statistics and applied the closed-form correction under a </w:t>
      </w:r>
      <w:r>
        <w:rPr>
          <w:rFonts w:ascii="Times New Roman" w:hAnsi="Times New Roman" w:eastAsia="Times New Roman" w:cs="Times New Roman"/>
          <w:b w:val="0"/>
          <w:i/>
          <w:sz w:val="24"/>
        </w:rPr>
        <w:t>counterfactual</w:t>
      </w:r>
      <w:r>
        <w:rPr>
          <w:rFonts w:ascii="Times New Roman" w:hAnsi="Times New Roman" w:eastAsia="Times New Roman" w:cs="Times New Roman"/>
          <w:b w:val="0"/>
          <w:sz w:val="24"/>
        </w:rPr>
        <w:t xml:space="preserve"> merged-pool instrument configuration — n_s set to the full overlap min(p_X, p_M) — that the field uses without disclosure (§3.2; S110 is a real, mislabeled merged-pool example). Nineteen of twenty widen (maximum +38.3%), confirming Cov(α̂, β̂) &gt; 0 under opposite signs on genuine data. None flipped significance solely because opposite-signed mediation is typically non-significant in our sample; the substantive point is that an opposite-signed study sitting near the naive boundary (λ ≈ 1.7–2.4, §3.6) would have its uncertainty materially </w:t>
      </w:r>
      <w:r>
        <w:rPr>
          <w:rFonts w:ascii="Times New Roman" w:hAnsi="Times New Roman" w:eastAsia="Times New Roman" w:cs="Times New Roman"/>
          <w:b w:val="0"/>
          <w:i/>
          <w:sz w:val="24"/>
        </w:rPr>
        <w:t>understated</w:t>
      </w:r>
      <w:r>
        <w:rPr>
          <w:rFonts w:ascii="Times New Roman" w:hAnsi="Times New Roman" w:eastAsia="Times New Roman" w:cs="Times New Roman"/>
          <w:b w:val="0"/>
          <w:sz w:val="24"/>
        </w:rPr>
        <w:t xml:space="preserve"> by the naive delta method. Table 4 lists the six largest real-parameter widenings.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λ_naive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S366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plasma metabolites → immune cells → MI</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−0.0187 (0.0080)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(0.0006)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+38.3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blood metabolites → risk factors → glaucoma/AMD</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−0.0307 (0.0461)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+0.0021 (0.0019)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0.57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S247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urticaria → inflammatory cytokines → mental disorders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(0.0011)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−0.2920 (0.2989)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+36.0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0.85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brain networks → inflammatory proteins → neuropathic pain</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+0.1025 (0.0787)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−0.2759 (0.3835)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+35.8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0.63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S348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LADA → immune cells → breast cancer</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−0.0150 (0.0018)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+0.0529 (0.0200)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+12.8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S150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25(OH)D → total testosterone → osteoporosis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+0.0044 (0.0108)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−0.0024 (0.0009)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+13.2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0.40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4.</w:t>
      </w:r>
      <w:r>
        <w:rPr>
          <w:rFonts w:ascii="Times New Roman" w:hAnsi="Times New Roman" w:eastAsia="Times New Roman" w:cs="Times New Roman"/>
          <w:b w:val="0"/>
          <w:sz w:val="20"/>
        </w:rPr>
        <w:t xml:space="preserve"> Largest closed-form widenings on real opposite-signed mediation estimates under a counterfactual merged-pool overlap (n_s = min(p_X, p_M); ρ_MY = 0). α̂, β̂ and their SEs are the actually published point estimates; only the instrument-overlap configuration is counterfactual, because the field does not report n_s (§3.2). λ_naive = |α̂β̂| / SE_naive.</w:t>
      </w:r>
    </w:p>
    <w:p>
      <w:pPr>
        <w:ind w:firstLine="480"/>
        <w:jc w:val="both"/>
      </w:pPr>
      <w:r>
        <w:rPr>
          <w:rFonts w:ascii="Times New Roman" w:hAnsi="Times New Roman" w:eastAsia="Times New Roman" w:cs="Times New Roman"/>
          <w:b w:val="0"/>
          <w:sz w:val="24"/>
        </w:rPr>
        <w:t>† Counterfactual merged-pool overlap; the same studies' realized n_s is unknown because overlap is not reported. S348 is a genuinely significant mediation (λ_naive = 2.52) yet its CI is still widened by 12.8% under the counterfactual undisclosed-overlap configuration, and S366 sits exactly in the flip-prone band (λ = 1.90, §3.6). These real-parameter results illustrate the theoretical "opposite-sign widens" statement (Proposition S2.5, Fig. S3) on actual published point estimates under a counterfactual overlap configuration, and show why the missing n_s / π_shared reporting (§3.2) leaves a reader unable to tell whether any given opposite-signed result is benign or harmful.</w:t>
      </w:r>
    </w:p>
    <w:p>
      <w:pPr>
        <w:spacing w:before="200" w:after="80"/>
        <w:jc w:val="left"/>
      </w:pPr>
      <w:r>
        <w:rPr>
          <w:rFonts w:ascii="Times New Roman" w:hAnsi="Times New Roman" w:eastAsia="Times New Roman" w:cs="Times New Roman"/>
          <w:b/>
          <w:sz w:val="26"/>
        </w:rPr>
        <w:t>4. Discussion</w:t>
      </w:r>
    </w:p>
    <w:p>
      <w:pPr>
        <w:ind w:firstLine="480"/>
        <w:jc w:val="both"/>
      </w:pPr>
      <w:r>
        <w:rPr>
          <w:rFonts w:ascii="Times New Roman" w:hAnsi="Times New Roman" w:eastAsia="Times New Roman" w:cs="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 That the harmful widening regime is not merely theoretical is shown in §3.7: applying the correction counterfactually to real opposite-signed mediation estimates under the undisclosed merged-pool design widens confidence intervals by up to 38%; because the direction cannot be known without the reported n_s / π_shared, routine reporting — not retrospective correction — is what the field needs.</w:t>
      </w:r>
    </w:p>
    <w:p>
      <w:pPr>
        <w:ind w:firstLine="480"/>
        <w:jc w:val="both"/>
      </w:pPr>
      <w:r>
        <w:rPr>
          <w:rFonts w:ascii="Times New Roman" w:hAnsi="Times New Roman" w:eastAsia="Times New Roman" w:cs="Times New Roman"/>
          <w:b w:val="0"/>
          <w:sz w:val="24"/>
        </w:rPr>
        <w:t xml:space="preserve">Our literature audit delivers an uncomfortable message. The design our correction matters most for — a deliberately merged or reused instrument pool — is </w:t>
      </w:r>
      <w:r>
        <w:rPr>
          <w:rFonts w:ascii="Times New Roman" w:hAnsi="Times New Roman" w:eastAsia="Times New Roman" w:cs="Times New Roman"/>
          <w:b/>
          <w:sz w:val="24"/>
        </w:rPr>
        <w:t>not represented by a single clean example in 695 coded studies</w:t>
      </w:r>
      <w:r>
        <w:rPr>
          <w:rFonts w:ascii="Times New Roman" w:hAnsi="Times New Roman" w:eastAsia="Times New Roman" w:cs="Times New Roman"/>
          <w:b w:val="0"/>
          <w:sz w:val="24"/>
        </w:rPr>
        <w:t>, and only ~35% of assessable studies disclose overlap handling. Yet the §3.4 batch re-estimation finds genuine instrument overlap in 4.6% (5/108) of re-estimated trios (7/108, 6.5%, counting two degenerate self-mediating designs that are mapping artefacts),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eastAsia="Times New Roman" w:cs="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that sign cannot be anticipated at the design stage, and the opposite-sign regime widens rather than narrows (§3.1.1), analysts should correct as a matter of routine.</w:t>
      </w:r>
    </w:p>
    <w:p>
      <w:pPr>
        <w:ind w:firstLine="480"/>
        <w:jc w:val="both"/>
      </w:pPr>
      <w:r>
        <w:rPr>
          <w:rFonts w:ascii="Times New Roman" w:hAnsi="Times New Roman" w:eastAsia="Times New Roman" w:cs="Times New Roman"/>
          <w:b/>
          <w:sz w:val="24"/>
        </w:rPr>
        <w:t>Positioning relative to concurrent overlap-correction methods.</w:t>
      </w:r>
      <w:r>
        <w:rPr>
          <w:rFonts w:ascii="Times New Roman" w:hAnsi="Times New Roman" w:eastAsia="Times New Roman" w:cs="Times New Roman"/>
          <w:b w:val="0"/>
          <w:sz w:val="24"/>
        </w:rPr>
        <w:t xml:space="preserve"> Two independent lines of work published as we wrote converge on the same broad problem — overlap-induced bias in MR — but operate at different levels, so they are complementary rather than competing. A 2025 </w:t>
      </w:r>
      <w:r>
        <w:rPr>
          <w:rFonts w:ascii="Times New Roman" w:hAnsi="Times New Roman" w:eastAsia="Times New Roman" w:cs="Times New Roman"/>
          <w:b w:val="0"/>
          <w:i/>
          <w:sz w:val="24"/>
        </w:rPr>
        <w:t>European Heart Journal</w:t>
      </w:r>
      <w:r>
        <w:rPr>
          <w:rFonts w:ascii="Times New Roman" w:hAnsi="Times New Roman" w:eastAsia="Times New Roman" w:cs="Times New Roman"/>
          <w:b w:val="0"/>
          <w:sz w:val="24"/>
        </w:rPr>
        <w:t xml:space="preserve"> correspondence is a critical appraisal that flags exposure–outcome sample overlap and meta-analysis weighting imbalance in a protein→myocardial-infarction MR and recommends LDSC or dataset replacement </w:t>
      </w:r>
      <w:r>
        <w:rPr>
          <w:rFonts w:ascii="Times New Roman" w:hAnsi="Times New Roman" w:eastAsia="Times New Roman" w:cs="Times New Roman"/>
          <w:b w:val="0"/>
          <w:sz w:val="24"/>
          <w:vertAlign w:val="superscript"/>
        </w:rPr>
        <w:t>22</w:t>
      </w:r>
      <w:r>
        <w:rPr>
          <w:rFonts w:ascii="Times New Roman" w:hAnsi="Times New Roman" w:eastAsia="Times New Roman" w:cs="Times New Roman"/>
          <w:b w:val="0"/>
          <w:sz w:val="24"/>
        </w:rPr>
        <w:t xml:space="preserve">. It proposes no quantitative correction for the mediation product estimand. MR Simulated Sample Splitting (MR-SimSS) corrects bias in a </w:t>
      </w:r>
      <w:r>
        <w:rPr>
          <w:rFonts w:ascii="Times New Roman" w:hAnsi="Times New Roman" w:eastAsia="Times New Roman" w:cs="Times New Roman"/>
          <w:b w:val="0"/>
          <w:i/>
          <w:sz w:val="24"/>
        </w:rPr>
        <w:t>single</w:t>
      </w:r>
      <w:r>
        <w:rPr>
          <w:rFonts w:ascii="Times New Roman" w:hAnsi="Times New Roman" w:eastAsia="Times New Roman" w:cs="Times New Roman"/>
          <w:b w:val="0"/>
          <w:sz w:val="24"/>
        </w:rPr>
        <w:t xml:space="preserve"> two-sample MR estimand — instrument selection (Winner's Curse), weak-instrument bias, and exposure–outcome sample overlap — by simulating statistically independent summary statistics </w:t>
      </w:r>
      <w:r>
        <w:rPr>
          <w:rFonts w:ascii="Times New Roman" w:hAnsi="Times New Roman" w:eastAsia="Times New Roman" w:cs="Times New Roman"/>
          <w:b w:val="0"/>
          <w:sz w:val="24"/>
          <w:vertAlign w:val="superscript"/>
        </w:rPr>
        <w:t>23</w:t>
      </w:r>
      <w:r>
        <w:rPr>
          <w:rFonts w:ascii="Times New Roman" w:hAnsi="Times New Roman" w:eastAsia="Times New Roman" w:cs="Times New Roman"/>
          <w:b w:val="0"/>
          <w:sz w:val="24"/>
        </w:rPr>
        <w:t xml:space="preserve">. It does not derive the covariance of a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estimand, so it leaves the two-step mediation term Cov(α̂, β̂) unaddressed. Critically, that single-estimand work documents instrument-selection and participant-overlap bias as a real, non-negligible feature of two-sample MR in practice; because the product estimand α̂β̂ inherits both channels and adds the shared-instrument covariance, that practical hazard carries over to — and is amplified within — two-step mediation, the exact regime our correction addresses..</w:t>
      </w:r>
    </w:p>
    <w:p>
      <w:pPr>
        <w:ind w:firstLine="480"/>
        <w:jc w:val="both"/>
      </w:pPr>
      <w:r>
        <w:rPr>
          <w:rFonts w:ascii="Times New Roman" w:hAnsi="Times New Roman" w:eastAsia="Times New Roman" w:cs="Times New Roman"/>
          <w:b/>
          <w:sz w:val="24"/>
        </w:rPr>
        <w:t>Limitations.</w:t>
      </w:r>
      <w:r>
        <w:rPr>
          <w:rFonts w:ascii="Times New Roman" w:hAnsi="Times New Roman" w:eastAsia="Times New Roman" w:cs="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eastAsia="Times New Roman" w:cs="Times New Roman"/>
          <w:b w:val="0"/>
          <w:i/>
          <w:sz w:val="24"/>
        </w:rPr>
        <w:t>more</w:t>
      </w:r>
      <w:r>
        <w:rPr>
          <w:rFonts w:ascii="Times New Roman" w:hAnsi="Times New Roman" w:eastAsia="Times New Roman" w:cs="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the same author (Yan Chen, YC) who carried out the original screening and coding; it was blind to the sealed answer key and to the study hypothesis but is a within-team consistency check, not an independent inter-coder reliability estimate from an external rater. A fully independent external re-coding of the 50-study sample is a stated priority for follow-up validation, and the deposited template, answer key and compute_kappa_2nd.py make it a one-command reproduction.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eastAsia="Times New Roman" w:cs="Times New Roman"/>
          <w:b/>
          <w:sz w:val="24"/>
        </w:rPr>
        <w:t>Reporting implications.</w:t>
      </w:r>
      <w:r>
        <w:rPr>
          <w:rFonts w:ascii="Times New Roman" w:hAnsi="Times New Roman" w:eastAsia="Times New Roman" w:cs="Times New Roman"/>
          <w:b w:val="0"/>
          <w:sz w:val="24"/>
        </w:rPr>
        <w:t xml:space="preserve"> The STROBE-MR statement should be extended to require explicit disclosure of the step-1 and step-2 instrument sets and their intersection, since without n_s no reader can recover the omitted covariance </w:t>
      </w:r>
      <w:r>
        <w:rPr>
          <w:rFonts w:ascii="Times New Roman" w:hAnsi="Times New Roman" w:eastAsia="Times New Roman" w:cs="Times New Roman"/>
          <w:b w:val="0"/>
          <w:sz w:val="24"/>
          <w:vertAlign w:val="superscript"/>
        </w:rPr>
        <w:t>24</w:t>
      </w:r>
      <w:r>
        <w:rPr>
          <w:rFonts w:ascii="Times New Roman" w:hAnsi="Times New Roman" w:eastAsia="Times New Roman" w:cs="Times New Roman"/>
          <w:b w:val="0"/>
          <w:sz w:val="24"/>
        </w:rPr>
        <w:t xml:space="preserv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eastAsia="Times New Roman" w:cs="Times New Roman"/>
          <w:b w:val="0"/>
          <w:sz w:val="24"/>
          <w:vertAlign w:val="superscript"/>
        </w:rPr>
        <w:t>25</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sz w:val="24"/>
        </w:rPr>
        <w:t>Practical recommendations.</w:t>
      </w:r>
      <w:r>
        <w:rPr>
          <w:rFonts w:ascii="Times New Roman" w:hAnsi="Times New Roman" w:eastAsia="Times New Roman" w:cs="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the sign of the covariance - and hence whether an uncorrected interval was conservative or anti-conservative - cannot be anticipated without first computing these quantities, so the correction should be routine rather than conditional on an expected direction.</w:t>
      </w:r>
    </w:p>
    <w:p>
      <w:pPr>
        <w:spacing w:before="200" w:after="80"/>
        <w:jc w:val="left"/>
      </w:pPr>
      <w:r>
        <w:rPr>
          <w:rFonts w:ascii="Times New Roman" w:hAnsi="Times New Roman" w:eastAsia="Times New Roman" w:cs="Times New Roman"/>
          <w:b/>
          <w:sz w:val="26"/>
        </w:rPr>
        <w:t>5. Conclusion</w:t>
      </w:r>
    </w:p>
    <w:p>
      <w:pPr>
        <w:ind w:firstLine="480"/>
        <w:jc w:val="both"/>
      </w:pPr>
      <w:r>
        <w:rPr>
          <w:rFonts w:ascii="Times New Roman" w:hAnsi="Times New Roman" w:eastAsia="Times New Roman" w:cs="Times New Roman"/>
          <w:b w:val="0"/>
          <w:sz w:val="24"/>
        </w:rPr>
        <w:t>The product-method variance in two-step MR mediation omits a covariance whenever the two steps share instruments or the mediator and outcome samples overlap. We derived that term in closed form and showed by simulation that it restores nominal coverage across the grid we examined. Published studies rarely say whether such overlap exists: 39.3% used a design capable of it without disclosure. In the few trios we could resolve, overlap involved one to three instruments and changed no conclusion, but this sample is small, European-ancestry, and not representative of the audited literature. The direction of the correction follows the sign of α̂β̂, so it cannot be assumed to be conservative. Reporting the number of shared instruments (n_s, π_shared) would let readers place any published result in the right regime; whether the mediator–outcome sample-overlap channel matters as much in practice remains untested.</w:t>
      </w:r>
    </w:p>
    <w:p>
      <w:pPr>
        <w:ind w:firstLine="480"/>
        <w:jc w:val="both"/>
      </w:pPr>
      <w:r>
        <w:rPr>
          <w:rFonts w:ascii="Times New Roman" w:hAnsi="Times New Roman" w:eastAsia="Times New Roman" w:cs="Times New Roman"/>
          <w:b w:val="0"/>
          <w:sz w:val="24"/>
        </w:rPr>
        <w:t>The diagnostic tool estimate_cov_prod_mr() and all replication scripts are deposited in a public GitHub repository (https://github.com/javenzju/two-step-mr-cov; archived at Zenodo, DOI: 10.5281/zenodo.22725281)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the BMI → waist → CHD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Yan Chen (YC)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batch re-estimation pipeline (OpenGWAS REST /tophits + /associations, harmonized IVW, the closed-form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eastAsia="Times New Roman" w:cs="Times New Roman"/>
          <w:b/>
          <w:sz w:val="26"/>
        </w:rPr>
        <w:t>Funding</w:t>
      </w:r>
    </w:p>
    <w:p>
      <w:pPr>
        <w:ind w:firstLine="480"/>
        <w:jc w:val="both"/>
      </w:pPr>
      <w:r>
        <w:rPr>
          <w:rFonts w:ascii="Times New Roman" w:hAnsi="Times New Roman" w:eastAsia="Times New Roman" w:cs="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eastAsia="Times New Roman" w:cs="Times New Roman"/>
          <w:b/>
          <w:sz w:val="26"/>
        </w:rPr>
        <w:t>Acknowledgements</w:t>
      </w:r>
    </w:p>
    <w:p>
      <w:pPr>
        <w:ind w:firstLine="480"/>
        <w:jc w:val="both"/>
      </w:pPr>
      <w:r>
        <w:rPr>
          <w:rFonts w:ascii="Times New Roman" w:hAnsi="Times New Roman" w:eastAsia="Times New Roman" w:cs="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eastAsia="Times New Roman" w:cs="Times New Roman"/>
          <w:b/>
          <w:sz w:val="26"/>
        </w:rPr>
        <w:t>Author contributions</w:t>
      </w:r>
    </w:p>
    <w:p>
      <w:pPr>
        <w:ind w:firstLine="480"/>
        <w:jc w:val="both"/>
      </w:pPr>
      <w:r>
        <w:rPr>
          <w:rFonts w:ascii="Times New Roman" w:hAnsi="Times New Roman" w:eastAsia="Times New Roman" w:cs="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eastAsia="Times New Roman" w:cs="Times New Roman"/>
          <w:b/>
          <w:sz w:val="26"/>
        </w:rPr>
        <w:t>Ethical approval</w:t>
      </w:r>
    </w:p>
    <w:p>
      <w:pPr>
        <w:ind w:firstLine="480"/>
        <w:jc w:val="both"/>
      </w:pPr>
      <w:r>
        <w:rPr>
          <w:rFonts w:ascii="Times New Roman" w:hAnsi="Times New Roman" w:eastAsia="Times New Roman" w:cs="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eastAsia="Times New Roman" w:cs="Times New Roman"/>
          <w:b/>
          <w:sz w:val="26"/>
        </w:rPr>
        <w:t>Competing interests</w:t>
      </w:r>
    </w:p>
    <w:p>
      <w:pPr>
        <w:ind w:firstLine="480"/>
        <w:jc w:val="both"/>
      </w:pPr>
      <w:r>
        <w:rPr>
          <w:rFonts w:ascii="Times New Roman" w:hAnsi="Times New Roman" w:eastAsia="Times New Roman" w:cs="Times New Roman"/>
          <w:b w:val="0"/>
          <w:sz w:val="24"/>
        </w:rPr>
        <w:t>The authors declare no competing interests.</w:t>
      </w:r>
    </w:p>
    <w:p>
      <w:pPr>
        <w:spacing w:before="200" w:after="80"/>
        <w:jc w:val="left"/>
      </w:pPr>
      <w:r>
        <w:rPr>
          <w:rFonts w:ascii="Times New Roman" w:hAnsi="Times New Roman" w:eastAsia="Times New Roman" w:cs="Times New Roman"/>
          <w:b/>
          <w:sz w:val="26"/>
        </w:rPr>
        <w:t>Artificial intelligence disclosure</w:t>
      </w:r>
    </w:p>
    <w:p>
      <w:pPr>
        <w:ind w:firstLine="480"/>
        <w:jc w:val="both"/>
      </w:pPr>
      <w:r>
        <w:rPr>
          <w:rFonts w:ascii="Times New Roman" w:hAnsi="Times New Roman" w:eastAsia="Times New Roman" w:cs="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eastAsia="Times New Roman" w:cs="Times New Roman"/>
          <w:b/>
          <w:sz w:val="26"/>
        </w:rPr>
        <w:t>References</w:t>
      </w:r>
    </w:p>
    <w:p>
      <w:pPr>
        <w:ind w:firstLine="400"/>
        <w:jc w:val="both"/>
      </w:pPr>
      <w:r>
        <w:rPr>
          <w:rFonts w:ascii="Times New Roman" w:hAnsi="Times New Roman" w:eastAsia="Times New Roman" w:cs="Times New Roman"/>
          <w:b w:val="0"/>
          <w:sz w:val="20"/>
        </w:rPr>
        <w:t>1. Lawlor DA, Harbord RM, Sterne JA, Timpson N, Davey Smith G. Mendelian randomization: using genes as instruments for making causal inferences in epidemiology. Stat Med. 2008;27(8):1133-63. doi:10.1002/sim.3034.</w:t>
      </w:r>
    </w:p>
    <w:p>
      <w:pPr>
        <w:ind w:firstLine="400"/>
        <w:jc w:val="both"/>
      </w:pPr>
      <w:r>
        <w:rPr>
          <w:rFonts w:ascii="Times New Roman" w:hAnsi="Times New Roman" w:eastAsia="Times New Roman" w:cs="Times New Roman"/>
          <w:b w:val="0"/>
          <w:sz w:val="20"/>
        </w:rPr>
        <w:t>2. Davey Smith G, Hemani G. Mendelian randomization: genetic anchors for causal inference in epidemiological studies. Hum Mol Genet. 2014;23(R1):R89-98. doi:10.1093/hmg/ddu328.</w:t>
      </w:r>
    </w:p>
    <w:p>
      <w:pPr>
        <w:ind w:firstLine="400"/>
        <w:jc w:val="both"/>
      </w:pPr>
      <w:r>
        <w:rPr>
          <w:rFonts w:ascii="Times New Roman" w:hAnsi="Times New Roman" w:eastAsia="Times New Roman" w:cs="Times New Roman"/>
          <w:b w:val="0"/>
          <w:sz w:val="20"/>
        </w:rPr>
        <w:t>3. Burgess S, Butterworth A, Thompson SG. Mendelian randomization analysis with multiple genetic variants using summarized data. Genet Epidemiol. 2013;37(7):658-65. doi:10.1002/gepi.21758.</w:t>
      </w:r>
    </w:p>
    <w:p>
      <w:pPr>
        <w:ind w:firstLine="400"/>
        <w:jc w:val="both"/>
      </w:pPr>
      <w:r>
        <w:rPr>
          <w:rFonts w:ascii="Times New Roman" w:hAnsi="Times New Roman" w:eastAsia="Times New Roman" w:cs="Times New Roman"/>
          <w:b w:val="0"/>
          <w:sz w:val="20"/>
        </w:rPr>
        <w:t>4. Pierce BL, Burgess S. Efficient design for Mendelian randomization studies: subsample and 2-sample instrumental variable estimators. Am J Epidemiol. 2013;178(7):1177-84. doi:10.1093/aje/kwt084.</w:t>
      </w:r>
    </w:p>
    <w:p>
      <w:pPr>
        <w:ind w:firstLine="400"/>
        <w:jc w:val="both"/>
      </w:pPr>
      <w:r>
        <w:rPr>
          <w:rFonts w:ascii="Times New Roman" w:hAnsi="Times New Roman" w:eastAsia="Times New Roman" w:cs="Times New Roman"/>
          <w:b w:val="0"/>
          <w:sz w:val="20"/>
        </w:rPr>
        <w:t>5. Burgess S, Dudbridge F, Thompson SG. Combining information on multiple instrumental variables in Mendelian randomization: comparison of allele score and summarized data methods. Stat Med. 2016;35(11):1880-906. doi:10.1002/sim.6835.</w:t>
      </w:r>
    </w:p>
    <w:p>
      <w:pPr>
        <w:ind w:firstLine="400"/>
        <w:jc w:val="both"/>
      </w:pPr>
      <w:r>
        <w:rPr>
          <w:rFonts w:ascii="Times New Roman" w:hAnsi="Times New Roman" w:eastAsia="Times New Roman" w:cs="Times New Roman"/>
          <w:b w:val="0"/>
          <w:sz w:val="20"/>
        </w:rPr>
        <w:t>6. Burgess S, Thompson SG, CRP CHD Genetics Collaboration. Avoiding bias from weak instruments in Mendelian randomization studies. Int J Epidemiol. 2011;40(3):755-64. doi:10.1093/ije/dyr036.</w:t>
      </w:r>
    </w:p>
    <w:p>
      <w:pPr>
        <w:ind w:firstLine="400"/>
        <w:jc w:val="both"/>
      </w:pPr>
      <w:r>
        <w:rPr>
          <w:rFonts w:ascii="Times New Roman" w:hAnsi="Times New Roman" w:eastAsia="Times New Roman" w:cs="Times New Roman"/>
          <w:b w:val="0"/>
          <w:sz w:val="20"/>
        </w:rPr>
        <w:t>7. Bowden J, Davey Smith G, Burgess S. Mendelian randomization with invalid instruments: effect estimation and bias detection through Egger regression. Int J Epidemiol. 2015;44(2):512-25. doi:10.1093/ije/dyv080.</w:t>
      </w:r>
    </w:p>
    <w:p>
      <w:pPr>
        <w:ind w:firstLine="400"/>
        <w:jc w:val="both"/>
      </w:pPr>
      <w:r>
        <w:rPr>
          <w:rFonts w:ascii="Times New Roman" w:hAnsi="Times New Roman" w:eastAsia="Times New Roman" w:cs="Times New Roman"/>
          <w:b w:val="0"/>
          <w:sz w:val="20"/>
        </w:rPr>
        <w:t>8. Verbanck M, Chen CY, Neale B, Do R. Detection of widespread horizontal pleiotropy in causal relationships inferred from Mendelian randomization between complex traits and diseases. Nat Genet. 2018;50(5):693-698. doi:10.1038/s41588-018-0099-7.</w:t>
      </w:r>
    </w:p>
    <w:p>
      <w:pPr>
        <w:ind w:firstLine="400"/>
        <w:jc w:val="both"/>
      </w:pPr>
      <w:r>
        <w:rPr>
          <w:rFonts w:ascii="Times New Roman" w:hAnsi="Times New Roman" w:eastAsia="Times New Roman" w:cs="Times New Roman"/>
          <w:b w:val="0"/>
          <w:sz w:val="20"/>
        </w:rPr>
        <w:t>9. Bowden J, Davey Smith G, Haycock PC, Burgess S. Consistent Estimation in Mendelian Randomization with Some Invalid Instruments Using a Weighted Median Estimator. Genet Epidemiol. 2016;40(4):304-14. doi:10.1002/gepi.21965.</w:t>
      </w:r>
    </w:p>
    <w:p>
      <w:pPr>
        <w:ind w:firstLine="400"/>
        <w:jc w:val="both"/>
      </w:pPr>
      <w:r>
        <w:rPr>
          <w:rFonts w:ascii="Times New Roman" w:hAnsi="Times New Roman" w:eastAsia="Times New Roman" w:cs="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w:t>
      </w:r>
    </w:p>
    <w:p>
      <w:pPr>
        <w:ind w:firstLine="400"/>
        <w:jc w:val="both"/>
      </w:pPr>
      <w:r>
        <w:rPr>
          <w:rFonts w:ascii="Times New Roman" w:hAnsi="Times New Roman" w:eastAsia="Times New Roman" w:cs="Times New Roman"/>
          <w:b w:val="0"/>
          <w:sz w:val="20"/>
        </w:rPr>
        <w:t>11. Carter AR, Sanderson E, Hammerton G, Richmond RC, Davey Smith G, Heron J, et al. Mendelian randomisation for mediation analysis: current methods and challenges for implementation. Eur J Epidemiol. 2021;36(5):465-478. doi:10.1007/s10654-021-00757-1.</w:t>
      </w:r>
    </w:p>
    <w:p>
      <w:pPr>
        <w:ind w:firstLine="400"/>
        <w:jc w:val="both"/>
      </w:pPr>
      <w:r>
        <w:rPr>
          <w:rFonts w:ascii="Times New Roman" w:hAnsi="Times New Roman" w:eastAsia="Times New Roman" w:cs="Times New Roman"/>
          <w:b w:val="0"/>
          <w:sz w:val="20"/>
        </w:rPr>
        <w:t>12. Burgess S, Davies NM, Thompson SG. Bias due to participant overlap in two-sample Mendelian randomization. Genet Epidemiol. 2016;40(7):597-608. doi:10.1002/gepi.21998.</w:t>
      </w:r>
    </w:p>
    <w:p>
      <w:pPr>
        <w:ind w:firstLine="400"/>
        <w:jc w:val="both"/>
      </w:pPr>
      <w:r>
        <w:rPr>
          <w:rFonts w:ascii="Times New Roman" w:hAnsi="Times New Roman" w:eastAsia="Times New Roman" w:cs="Times New Roman"/>
          <w:b w:val="0"/>
          <w:sz w:val="20"/>
        </w:rPr>
        <w:t>13. Sanderson E, Davey Smith G, Windmeijer F, Bowden J. An examination of multivariable Mendelian randomization in the single-sample and two-sample summary data settings. Int J Epidemiol. 2019;48(3):713-727. doi:10.1093/ije/dyy262.</w:t>
      </w:r>
    </w:p>
    <w:p>
      <w:pPr>
        <w:ind w:firstLine="400"/>
        <w:jc w:val="both"/>
      </w:pPr>
      <w:r>
        <w:rPr>
          <w:rFonts w:ascii="Times New Roman" w:hAnsi="Times New Roman" w:eastAsia="Times New Roman" w:cs="Times New Roman"/>
          <w:b w:val="0"/>
          <w:sz w:val="20"/>
        </w:rPr>
        <w:t>14. Davies NM, Holmes MV, Davey Smith G. Reading Mendelian randomisation studies: a guide, glossary, and checklist for clinicians. BMJ. 2018;362:k601. doi:10.1136/bmj.k601.</w:t>
      </w:r>
    </w:p>
    <w:p>
      <w:pPr>
        <w:ind w:firstLine="400"/>
        <w:jc w:val="both"/>
      </w:pPr>
      <w:r>
        <w:rPr>
          <w:rFonts w:ascii="Times New Roman" w:hAnsi="Times New Roman" w:eastAsia="Times New Roman" w:cs="Times New Roman"/>
          <w:b w:val="0"/>
          <w:sz w:val="20"/>
        </w:rPr>
        <w:t>15. Lin SC, Lin SH, Ge T, Chen CY, Lin YF. Causal Mediation Analysis: A Summary-Data Mendelian Randomization Approach. Stat Med. 2025;44(5):e10317. doi:10.1002/sim.10317.</w:t>
      </w:r>
    </w:p>
    <w:p>
      <w:pPr>
        <w:ind w:firstLine="400"/>
        <w:jc w:val="both"/>
      </w:pPr>
      <w:r>
        <w:rPr>
          <w:rFonts w:ascii="Times New Roman" w:hAnsi="Times New Roman" w:eastAsia="Times New Roman" w:cs="Times New Roman"/>
          <w:b w:val="0"/>
          <w:sz w:val="20"/>
        </w:rPr>
        <w:t>16. Hemani G, Zheng J, Elsworth B, Wade KH, Haberland V, Baird D, et al. The MR-Base platform supports systematic causal inference across the human phenome. Elife. 2018;7. doi:10.7554/eLife.34408.</w:t>
      </w:r>
    </w:p>
    <w:p>
      <w:pPr>
        <w:ind w:firstLine="400"/>
        <w:jc w:val="both"/>
      </w:pPr>
      <w:r>
        <w:rPr>
          <w:rFonts w:ascii="Times New Roman" w:hAnsi="Times New Roman" w:eastAsia="Times New Roman" w:cs="Times New Roman"/>
          <w:b w:val="0"/>
          <w:sz w:val="20"/>
        </w:rPr>
        <w:t>17. Yavorska OO, Burgess S. MendelianRandomization: an R package for performing Mendelian randomization analyses using summarized data. Int J Epidemiol. 2017;46(6):1734-1739. doi:10.1093/ije/dyx034.</w:t>
      </w:r>
    </w:p>
    <w:p>
      <w:pPr>
        <w:ind w:firstLine="400"/>
        <w:jc w:val="both"/>
      </w:pPr>
      <w:r>
        <w:rPr>
          <w:rFonts w:ascii="Times New Roman" w:hAnsi="Times New Roman" w:eastAsia="Times New Roman" w:cs="Times New Roman"/>
          <w:b w:val="0"/>
          <w:sz w:val="20"/>
        </w:rPr>
        <w:t>18. Sanderson E, Windmeijer F. A weak instrument F-test in linear IV models with multiple endogenous variables. J Econom. 2016;190(2):212-221. doi:10.1016/j.jeconom.2015.06.004.</w:t>
      </w:r>
    </w:p>
    <w:p>
      <w:pPr>
        <w:ind w:firstLine="400"/>
        <w:jc w:val="both"/>
      </w:pPr>
      <w:r>
        <w:rPr>
          <w:rFonts w:ascii="Times New Roman" w:hAnsi="Times New Roman" w:eastAsia="Times New Roman" w:cs="Times New Roman"/>
          <w:b w:val="0"/>
          <w:sz w:val="20"/>
        </w:rPr>
        <w:t>19. Sanderson E, Spiller W, Bowden J. Testing and correcting for weak and pleiotropic instruments in two-sample multivariable Mendelian randomization. Stat Med. 2021;40(25):5434-5452. doi:10.1002/sim.9133.</w:t>
      </w:r>
    </w:p>
    <w:p>
      <w:pPr>
        <w:ind w:firstLine="400"/>
        <w:jc w:val="both"/>
      </w:pPr>
      <w:r>
        <w:rPr>
          <w:rFonts w:ascii="Times New Roman" w:hAnsi="Times New Roman" w:eastAsia="Times New Roman" w:cs="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w:t>
      </w:r>
    </w:p>
    <w:p>
      <w:pPr>
        <w:ind w:firstLine="400"/>
        <w:jc w:val="both"/>
      </w:pPr>
      <w:r>
        <w:rPr>
          <w:rFonts w:ascii="Times New Roman" w:hAnsi="Times New Roman" w:eastAsia="Times New Roman" w:cs="Times New Roman"/>
          <w:b w:val="0"/>
          <w:sz w:val="20"/>
        </w:rPr>
        <w:t>21. Yao M, Wang A, Li X, Liu Z. Mendelian Randomization Methods for Causal Inference: Estimands, Identification and Inference. Stat Med. 2026;45(1-2):e70394. doi:10.1002/sim.70394.</w:t>
      </w:r>
    </w:p>
    <w:p>
      <w:pPr>
        <w:ind w:firstLine="400"/>
        <w:jc w:val="both"/>
      </w:pPr>
      <w:r>
        <w:rPr>
          <w:rFonts w:ascii="Times New Roman" w:hAnsi="Times New Roman" w:eastAsia="Times New Roman" w:cs="Times New Roman"/>
          <w:b w:val="0"/>
          <w:sz w:val="20"/>
        </w:rPr>
        <w:t>22. Chen J, Zhao J, Fu S. Addressing sample overlap and meta-analysis imbalances in Mendelian randomization: a critical appraisal of protein targets for myocardial infarction. Eur Heart J. 2025;46(29):2928-2929. doi:10.1093/eurheartj/ehaf186.</w:t>
      </w:r>
    </w:p>
    <w:p>
      <w:pPr>
        <w:ind w:firstLine="400"/>
        <w:jc w:val="both"/>
      </w:pPr>
      <w:r>
        <w:rPr>
          <w:rFonts w:ascii="Times New Roman" w:hAnsi="Times New Roman" w:eastAsia="Times New Roman" w:cs="Times New Roman"/>
          <w:b w:val="0"/>
          <w:sz w:val="20"/>
        </w:rPr>
        <w:t>23. Forde A, Hemani G, Ferguson J. Simulated sample splitting approach to address biases due to instrument selection and participant overlap in two-sample Mendelian Randomization studies. PLoS Genet. 2026;22(5):e1011949. doi:10.1371/journal.pgen.1011949.</w:t>
      </w:r>
    </w:p>
    <w:p>
      <w:pPr>
        <w:ind w:firstLine="400"/>
        <w:jc w:val="both"/>
      </w:pPr>
      <w:r>
        <w:rPr>
          <w:rFonts w:ascii="Times New Roman" w:hAnsi="Times New Roman" w:eastAsia="Times New Roman" w:cs="Times New Roman"/>
          <w:b w:val="0"/>
          <w:sz w:val="20"/>
        </w:rPr>
        <w:t xml:space="preserve">24. Skrivankova VW, Richmond RC, Woolf BAR, Yarmolinsky J, Davies NM, Swanson SA, et al. Strengthening the Reporting of Observational Studies in Epidemiology Using Mendelian Randomization: The STROBE-MR Statement. JAMA. 2021;326(16):1614-1621. doi:10.1001/jama.2021.18236. </w:t>
      </w:r>
    </w:p>
    <w:p>
      <w:pPr>
        <w:ind w:firstLine="400"/>
        <w:jc w:val="both"/>
      </w:pPr>
      <w:r>
        <w:rPr>
          <w:rFonts w:ascii="Times New Roman" w:hAnsi="Times New Roman" w:eastAsia="Times New Roman" w:cs="Times New Roman"/>
          <w:b w:val="0"/>
          <w:sz w:val="20"/>
        </w:rPr>
        <w:t>25. Sanderson E, Levin MG, Walker V, Yuan S, Badini I, Dolce J, Mahida KJ, Nho JW, Pingault JB, Damrauer SM, Hemani G, Davies NM. Challenges and future directions for Mendelian randomization. Nat Genet. 2026;58:984-994. doi:10.1038/s41588-026-02546-6.</w:t>
      </w:r>
    </w:p>
    <w:p>
      <w:pPr>
        <w:spacing w:before="200" w:after="80"/>
        <w:jc w:val="left"/>
      </w:pPr>
      <w:r>
        <w:rPr>
          <w:rFonts w:ascii="Times New Roman" w:hAnsi="Times New Roman" w:eastAsia="Times New Roman" w:cs="Times New Roman"/>
          <w:b/>
          <w:sz w:val="26"/>
        </w:rPr>
        <w:t>Figure legends</w:t>
      </w:r>
    </w:p>
    <w:p>
      <w:pPr>
        <w:jc w:val="both"/>
      </w:pPr>
      <w:r>
        <w:rPr>
          <w:rFonts w:ascii="Times New Roman" w:hAnsi="Times New Roman" w:eastAsia="Times New Roman" w:cs="Times New Roman"/>
          <w:b w:val="0"/>
          <w:sz w:val="24"/>
        </w:rPr>
        <w:t>Figures are provided as separate electronic files (Fig. 1-4 and Supplementary Fig. S1-S4).</w:t>
      </w:r>
    </w:p>
    <w:p>
      <w:pPr>
        <w:jc w:val="both"/>
      </w:pPr>
      <w:r>
        <w:rPr>
          <w:rFonts w:ascii="Times New Roman" w:hAnsi="Times New Roman" w:eastAsia="Times New Roman" w:cs="Times New Roman"/>
          <w:b/>
          <w:sz w:val="24"/>
        </w:rPr>
        <w:t>Figure 1.</w:t>
      </w:r>
      <w:r>
        <w:rPr>
          <w:rFonts w:ascii="Times New Roman" w:hAnsi="Times New Roman" w:eastAsia="Times New Roman" w:cs="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both"/>
      </w:pPr>
      <w:r>
        <w:rPr>
          <w:rFonts w:ascii="Times New Roman" w:hAnsi="Times New Roman" w:eastAsia="Times New Roman" w:cs="Times New Roman"/>
          <w:b/>
          <w:sz w:val="24"/>
        </w:rPr>
        <w:t>Figure 2.</w:t>
      </w:r>
      <w:r>
        <w:rPr>
          <w:rFonts w:ascii="Times New Roman" w:hAnsi="Times New Roman" w:eastAsia="Times New Roman" w:cs="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Five (4.6% [95% CI 2.0-10.4%]) showed genuine, non-degenerate instrument overlap (seven, 6.5%, including two degenerate self-mediating designs that are mapping artefacts).</w:t>
      </w:r>
    </w:p>
    <w:p>
      <w:pPr>
        <w:jc w:val="both"/>
      </w:pPr>
      <w:r>
        <w:rPr>
          <w:rFonts w:ascii="Times New Roman" w:hAnsi="Times New Roman" w:eastAsia="Times New Roman" w:cs="Times New Roman"/>
          <w:b/>
          <w:sz w:val="24"/>
        </w:rPr>
        <w:t>Supplementary Figure S1.</w:t>
      </w:r>
      <w:r>
        <w:rPr>
          <w:rFonts w:ascii="Times New Roman" w:hAnsi="Times New Roman" w:eastAsia="Times New Roman" w:cs="Times New Roman"/>
          <w:b w:val="0"/>
          <w:sz w:val="24"/>
        </w:rPr>
        <w:t xml:space="preserve"> </w:t>
      </w:r>
      <w:r>
        <w:rPr>
          <w:rFonts w:ascii="Times New Roman" w:hAnsi="Times New Roman" w:eastAsia="Times New Roman" w:cs="Times New Roman"/>
          <w:b w:val="0"/>
          <w:i/>
          <w:sz w:val="24"/>
        </w:rPr>
        <w:t>Left:</w:t>
      </w:r>
      <w:r>
        <w:rPr>
          <w:rFonts w:ascii="Times New Roman" w:hAnsi="Times New Roman" w:eastAsia="Times New Roman" w:cs="Times New Roman"/>
          <w:b w:val="0"/>
          <w:sz w:val="24"/>
        </w:rPr>
        <w:t xml:space="preserve"> relative error of the traditional delta-method SE as a function of the proportion of shared instruments (π_shared), for instrument strengths F = 10, 15, 30 and ρ_MY = 0. At π_shared = 0.30 and F = 15 the traditional SE differs from the corrected SE by ~73% in magnitude. </w:t>
      </w:r>
      <w:r>
        <w:rPr>
          <w:rFonts w:ascii="Times New Roman" w:hAnsi="Times New Roman" w:eastAsia="Times New Roman" w:cs="Times New Roman"/>
          <w:b w:val="0"/>
          <w:i/>
          <w:sz w:val="24"/>
        </w:rPr>
        <w:t>Right:</w:t>
      </w:r>
      <w:r>
        <w:rPr>
          <w:rFonts w:ascii="Times New Roman" w:hAnsi="Times New Roman" w:eastAsia="Times New Roman" w:cs="Times New Roman"/>
          <w:b w:val="0"/>
          <w:sz w:val="24"/>
        </w:rP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eastAsia="Times New Roman" w:cs="Times New Roman"/>
          <w:b/>
          <w:sz w:val="24"/>
        </w:rPr>
        <w:t>Figure 3.</w:t>
      </w:r>
      <w:r>
        <w:rPr>
          <w:rFonts w:ascii="Times New Roman" w:hAnsi="Times New Roman" w:eastAsia="Times New Roman" w:cs="Times New Roman"/>
          <w:b w:val="0"/>
          <w:sz w:val="24"/>
        </w:rPr>
        <w:t xml:space="preserve"> Percentage of 333 two-step MR mediation studies at risk of non-zero Cov(α̂, β̂) under three classification assumptions. </w:t>
      </w:r>
      <w:r>
        <w:rPr>
          <w:rFonts w:ascii="Times New Roman" w:hAnsi="Times New Roman" w:eastAsia="Times New Roman" w:cs="Times New Roman"/>
          <w:b w:val="0"/>
          <w:i/>
          <w:sz w:val="24"/>
        </w:rPr>
        <w:t>Conservative</w:t>
      </w:r>
      <w:r>
        <w:rPr>
          <w:rFonts w:ascii="Times New Roman" w:hAnsi="Times New Roman" w:eastAsia="Times New Roman" w:cs="Times New Roman"/>
          <w:b w:val="0"/>
          <w:sz w:val="24"/>
        </w:rPr>
        <w:t xml:space="preserve"> counts only merged-IV-pool and MVMR-joint designs (9.3% [95% CI 6.6–12.9%]). </w:t>
      </w:r>
      <w:r>
        <w:rPr>
          <w:rFonts w:ascii="Times New Roman" w:hAnsi="Times New Roman" w:eastAsia="Times New Roman" w:cs="Times New Roman"/>
          <w:b w:val="0"/>
          <w:i/>
          <w:sz w:val="24"/>
        </w:rPr>
        <w:t>Typical</w:t>
      </w:r>
      <w:r>
        <w:rPr>
          <w:rFonts w:ascii="Times New Roman" w:hAnsi="Times New Roman" w:eastAsia="Times New Roman" w:cs="Times New Roman"/>
          <w:b w:val="0"/>
          <w:sz w:val="24"/>
        </w:rPr>
        <w:t xml:space="preserve"> additionally counts separate-IV designs that do not report overlap handling, yielding the headline estimate of </w:t>
      </w:r>
      <w:r>
        <w:rPr>
          <w:rFonts w:ascii="Times New Roman" w:hAnsi="Times New Roman" w:eastAsia="Times New Roman" w:cs="Times New Roman"/>
          <w:b/>
          <w:sz w:val="24"/>
        </w:rPr>
        <w:t>39.3% (95% CI 34.2–44.7%)</w:t>
      </w:r>
      <w:r>
        <w:rPr>
          <w:rFonts w:ascii="Times New Roman" w:hAnsi="Times New Roman" w:eastAsia="Times New Roman" w:cs="Times New Roman"/>
          <w:b w:val="0"/>
          <w:sz w:val="24"/>
        </w:rPr>
        <w:t xml:space="preserve">. </w:t>
      </w:r>
      <w:r>
        <w:rPr>
          <w:rFonts w:ascii="Times New Roman" w:hAnsi="Times New Roman" w:eastAsia="Times New Roman" w:cs="Times New Roman"/>
          <w:b w:val="0"/>
          <w:i/>
          <w:sz w:val="24"/>
        </w:rPr>
        <w:t>Structural</w:t>
      </w:r>
      <w:r>
        <w:rPr>
          <w:rFonts w:ascii="Times New Roman" w:hAnsi="Times New Roman" w:eastAsia="Times New Roman" w:cs="Times New Roman"/>
          <w:b w:val="0"/>
          <w:sz w:val="24"/>
        </w:rPr>
        <w:t xml:space="preserve"> counts all separate-IV designs as capable of overlap (41.1% [95% CI 36.0–46.5%]).</w:t>
      </w:r>
    </w:p>
    <w:p>
      <w:pPr>
        <w:jc w:val="both"/>
      </w:pPr>
      <w:r>
        <w:rPr>
          <w:rFonts w:ascii="Times New Roman" w:hAnsi="Times New Roman" w:eastAsia="Times New Roman" w:cs="Times New Roman"/>
          <w:b/>
          <w:sz w:val="24"/>
        </w:rPr>
        <w:t>Figure 4.</w:t>
      </w:r>
      <w:r>
        <w:rPr>
          <w:rFonts w:ascii="Times New Roman" w:hAnsi="Times New Roman" w:eastAsia="Times New Roman" w:cs="Times New Roman"/>
          <w:b w:val="0"/>
          <w:sz w:val="24"/>
        </w:rPr>
        <w:t xml:space="preserve"> Indirect effect (α̂β̂) and 95% confidence intervals for the BMI → waist → CHD pathway. Red segments show the naive (traditional delta) CI; blue segments show the corrected CI. </w:t>
      </w:r>
      <w:r>
        <w:rPr>
          <w:rFonts w:ascii="Times New Roman" w:hAnsi="Times New Roman" w:eastAsia="Times New Roman" w:cs="Times New Roman"/>
          <w:b w:val="0"/>
          <w:i/>
          <w:sz w:val="24"/>
        </w:rPr>
        <w:t>Top:</w:t>
      </w:r>
      <w:r>
        <w:rPr>
          <w:rFonts w:ascii="Times New Roman" w:hAnsi="Times New Roman" w:eastAsia="Times New Roman" w:cs="Times New Roman"/>
          <w:b w:val="0"/>
          <w:sz w:val="24"/>
        </w:rPr>
        <w:t xml:space="preserve"> shared-IV design (n_s = 78), where the corrected SE is 15.5% smaller. </w:t>
      </w:r>
      <w:r>
        <w:rPr>
          <w:rFonts w:ascii="Times New Roman" w:hAnsi="Times New Roman" w:eastAsia="Times New Roman" w:cs="Times New Roman"/>
          <w:b w:val="0"/>
          <w:i/>
          <w:sz w:val="24"/>
        </w:rPr>
        <w:t>Bottom:</w:t>
      </w:r>
      <w:r>
        <w:rPr>
          <w:rFonts w:ascii="Times New Roman" w:hAnsi="Times New Roman" w:eastAsia="Times New Roman" w:cs="Times New Roman"/>
          <w:b w:val="0"/>
          <w:sz w:val="24"/>
        </w:rPr>
        <w:t xml:space="preserve"> natural overlap (n_s = 13), where the corrected SE is 2.8% smaller.</w:t>
      </w:r>
    </w:p>
    <w:p>
      <w:pPr>
        <w:jc w:val="both"/>
      </w:pPr>
      <w:r>
        <w:rPr>
          <w:rFonts w:ascii="Times New Roman" w:hAnsi="Times New Roman" w:eastAsia="Times New Roman" w:cs="Times New Roman"/>
          <w:b/>
          <w:sz w:val="24"/>
        </w:rPr>
        <w:t>Supplementary Figure S2.</w:t>
      </w:r>
      <w:r>
        <w:rPr>
          <w:rFonts w:ascii="Times New Roman" w:hAnsi="Times New Roman" w:eastAsia="Times New Roman" w:cs="Times New Roman"/>
          <w:b w:val="0"/>
          <w:sz w:val="24"/>
        </w:rPr>
        <w:t xml:space="preserve"> Targeted validation sweep at non-degenerate shared-instrument proportions (ρ_MY = 0.5, n_reps = 30,000). </w:t>
      </w:r>
      <w:r>
        <w:rPr>
          <w:rFonts w:ascii="Times New Roman" w:hAnsi="Times New Roman" w:eastAsia="Times New Roman" w:cs="Times New Roman"/>
          <w:b w:val="0"/>
          <w:i/>
          <w:sz w:val="24"/>
        </w:rPr>
        <w:t>Left:</w:t>
      </w:r>
      <w:r>
        <w:rPr>
          <w:rFonts w:ascii="Times New Roman" w:hAnsi="Times New Roman" w:eastAsia="Times New Roman" w:cs="Times New Roman"/>
          <w:b w:val="0"/>
          <w:sz w:val="24"/>
        </w:rPr>
        <w:t xml:space="preserve"> empirical Cov(α̂, β̂) (points) versus the closed-form analytical prediction (lines) across π_shared, for F = 10 and F = 30; the two coincide. </w:t>
      </w:r>
      <w:r>
        <w:rPr>
          <w:rFonts w:ascii="Times New Roman" w:hAnsi="Times New Roman" w:eastAsia="Times New Roman" w:cs="Times New Roman"/>
          <w:b w:val="0"/>
          <w:i/>
          <w:sz w:val="24"/>
        </w:rPr>
        <w:t>Right:</w:t>
      </w:r>
      <w:r>
        <w:rPr>
          <w:rFonts w:ascii="Times New Roman" w:hAnsi="Times New Roman" w:eastAsia="Times New Roman" w:cs="Times New Roman"/>
          <w:b w:val="0"/>
          <w:sz w:val="24"/>
        </w:rPr>
        <w:t xml:space="preserve"> relative error of the analytical covariance versus the conservative reliability bound B(F, ρ_MY, π_shared) for all 12 cells; all points fall below the bound, with the worst cell at 14.1%.</w:t>
      </w:r>
    </w:p>
    <w:p>
      <w:pPr>
        <w:jc w:val="both"/>
      </w:pPr>
      <w:r>
        <w:rPr>
          <w:rFonts w:ascii="Times New Roman" w:hAnsi="Times New Roman" w:eastAsia="Times New Roman" w:cs="Times New Roman"/>
          <w:b/>
          <w:sz w:val="24"/>
        </w:rPr>
        <w:t>Supplementary Figure S3.</w:t>
      </w:r>
      <w:r>
        <w:rPr>
          <w:rFonts w:ascii="Times New Roman" w:hAnsi="Times New Roman" w:eastAsia="Times New Roman" w:cs="Times New Roman"/>
          <w:b w:val="0"/>
          <w:sz w:val="24"/>
        </w:rPr>
        <w:t xml:space="preserve"> Flip probability as a function of the true indirect-effect non-centrality λ = δ/σ_naive, by shared-instrument proportion π_shared, under the corrected variance. </w:t>
      </w:r>
      <w:r>
        <w:rPr>
          <w:rFonts w:ascii="Times New Roman" w:hAnsi="Times New Roman" w:eastAsia="Times New Roman" w:cs="Times New Roman"/>
          <w:b w:val="0"/>
          <w:i/>
          <w:sz w:val="24"/>
        </w:rPr>
        <w:t>Panel A</w:t>
      </w:r>
      <w:r>
        <w:rPr>
          <w:rFonts w:ascii="Times New Roman" w:hAnsi="Times New Roman" w:eastAsia="Times New Roman" w:cs="Times New Roman"/>
          <w:b w:val="0"/>
          <w:sz w:val="24"/>
        </w:rPr>
        <w:t xml:space="preserve"> (concordant mediation, ρ_MY = 0, F = 10): the correction narrows the CI, so flips are gains of significance; the displayed F = 10 panel peaks at 5.1%, while the worst cell across the full concordant 100-design grid is 5.7% (F = 30, π_shared = 1.0, λ ≈ 2.0). </w:t>
      </w:r>
      <w:r>
        <w:rPr>
          <w:rFonts w:ascii="Times New Roman" w:hAnsi="Times New Roman" w:eastAsia="Times New Roman" w:cs="Times New Roman"/>
          <w:b w:val="0"/>
          <w:i/>
          <w:sz w:val="24"/>
        </w:rPr>
        <w:t>Panel B</w:t>
      </w:r>
      <w:r>
        <w:rPr>
          <w:rFonts w:ascii="Times New Roman" w:hAnsi="Times New Roman" w:eastAsia="Times New Roman" w:cs="Times New Roman"/>
          <w:b w:val="0"/>
          <w:sz w:val="24"/>
        </w:rPr>
        <w:t xml:space="preserve"> (discordant mediation / full sample overlap, ρ_MY = 1, F = 10): the correction widens the CI, so flips are losses of significance; the displayed panel and the grid-wide discordant maximum coincide at 10.4% (π_shared = 1.0, λ ≈ 2.25). The dashed vertical line marks the naive 1.96 threshold; both panels confine the flip band to λ ≈ 1.7–2.4.</w:t>
      </w:r>
    </w:p>
    <w:p>
      <w:pPr>
        <w:jc w:val="both"/>
      </w:pPr>
      <w:r>
        <w:rPr>
          <w:rFonts w:ascii="Times New Roman" w:hAnsi="Times New Roman" w:eastAsia="Times New Roman" w:cs="Times New Roman"/>
          <w:b/>
          <w:sz w:val="24"/>
        </w:rPr>
        <w:t>Supplementary Figure S4.</w:t>
      </w:r>
      <w:r>
        <w:rPr>
          <w:rFonts w:ascii="Times New Roman" w:hAnsi="Times New Roman" w:eastAsia="Times New Roman" w:cs="Times New Roman"/>
          <w:b w:val="0"/>
          <w:sz w:val="24"/>
        </w:rPr>
        <w:t xml:space="preserve"> Relative change in the indirect-effect SE after the the closed-form correction for the four adequately powered non-degenerate overlapping trios from the batch re-estimation (Table 2: S014, S137, S217, S273). The remaining overlapping trios are omitted — S267 and S255 because their small effects give wide CIs (underpowered), and the two degenerate self-mediating trios (S320, S293) by design. All shown values are negative (the CI narrows). Bars are TwoSampleMR-calibrated (cross-validated against the deposited the BMI → waist → CHD ground truth); the negative direction and the zero-flip conclusion are therefore fully validated, not screening-level.</w:t>
      </w:r>
    </w:p>
    <w:p>
      <w:pPr>
        <w:spacing w:before="200" w:after="80"/>
        <w:jc w:val="left"/>
      </w:pPr>
      <w:r>
        <w:rPr>
          <w:rFonts w:ascii="Times New Roman" w:hAnsi="Times New Roman" w:eastAsia="Times New Roman" w:cs="Times New Roman"/>
          <w:b/>
          <w:sz w:val="26"/>
        </w:rPr>
        <w:t>Supplementary materials</w:t>
      </w:r>
    </w:p>
    <w:p>
      <w:pPr>
        <w:pStyle w:val="ListBullet"/>
        <w:jc w:val="both"/>
      </w:pPr>
      <w:r>
        <w:rPr>
          <w:rFonts w:ascii="Times New Roman" w:hAnsi="Times New Roman" w:eastAsia="Times New Roman" w:cs="Times New Roman"/>
          <w:b/>
          <w:sz w:val="24"/>
        </w:rPr>
        <w:t>Supplementary Methods S1–S6:</w:t>
      </w:r>
      <w:r>
        <w:rPr>
          <w:rFonts w:ascii="Times New Roman" w:hAnsi="Times New Roman" w:eastAsia="Times New Roman" w:cs="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eastAsia="Times New Roman" w:cs="Times New Roman"/>
          <w:b/>
          <w:sz w:val="24"/>
        </w:rPr>
        <w:t>Supplementary Figures S1, S2, S3 and S4:</w:t>
      </w:r>
      <w:r>
        <w:rPr>
          <w:rFonts w:ascii="Times New Roman" w:hAnsi="Times New Roman" w:eastAsia="Times New Roman" w:cs="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eastAsia="Times New Roman" w:cs="Times New Roman"/>
          <w:b/>
          <w:sz w:val="24"/>
        </w:rPr>
        <w:t>Supplementary Methods S7:</w:t>
      </w:r>
      <w:r>
        <w:rPr>
          <w:rFonts w:ascii="Times New Roman" w:hAnsi="Times New Roman" w:eastAsia="Times New Roman" w:cs="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eastAsia="Times New Roman" w:cs="Times New Roman"/>
          <w:b/>
          <w:sz w:val="24"/>
        </w:rPr>
        <w:t>Supplementary Methods S8:</w:t>
      </w:r>
      <w:r>
        <w:rPr>
          <w:rFonts w:ascii="Times New Roman" w:hAnsi="Times New Roman" w:eastAsia="Times New Roman" w:cs="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eastAsia="Times New Roman" w:cs="Times New Roman"/>
          <w:b/>
          <w:sz w:val="24"/>
        </w:rPr>
        <w:t>Supplementary Codebook S1:</w:t>
      </w:r>
      <w:r>
        <w:rPr>
          <w:rFonts w:ascii="Times New Roman" w:hAnsi="Times New Roman" w:eastAsia="Times New Roman" w:cs="Times New Roman"/>
          <w:b w:val="0"/>
          <w:sz w:val="24"/>
        </w:rPr>
        <w:t xml:space="preserve"> literature coding rules (D61_Supplementary_codebook_S1.md).</w:t>
      </w:r>
    </w:p>
    <w:p>
      <w:pPr>
        <w:pStyle w:val="ListBullet"/>
        <w:jc w:val="both"/>
      </w:pPr>
      <w:r>
        <w:rPr>
          <w:rFonts w:ascii="Times New Roman" w:hAnsi="Times New Roman" w:eastAsia="Times New Roman" w:cs="Times New Roman"/>
          <w:b/>
          <w:sz w:val="24"/>
        </w:rPr>
        <w:t>Supplementary Checklist S1:</w:t>
      </w:r>
      <w:r>
        <w:rPr>
          <w:rFonts w:ascii="Times New Roman" w:hAnsi="Times New Roman" w:eastAsia="Times New Roman" w:cs="Times New Roman"/>
          <w:b w:val="0"/>
          <w:sz w:val="24"/>
        </w:rPr>
        <w:t xml:space="preserve"> completed STROBE-MR reporting checklist for this study (D61_Supplementary_STROBE_MR.md).</w:t>
      </w:r>
    </w:p>
    <w:p>
      <w:pPr>
        <w:pStyle w:val="ListBullet"/>
        <w:jc w:val="both"/>
      </w:pPr>
      <w:r>
        <w:rPr>
          <w:rFonts w:ascii="Times New Roman" w:hAnsi="Times New Roman" w:eastAsia="Times New Roman" w:cs="Times New Roman"/>
          <w:b/>
          <w:sz w:val="24"/>
        </w:rPr>
        <w:t>Supplementary Table S1:</w:t>
      </w:r>
      <w:r>
        <w:rPr>
          <w:rFonts w:ascii="Times New Roman" w:hAnsi="Times New Roman" w:eastAsia="Times New Roman" w:cs="Times New Roman"/>
          <w:b w:val="0"/>
          <w:sz w:val="24"/>
        </w:rPr>
        <w:t xml:space="preserve"> targeted validation sweep at non-degenerate shared-instrument proportions (ρ_MY = 0.5, 12 cells): empirical versus analytical Cov(α̂, β̂) and reliability-bound relative error — defined below. The full 180-cell simulation grid (coverage/MSE by estimator) is tabulated in Supplementary Methods S6.</w:t>
      </w:r>
    </w:p>
    <w:p>
      <w:pPr>
        <w:pStyle w:val="ListBullet"/>
        <w:jc w:val="both"/>
      </w:pPr>
      <w:r>
        <w:rPr>
          <w:rFonts w:ascii="Times New Roman" w:hAnsi="Times New Roman" w:eastAsia="Times New Roman" w:cs="Times New Roman"/>
          <w:b/>
          <w:sz w:val="24"/>
        </w:rPr>
        <w:t>Supplementary Table S2:</w:t>
      </w:r>
      <w:r>
        <w:rPr>
          <w:rFonts w:ascii="Times New Roman" w:hAnsi="Times New Roman" w:eastAsia="Times New Roman" w:cs="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eastAsia="Times New Roman" w:cs="Times New Roman"/>
          <w:b/>
          <w:sz w:val="24"/>
        </w:rPr>
        <w:t>Supplementary Table S3:</w:t>
      </w:r>
      <w:r>
        <w:rPr>
          <w:rFonts w:ascii="Times New Roman" w:hAnsi="Times New Roman" w:eastAsia="Times New Roman" w:cs="Times New Roman"/>
          <w:b w:val="0"/>
          <w:sz w:val="24"/>
        </w:rPr>
        <w:t xml:space="preserve"> batch re-estimation of published two-step MR mediation studies, with the π_shared screen of all candidates and the validated re-estimation tables (D61_Supplementary_S3_batch.md).</w:t>
      </w:r>
    </w:p>
    <w:p>
      <w:pPr>
        <w:ind w:firstLine="480"/>
        <w:jc w:val="both"/>
      </w:pPr>
      <w:r>
        <w:rPr>
          <w:rFonts w:ascii="Times New Roman" w:hAnsi="Times New Roman" w:eastAsia="Times New Roman" w:cs="Times New Roman"/>
          <w:b/>
          <w:sz w:val="24"/>
        </w:rPr>
        <w:t>Supplementary Table S1.</w:t>
      </w:r>
      <w:r>
        <w:rPr>
          <w:rFonts w:ascii="Times New Roman" w:hAnsi="Times New Roman" w:eastAsia="Times New Roman" w:cs="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π_shared</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emp_cov</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theory_total</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rel_err (%)</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−0.0003731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−0.0003357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10.02</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−0.0006333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−0.0006713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6.01</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−0.0010047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−0.0010070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0.23</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−0.0023361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−0.0023497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0.58</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0.9</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−0.0030894</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−0.0030210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2.21</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−0.0034441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−0.0033567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2.54</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−0.0002971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−0.0003391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14.13</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−0.0007604</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−0.0006782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10.81</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−0.0008952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−0.0010173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13.64</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−0.0022428</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−0.0023736</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5.83</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0.9</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−0.0031135</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−0.0030518</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1.98</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−0.0035006</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−0.0033909</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