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(ORCID: 0009-0001-6328-7403), Jianfeng Wang² (ORCID: 0000-0002-6316-6361)</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Background</w:t>
      </w:r>
      <w:r>
        <w:rPr>
          <w:rFonts w:ascii="Times New Roman" w:hAnsi="Times New Roman"/>
          <w:b w:val="0"/>
          <w:sz w:val="24"/>
        </w:rPr>
        <w:t xml:space="preserve"> Two-step (product-method) Mendelian randomization (MR) mediation assumes that the exposure-step and mediator-step instrument sets are independent. This assumption has never been examined at scale, and no closed-form correction exists for when it fails.</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for instrument-selection design and overlap handling. We derived a closed-form Cov(α̂, β̂) under two overlap channels - shared instruments and mediator-outcome sample overlap - validated it on a 180-cell simulation grid and a 200-cell flip-probability scan, and batch re-estimated 108 trios directly from OpenGWAS summary statistics.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use a design capable of non-zero Cov(α̂, β̂) without disclosing overlap handling, and essentially none correct for it at the covariance level. Genuine overlap occurred in 6.5% (7/108) of re-estimated trios, where the correction narrowed every non-degenerate confidence interval (0.2–16.0%) with zero observed flips (95% CI for the underlying flip rate 0–43.4%). The covariance sign is prior-unknown: negative under concordant mediation, which makes the uncorrected interval conservative, but positive under discordant mediation or sample overlap, where flip probability reaches 10.4%.</w:t>
      </w:r>
    </w:p>
    <w:p>
      <w:pPr>
        <w:ind w:firstLine="480"/>
        <w:jc w:val="both"/>
      </w:pPr>
      <w:r>
        <w:rPr>
          <w:rFonts w:ascii="Times New Roman" w:hAnsi="Times New Roman"/>
          <w:b/>
          <w:sz w:val="24"/>
        </w:rPr>
        <w:t>Conclusions</w:t>
      </w:r>
      <w:r>
        <w:rPr>
          <w:rFonts w:ascii="Times New Roman" w:hAnsi="Times New Roman"/>
          <w:b w:val="0"/>
          <w:sz w:val="24"/>
        </w:rPr>
        <w:t xml:space="preserve"> Instrument overlap is common and systematically uncorrected, and its direction cannot be assumed favourable. Because n_s, π_shared and ρ_MY are rarely reported, the field currently cannot tell which regime any published result occupies. We recommend that two-step MR mediation report these three quantities; our released tool applies the correction from published summary statistics alone.</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3"/>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1.</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2.</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2b.</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2c;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2c);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2c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2c.</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Table 3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b w:val="0"/>
          <w:sz w:val="24"/>
          <w:vertAlign w:val="superscript"/>
        </w:rPr>
        <w:t>41</w:t>
      </w:r>
      <w:r>
        <w:rPr>
          <w:rFonts w:ascii="Times New Roman" w:hAnsi="Times New Roman"/>
          <w:b w:val="0"/>
          <w:sz w:val="24"/>
        </w:rPr>
        <w:t>.</w:t>
      </w:r>
    </w:p>
    <w:p>
      <w:pPr>
        <w:ind w:firstLine="480"/>
        <w:jc w:val="both"/>
      </w:pPr>
      <w:r>
        <w:rPr>
          <w:rFonts w:ascii="Times New Roman" w:hAnsi="Times New Roman"/>
          <w:b/>
          <w:sz w:val="24"/>
        </w:rPr>
        <w:t>Practical recommendations.</w:t>
      </w:r>
      <w:r>
        <w:rPr>
          <w:rFonts w:ascii="Times New Roman" w:hAnsi="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the sign of the covariance - and hence whether an uncorrected interval was conservative or anti-conservative - cannot be anticipated without first computing these quantities, so the correction should be routine rather than conditional on an expected direction.</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Funding</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b/>
          <w:sz w:val="26"/>
        </w:rPr>
        <w:t>Acknowledgements</w:t>
      </w:r>
    </w:p>
    <w:p>
      <w:pPr>
        <w:ind w:firstLine="480"/>
        <w:jc w:val="both"/>
      </w:pPr>
      <w:r>
        <w:rPr>
          <w:rFonts w:ascii="Times New Roman" w:hAnsi="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w:t>
      </w:r>
    </w:p>
    <w:p>
      <w:pPr>
        <w:ind w:left="420" w:hanging="420"/>
        <w:jc w:val="left"/>
      </w:pPr>
      <w:r>
        <w:rPr>
          <w:rFonts w:ascii="Times New Roman" w:hAnsi="Times New Roman"/>
          <w:b w:val="0"/>
          <w:sz w:val="20"/>
        </w:rPr>
        <w:t xml:space="preserve">40. Skrivankova VW, Richmond RC, Woolf BAR, Yarmolinsky J, Davies NM, Swanson SA, et al. Strengthening the Reporting of Observational Studies in Epidemiology Using Mendelian Randomization: The STROBE-MR Statement. JAMA. 2021;326(16):1614-1621. doi:10.1001/jama.2021.18236. </w:t>
      </w:r>
    </w:p>
    <w:p>
      <w:pPr>
        <w:ind w:left="420" w:hanging="420"/>
        <w:jc w:val="left"/>
      </w:pPr>
      <w:r>
        <w:rPr>
          <w:rFonts w:ascii="Times New Roman" w:hAnsi="Times New Roman"/>
          <w:b w:val="0"/>
          <w:sz w:val="20"/>
        </w:rPr>
        <w:t>41. Sanderson E, Levin MG, Walker V, Yuan S, Badini I, Dolce J, Mahida KJ, Nho JW, Pingault JB, Damrauer SM, Hemani G, Davies NM. Challenges and future directions for Mendelian randomization. Nat Genet. 2026;58:984-994. doi:10.1038/s41588-026-02546-6.</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4096512"/>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4096512"/>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center"/>
      </w:pPr>
      <w:r>
        <w:drawing>
          <wp:inline xmlns:a="http://schemas.openxmlformats.org/drawingml/2006/main" xmlns:pic="http://schemas.openxmlformats.org/drawingml/2006/picture">
            <wp:extent cx="5486400" cy="3211362"/>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3211362"/>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center"/>
      </w:pPr>
      <w:r>
        <w:drawing>
          <wp:inline xmlns:a="http://schemas.openxmlformats.org/drawingml/2006/main" xmlns:pic="http://schemas.openxmlformats.org/drawingml/2006/picture">
            <wp:extent cx="5486400" cy="2499110"/>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99110"/>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75394"/>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7539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403920"/>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403920"/>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