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*gain* significance (turn a naively non-significant result significant) and never remove it. The maximum flip probability is 5.7% (at F = 30, ρ_MY = 0, π_shared = 1.0, λ ≈ 2.0); only 3/100 design points exceed 5%. Under discordant mediation or sample overlap the covariance is positive and the corrected SE is larger, so the correction can *lose*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*same*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sz w:val="24"/>
        </w:rPr>
        <w:t>*Note (full):*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3c.</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*variance*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3b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*single* two-sample MR estimand (instrument-selection / Winner's Curse, weak-instrument bias, and exposure–outcome sample overlap) by simulating statistically independent summary statistics; it does not derive the covariance of a *product*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*more*,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2_PRISMA.png"/>
                    <pic:cNvPicPr/>
                  </pic:nvPicPr>
                  <pic:blipFill>
                    <a:blip r:embed="rId14"/>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FigS1_simulation.png"/>
                    <pic:cNvPicPr/>
                  </pic:nvPicPr>
                  <pic:blipFill>
                    <a:blip r:embed="rId15"/>
                    <a:stretch>
                      <a:fillRect/>
                    </a:stretch>
                  </pic:blipFill>
                  <pic:spPr>
                    <a:xfrm>
                      <a:off x="0" y="0"/>
                      <a:ext cx="5486400" cy="2743200"/>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4096512"/>
            <wp:docPr id="8" name="Picture 8"/>
            <wp:cNvGraphicFramePr>
              <a:graphicFrameLocks noChangeAspect="1"/>
            </wp:cNvGraphicFramePr>
            <a:graphic>
              <a:graphicData uri="http://schemas.openxmlformats.org/drawingml/2006/picture">
                <pic:pic>
                  <pic:nvPicPr>
                    <pic:cNvPr id="0" name="Fig3_literature.png"/>
                    <pic:cNvPicPr/>
                  </pic:nvPicPr>
                  <pic:blipFill>
                    <a:blip r:embed="rId16"/>
                    <a:stretch>
                      <a:fillRect/>
                    </a:stretch>
                  </pic:blipFill>
                  <pic:spPr>
                    <a:xfrm>
                      <a:off x="0" y="0"/>
                      <a:ext cx="5486400" cy="4096512"/>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[95% CI 6.6–12.9%]). *Typical*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*Structural* counts all separate-IV designs as capable of overlap (41.1% [95% CI 36.0–46.5%]).</w:t>
      </w:r>
    </w:p>
    <w:p>
      <w:pPr>
        <w:jc w:val="center"/>
      </w:pPr>
      <w:r>
        <w:drawing>
          <wp:inline xmlns:a="http://schemas.openxmlformats.org/drawingml/2006/main" xmlns:pic="http://schemas.openxmlformats.org/drawingml/2006/picture">
            <wp:extent cx="5486400" cy="3211362"/>
            <wp:docPr id="9" name="Picture 9"/>
            <wp:cNvGraphicFramePr>
              <a:graphicFrameLocks noChangeAspect="1"/>
            </wp:cNvGraphicFramePr>
            <a:graphic>
              <a:graphicData uri="http://schemas.openxmlformats.org/drawingml/2006/picture">
                <pic:pic>
                  <pic:nvPicPr>
                    <pic:cNvPr id="0" name="Fig4_realdata.png"/>
                    <pic:cNvPicPr/>
                  </pic:nvPicPr>
                  <pic:blipFill>
                    <a:blip r:embed="rId17"/>
                    <a:stretch>
                      <a:fillRect/>
                    </a:stretch>
                  </pic:blipFill>
                  <pic:spPr>
                    <a:xfrm>
                      <a:off x="0" y="0"/>
                      <a:ext cx="5486400" cy="3211362"/>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center"/>
      </w:pPr>
      <w:r>
        <w:drawing>
          <wp:inline xmlns:a="http://schemas.openxmlformats.org/drawingml/2006/main" xmlns:pic="http://schemas.openxmlformats.org/drawingml/2006/picture">
            <wp:extent cx="5486400" cy="2499110"/>
            <wp:docPr id="10" name="Picture 10"/>
            <wp:cNvGraphicFramePr>
              <a:graphicFrameLocks noChangeAspect="1"/>
            </wp:cNvGraphicFramePr>
            <a:graphic>
              <a:graphicData uri="http://schemas.openxmlformats.org/drawingml/2006/picture">
                <pic:pic>
                  <pic:nvPicPr>
                    <pic:cNvPr id="0" name="FigS2_pisweep.png"/>
                    <pic:cNvPicPr/>
                  </pic:nvPicPr>
                  <pic:blipFill>
                    <a:blip r:embed="rId18"/>
                    <a:stretch>
                      <a:fillRect/>
                    </a:stretch>
                  </pic:blipFill>
                  <pic:spPr>
                    <a:xfrm>
                      <a:off x="0" y="0"/>
                      <a:ext cx="5486400" cy="2499110"/>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275394"/>
            <wp:docPr id="11" name="Picture 11"/>
            <wp:cNvGraphicFramePr>
              <a:graphicFrameLocks noChangeAspect="1"/>
            </wp:cNvGraphicFramePr>
            <a:graphic>
              <a:graphicData uri="http://schemas.openxmlformats.org/drawingml/2006/picture">
                <pic:pic>
                  <pic:nvPicPr>
                    <pic:cNvPr id="0" name="FigS3_flip_probability.png"/>
                    <pic:cNvPicPr/>
                  </pic:nvPicPr>
                  <pic:blipFill>
                    <a:blip r:embed="rId19"/>
                    <a:stretch>
                      <a:fillRect/>
                    </a:stretch>
                  </pic:blipFill>
                  <pic:spPr>
                    <a:xfrm>
                      <a:off x="0" y="0"/>
                      <a:ext cx="5486400" cy="2275394"/>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*Panel A* (concordant mediation, ρ_MY = 0, F = 10): the correction narrows the CI, so flips are gains of significance; the maximum across the 200-cell grid is 5.7%. *Panel B* (discordant mediation / full sample overlap, ρ_MY = 1, F = 10): the correction widens the CI, so flips are losses of significance; the maximum is 10.4%. The dashed vertical line marks the naive 1.96 threshold; both panels confine the flip band to λ ≈ 1.7–2.4.</w:t>
      </w:r>
    </w:p>
    <w:p>
      <w:pPr>
        <w:jc w:val="center"/>
      </w:pPr>
      <w:r>
        <w:drawing>
          <wp:inline xmlns:a="http://schemas.openxmlformats.org/drawingml/2006/main" xmlns:pic="http://schemas.openxmlformats.org/drawingml/2006/picture">
            <wp:extent cx="5486400" cy="2403920"/>
            <wp:docPr id="12" name="Picture 12"/>
            <wp:cNvGraphicFramePr>
              <a:graphicFrameLocks noChangeAspect="1"/>
            </wp:cNvGraphicFramePr>
            <a:graphic>
              <a:graphicData uri="http://schemas.openxmlformats.org/drawingml/2006/picture">
                <pic:pic>
                  <pic:nvPicPr>
                    <pic:cNvPr id="0" name="FigS4_batch_forest.png"/>
                    <pic:cNvPicPr/>
                  </pic:nvPicPr>
                  <pic:blipFill>
                    <a:blip r:embed="rId20"/>
                    <a:stretch>
                      <a:fillRect/>
                    </a:stretch>
                  </pic:blipFill>
                  <pic:spPr>
                    <a:xfrm>
                      <a:off x="0" y="0"/>
                      <a:ext cx="5486400" cy="2403920"/>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