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i w:val="0"/>
          <w:sz w:val="32"/>
        </w:rPr>
        <w:t>Correcting for instrument overlap in two-step summary-data Mendelian randomization mediation: a semi-analytic covariance and how often it is left unreported</w:t>
      </w:r>
    </w:p>
    <w:p>
      <w:pPr>
        <w:jc w:val="center"/>
      </w:pPr>
      <w:r>
        <w:rPr>
          <w:rFonts w:ascii="Times New Roman" w:hAnsi="Times New Roman" w:eastAsia="Times New Roman" w:cs="Times New Roman"/>
          <w:b/>
          <w:sz w:val="22"/>
        </w:rPr>
        <w:t>Authors:</w:t>
      </w:r>
      <w:r>
        <w:rPr>
          <w:rFonts w:ascii="Times New Roman" w:hAnsi="Times New Roman" w:eastAsia="Times New Roman" w:cs="Times New Roman"/>
          <w:b w:val="0"/>
          <w:sz w:val="22"/>
        </w:rPr>
        <w:t xml:space="preserve"> Yan Chen¹, Jianfeng Wang²</w:t>
      </w:r>
    </w:p>
    <w:p>
      <w:pPr>
        <w:jc w:val="center"/>
      </w:pPr>
      <w:r>
        <w:rPr>
          <w:rFonts w:ascii="Times New Roman" w:hAnsi="Times New Roman" w:eastAsia="Times New Roman" w:cs="Times New Roman"/>
          <w:b/>
          <w:sz w:val="22"/>
        </w:rPr>
        <w:t>Affiliations:</w:t>
      </w:r>
      <w:r>
        <w:rPr>
          <w:rFonts w:ascii="Times New Roman" w:hAnsi="Times New Roman" w:eastAsia="Times New Roman" w:cs="Times New Roman"/>
          <w:b w:val="0"/>
          <w:sz w:val="22"/>
        </w:rPr>
        <w:t xml:space="preserve"> ¹ Department of General Practice, The First Affiliated Hospital of Zhejiang Chinese Medical University (Zhejiang Provincial Hospital of Chinese Medicine), Hangzhou, China. ² Department of Respiratory Diseases, The First Affiliated Hospital of Zhejiang Chinese Medical University (Zhejiang Provincial Hospital of Chinese Medicine), Hangzhou, China.</w:t>
      </w:r>
    </w:p>
    <w:p>
      <w:pPr>
        <w:jc w:val="center"/>
      </w:pPr>
      <w:r>
        <w:rPr>
          <w:rFonts w:ascii="Times New Roman" w:hAnsi="Times New Roman" w:eastAsia="Times New Roman" w:cs="Times New Roman"/>
          <w:b/>
          <w:sz w:val="22"/>
        </w:rPr>
        <w:t>Correspondence:</w:t>
      </w:r>
      <w:r>
        <w:rPr>
          <w:rFonts w:ascii="Times New Roman" w:hAnsi="Times New Roman" w:eastAsia="Times New Roman" w:cs="Times New Roman"/>
          <w:b w:val="0"/>
          <w:sz w:val="22"/>
        </w:rPr>
        <w:t xml:space="preserve"> Jianfeng Wang, 2001m@163.com</w:t>
      </w:r>
    </w:p>
    <w:p>
      <w:pPr>
        <w:spacing w:before="200" w:after="80"/>
        <w:jc w:val="left"/>
      </w:pPr>
      <w:r>
        <w:rPr>
          <w:rFonts w:ascii="Times New Roman" w:hAnsi="Times New Roman" w:eastAsia="Times New Roman" w:cs="Times New Roman"/>
          <w:b/>
          <w:sz w:val="26"/>
        </w:rPr>
        <w:t>Abstract</w:t>
      </w:r>
    </w:p>
    <w:p>
      <w:pPr>
        <w:ind w:firstLine="480"/>
        <w:jc w:val="both"/>
      </w:pPr>
      <w:r>
        <w:rPr>
          <w:rFonts w:ascii="Times New Roman" w:hAnsi="Times New Roman" w:eastAsia="Times New Roman" w:cs="Times New Roman"/>
          <w:b/>
          <w:sz w:val="24"/>
        </w:rPr>
        <w:t>Background</w:t>
      </w:r>
      <w:r>
        <w:rPr>
          <w:rFonts w:ascii="Times New Roman" w:hAnsi="Times New Roman" w:eastAsia="Times New Roman" w:cs="Times New Roman"/>
          <w:b w:val="0"/>
          <w:sz w:val="24"/>
        </w:rPr>
        <w:t xml:space="preserve"> Two-step (product-method) Mendelian randomization (MR) mediation assumes independent exposure-step and mediator-step estimates. Shared instruments or mediator–outcome sample overlap violate this and add a covariance term to the product variance for which no closed form exists; how often such designs occur is unknown.</w:t>
      </w:r>
    </w:p>
    <w:p>
      <w:pPr>
        <w:ind w:firstLine="480"/>
        <w:jc w:val="both"/>
      </w:pPr>
      <w:r>
        <w:rPr>
          <w:rFonts w:ascii="Times New Roman" w:hAnsi="Times New Roman" w:eastAsia="Times New Roman" w:cs="Times New Roman"/>
          <w:b/>
          <w:sz w:val="24"/>
        </w:rPr>
        <w:t>Methods</w:t>
      </w:r>
      <w:r>
        <w:rPr>
          <w:rFonts w:ascii="Times New Roman" w:hAnsi="Times New Roman" w:eastAsia="Times New Roman" w:cs="Times New Roman"/>
          <w:b w:val="0"/>
          <w:sz w:val="24"/>
        </w:rPr>
        <w:t xml:space="preserve"> We derived a semi-analytic Cov(α̂, β̂) (closed form except a Monte-Carlo integration step) and validated it in a 180-cell simulation grid and a 200-cell flip-probability scan. We audited 333 two-step MR mediation studies (PubMed only; PRISMA 2020 flow diagram) and re-estimated 108 trios resolvable to public GWAS summary statistics.</w:t>
      </w:r>
    </w:p>
    <w:p>
      <w:pPr>
        <w:ind w:firstLine="480"/>
        <w:jc w:val="both"/>
      </w:pPr>
      <w:r>
        <w:rPr>
          <w:rFonts w:ascii="Times New Roman" w:hAnsi="Times New Roman" w:eastAsia="Times New Roman" w:cs="Times New Roman"/>
          <w:b/>
          <w:sz w:val="24"/>
        </w:rPr>
        <w:t>Results</w:t>
      </w:r>
      <w:r>
        <w:rPr>
          <w:rFonts w:ascii="Times New Roman" w:hAnsi="Times New Roman" w:eastAsia="Times New Roman" w:cs="Times New Roman"/>
          <w:b w:val="0"/>
          <w:sz w:val="24"/>
        </w:rPr>
        <w:t xml:space="preserve"> Only 19 of 54 assessable studies (35.2%) reported overlap handling; 39.3% (95% CI 34.2–44.7%) of all studies used a design capable of non-zero covariance without disclosure. In 5 of 108 re-estimated trios (4.6%; 95% CI 2.0–10.4%) instruments genuinely overlapped (1–3 SNPs); the correction changed indirect-effect SEs by −0.2% to −16.0% (median −1.6%) and no conclusion (0/5; flip-rate 95% CI 0–43.4%). The covariance correction term 2α̂β̂·Cov(α̂, β̂) is negative under all examined configurations (same-sign and opposite-sign mediation, with and without sample overlap), so the naive delta-method variance is conservative and the correction narrows intervals. Simulated flip probabilities — which can only be </w:t>
      </w:r>
      <w:r>
        <w:rPr>
          <w:rFonts w:ascii="Times New Roman" w:hAnsi="Times New Roman" w:eastAsia="Times New Roman" w:cs="Times New Roman"/>
          <w:b w:val="0"/>
          <w:i/>
          <w:sz w:val="24"/>
        </w:rPr>
        <w:t>gains</w:t>
      </w:r>
      <w:r>
        <w:rPr>
          <w:rFonts w:ascii="Times New Roman" w:hAnsi="Times New Roman" w:eastAsia="Times New Roman" w:cs="Times New Roman"/>
          <w:b w:val="0"/>
          <w:sz w:val="24"/>
        </w:rPr>
        <w:t xml:space="preserve"> of significance, never losses — occurred only near the significance threshold (maximum 5.7%). A regime map shows that the correction is negligible at the small overlap realised in practice but grows with it: at full overlap with strong instruments the uncorrected interval is up to 65% wider than the true sampling variability of the indirect effect, a material power penalty.</w:t>
      </w:r>
    </w:p>
    <w:p>
      <w:pPr>
        <w:ind w:firstLine="480"/>
        <w:jc w:val="both"/>
      </w:pPr>
      <w:r>
        <w:rPr>
          <w:rFonts w:ascii="Times New Roman" w:hAnsi="Times New Roman" w:eastAsia="Times New Roman" w:cs="Times New Roman"/>
          <w:b/>
          <w:sz w:val="24"/>
        </w:rPr>
        <w:t>Conclusions</w:t>
      </w:r>
      <w:r>
        <w:rPr>
          <w:rFonts w:ascii="Times New Roman" w:hAnsi="Times New Roman" w:eastAsia="Times New Roman" w:cs="Times New Roman"/>
          <w:b w:val="0"/>
          <w:sz w:val="24"/>
        </w:rPr>
        <w:t xml:space="preserve"> Overlap-capable designs are rarely disclosed or corrected. Where resolvable, overlap was small and corrections modest; the naive delta method is conservative (it overstates uncertainty), so the correction narrows rather than widens intervals and is non-negligible only in high-overlap regimes. We recommend routine reporting of shared instruments (n_s) and provide a tool that applies the covariance-corrected estimator from summary statistics.</w:t>
      </w:r>
    </w:p>
    <w:p>
      <w:pPr>
        <w:jc w:val="both"/>
      </w:pPr>
      <w:r>
        <w:rPr>
          <w:rFonts w:ascii="Times New Roman" w:hAnsi="Times New Roman" w:eastAsia="Times New Roman" w:cs="Times New Roman"/>
          <w:b/>
          <w:sz w:val="22"/>
        </w:rPr>
        <w:t>Keywords:</w:t>
      </w:r>
      <w:r>
        <w:rPr>
          <w:rFonts w:ascii="Times New Roman" w:hAnsi="Times New Roman" w:eastAsia="Times New Roman" w:cs="Times New Roman"/>
          <w:b w:val="0"/>
          <w:sz w:val="22"/>
        </w:rPr>
        <w:t xml:space="preserve"> Mendelian randomization; mediation analysis; two-step MR; instrument overlap; covariance correction; summary statistics.</w:t>
      </w:r>
    </w:p>
    <w:p>
      <w:pPr>
        <w:spacing w:before="200" w:after="80"/>
        <w:jc w:val="left"/>
      </w:pPr>
      <w:r>
        <w:rPr>
          <w:rFonts w:ascii="Times New Roman" w:hAnsi="Times New Roman" w:eastAsia="Times New Roman" w:cs="Times New Roman"/>
          <w:b/>
          <w:sz w:val="26"/>
        </w:rPr>
        <w:t>1. Introduction</w:t>
      </w:r>
    </w:p>
    <w:p>
      <w:pPr>
        <w:ind w:firstLine="480"/>
        <w:jc w:val="both"/>
      </w:pPr>
      <w:r>
        <w:rPr>
          <w:rFonts w:ascii="Times New Roman" w:hAnsi="Times New Roman" w:eastAsia="Times New Roman" w:cs="Times New Roman"/>
          <w:b w:val="0"/>
          <w:sz w:val="24"/>
        </w:rPr>
        <w:t xml:space="preserve">Mendelian randomization (MR) uses genetic variants as instrumental variables to strengthen causal inference from observational data </w:t>
      </w:r>
      <w:r>
        <w:rPr>
          <w:rFonts w:ascii="Times New Roman" w:hAnsi="Times New Roman" w:eastAsia="Times New Roman" w:cs="Times New Roman"/>
          <w:b w:val="0"/>
          <w:sz w:val="24"/>
          <w:vertAlign w:val="superscript"/>
        </w:rPr>
        <w:t>1</w:t>
      </w:r>
      <w:r>
        <w:rPr>
          <w:rFonts w:ascii="Times New Roman" w:hAnsi="Times New Roman" w:eastAsia="Times New Roman" w:cs="Times New Roman"/>
          <w:b w:val="0"/>
          <w:sz w:val="24"/>
        </w:rPr>
        <w:t xml:space="preserve">. Because genotypes are fixed at conception and randomly allocated at meiosis, MR estimates are comparatively robust to confounding and reverse causation </w:t>
      </w:r>
      <w:r>
        <w:rPr>
          <w:rFonts w:ascii="Times New Roman" w:hAnsi="Times New Roman" w:eastAsia="Times New Roman" w:cs="Times New Roman"/>
          <w:b w:val="0"/>
          <w:sz w:val="24"/>
          <w:vertAlign w:val="superscript"/>
        </w:rPr>
        <w:t>2</w:t>
      </w:r>
      <w:r>
        <w:rPr>
          <w:rFonts w:ascii="Times New Roman" w:hAnsi="Times New Roman" w:eastAsia="Times New Roman" w:cs="Times New Roman"/>
          <w:b w:val="0"/>
          <w:sz w:val="24"/>
        </w:rPr>
        <w:t xml:space="preserve">, and a recent primer surveys the expanding MR toolkit and its reporting pitfalls </w:t>
      </w:r>
      <w:r>
        <w:rPr>
          <w:rFonts w:ascii="Times New Roman" w:hAnsi="Times New Roman" w:eastAsia="Times New Roman" w:cs="Times New Roman"/>
          <w:b w:val="0"/>
          <w:sz w:val="24"/>
          <w:vertAlign w:val="superscript"/>
        </w:rPr>
        <w:t>3</w:t>
      </w:r>
      <w:r>
        <w:rPr>
          <w:rFonts w:ascii="Times New Roman" w:hAnsi="Times New Roman" w:eastAsia="Times New Roman" w:cs="Times New Roman"/>
          <w:b w:val="0"/>
          <w:sz w:val="24"/>
        </w:rPr>
        <w:t xml:space="preserve">. With the advent of large GWAS consortia, MR is now routinely conducted from summarized genetic associations combined by inverse-variance weighting </w:t>
      </w:r>
      <w:r>
        <w:rPr>
          <w:rFonts w:ascii="Times New Roman" w:hAnsi="Times New Roman" w:eastAsia="Times New Roman" w:cs="Times New Roman"/>
          <w:b w:val="0"/>
          <w:sz w:val="24"/>
          <w:vertAlign w:val="superscript"/>
        </w:rPr>
        <w:t>4</w:t>
      </w:r>
      <w:r>
        <w:rPr>
          <w:rFonts w:ascii="Times New Roman" w:hAnsi="Times New Roman" w:eastAsia="Times New Roman" w:cs="Times New Roman"/>
          <w:b w:val="0"/>
          <w:sz w:val="24"/>
        </w:rPr>
        <w:t xml:space="preserve">, and a recent primer contrasts MR with randomized controlled trials and formalizes the instrumental-variable assumptions </w:t>
      </w:r>
      <w:r>
        <w:rPr>
          <w:rFonts w:ascii="Times New Roman" w:hAnsi="Times New Roman" w:eastAsia="Times New Roman" w:cs="Times New Roman"/>
          <w:b w:val="0"/>
          <w:sz w:val="24"/>
          <w:vertAlign w:val="superscript"/>
        </w:rPr>
        <w:t>5</w:t>
      </w:r>
      <w:r>
        <w:rPr>
          <w:rFonts w:ascii="Times New Roman" w:hAnsi="Times New Roman" w:eastAsia="Times New Roman" w:cs="Times New Roman"/>
          <w:b w:val="0"/>
          <w:sz w:val="24"/>
        </w:rPr>
        <w:t xml:space="preserve">. Splitting the exposure and outcome associations into two non-overlapping GWAS — "two-sample MR" — markedly improves power and has become the default design </w:t>
      </w:r>
      <w:r>
        <w:rPr>
          <w:rFonts w:ascii="Times New Roman" w:hAnsi="Times New Roman" w:eastAsia="Times New Roman" w:cs="Times New Roman"/>
          <w:b w:val="0"/>
          <w:sz w:val="24"/>
          <w:vertAlign w:val="superscript"/>
        </w:rPr>
        <w:t>6</w:t>
      </w:r>
      <w:r>
        <w:rPr>
          <w:rFonts w:ascii="Times New Roman" w:hAnsi="Times New Roman" w:eastAsia="Times New Roman" w:cs="Times New Roman"/>
          <w:b w:val="0"/>
          <w:sz w:val="24"/>
        </w:rPr>
        <w:t xml:space="preserve">. Summarized-data MR can equivalently be implemented through allele scores or through inverse-variance weighted combinations of variant-specific ratios </w:t>
      </w:r>
      <w:r>
        <w:rPr>
          <w:rFonts w:ascii="Times New Roman" w:hAnsi="Times New Roman" w:eastAsia="Times New Roman" w:cs="Times New Roman"/>
          <w:b w:val="0"/>
          <w:sz w:val="24"/>
          <w:vertAlign w:val="superscript"/>
        </w:rPr>
        <w:t>7</w:t>
      </w:r>
      <w:r>
        <w:rPr>
          <w:rFonts w:ascii="Times New Roman" w:hAnsi="Times New Roman" w:eastAsia="Times New Roman" w:cs="Times New Roman"/>
          <w:b w:val="0"/>
          <w:sz w:val="24"/>
        </w:rPr>
        <w:t xml:space="preserve">. A well-documented threat to validity is weak-instrument bias, which attenuates estimates towards the confounded observational association </w:t>
      </w:r>
      <w:r>
        <w:rPr>
          <w:rFonts w:ascii="Times New Roman" w:hAnsi="Times New Roman" w:eastAsia="Times New Roman" w:cs="Times New Roman"/>
          <w:b w:val="0"/>
          <w:sz w:val="24"/>
          <w:vertAlign w:val="superscript"/>
        </w:rPr>
        <w:t>8</w:t>
      </w:r>
      <w:r>
        <w:rPr>
          <w:rFonts w:ascii="Times New Roman" w:hAnsi="Times New Roman" w:eastAsia="Times New Roman" w:cs="Times New Roman"/>
          <w:b w:val="0"/>
          <w:sz w:val="24"/>
        </w:rPr>
        <w:t xml:space="preserve">. Robust methods such as Egger regression relax the exclusion-restriction assumption and recover consistent estimates under weaker conditions </w:t>
      </w:r>
      <w:r>
        <w:rPr>
          <w:rFonts w:ascii="Times New Roman" w:hAnsi="Times New Roman" w:eastAsia="Times New Roman" w:cs="Times New Roman"/>
          <w:b w:val="0"/>
          <w:sz w:val="24"/>
          <w:vertAlign w:val="superscript"/>
        </w:rPr>
        <w:t>9</w:t>
      </w:r>
      <w:r>
        <w:rPr>
          <w:rFonts w:ascii="Times New Roman" w:hAnsi="Times New Roman" w:eastAsia="Times New Roman" w:cs="Times New Roman"/>
          <w:b w:val="0"/>
          <w:sz w:val="24"/>
        </w:rPr>
        <w:t xml:space="preserve">. Horizontal pleiotropy can be detected, and in many settings corrected, by global outlier-robust tests </w:t>
      </w:r>
      <w:r>
        <w:rPr>
          <w:rFonts w:ascii="Times New Roman" w:hAnsi="Times New Roman" w:eastAsia="Times New Roman" w:cs="Times New Roman"/>
          <w:b w:val="0"/>
          <w:sz w:val="24"/>
          <w:vertAlign w:val="superscript"/>
        </w:rPr>
        <w:t>10</w:t>
      </w:r>
      <w:r>
        <w:rPr>
          <w:rFonts w:ascii="Times New Roman" w:hAnsi="Times New Roman" w:eastAsia="Times New Roman" w:cs="Times New Roman"/>
          <w:b w:val="0"/>
          <w:sz w:val="24"/>
        </w:rPr>
        <w:t xml:space="preserve">. Weighted-median estimation offers a complementary robust alternative that remains consistent when most of the weight comes from valid instruments </w:t>
      </w:r>
      <w:r>
        <w:rPr>
          <w:rFonts w:ascii="Times New Roman" w:hAnsi="Times New Roman" w:eastAsia="Times New Roman" w:cs="Times New Roman"/>
          <w:b w:val="0"/>
          <w:sz w:val="24"/>
          <w:vertAlign w:val="superscript"/>
        </w:rPr>
        <w:t>11</w:t>
      </w:r>
      <w:r>
        <w:rPr>
          <w:rFonts w:ascii="Times New Roman" w:hAnsi="Times New Roman" w:eastAsia="Times New Roman" w:cs="Times New Roman"/>
          <w:b w:val="0"/>
          <w:sz w:val="24"/>
        </w:rPr>
        <w:t xml:space="preserve">. Extending MR to causal pathways, "network" or two-step MR decomposes a total effect into direct and indirect components by multiplying a step-1 and a step-2 IVW estimate </w:t>
      </w:r>
      <w:r>
        <w:rPr>
          <w:rFonts w:ascii="Times New Roman" w:hAnsi="Times New Roman" w:eastAsia="Times New Roman" w:cs="Times New Roman"/>
          <w:b w:val="0"/>
          <w:sz w:val="24"/>
          <w:vertAlign w:val="superscript"/>
        </w:rPr>
        <w:t>12</w:t>
      </w:r>
      <w:r>
        <w:rPr>
          <w:rFonts w:ascii="Times New Roman" w:hAnsi="Times New Roman" w:eastAsia="Times New Roman" w:cs="Times New Roman"/>
          <w:b w:val="0"/>
          <w:sz w:val="24"/>
        </w:rPr>
        <w:t xml:space="preserve">. A systematic review of MR mediation catalogued its assumptions and implementation challenges but did not supply a variance formula for non-independent instrument sets </w:t>
      </w:r>
      <w:r>
        <w:rPr>
          <w:rFonts w:ascii="Times New Roman" w:hAnsi="Times New Roman" w:eastAsia="Times New Roman" w:cs="Times New Roman"/>
          <w:b w:val="0"/>
          <w:sz w:val="24"/>
          <w:vertAlign w:val="superscript"/>
        </w:rPr>
        <w:t>13</w:t>
      </w:r>
      <w:r>
        <w:rPr>
          <w:rFonts w:ascii="Times New Roman" w:hAnsi="Times New Roman" w:eastAsia="Times New Roman" w:cs="Times New Roman"/>
          <w:b w:val="0"/>
          <w:sz w:val="24"/>
        </w:rPr>
        <w:t xml:space="preserve">; recent extensions instead model time-varying and longitudinal mediation pathways from summary statistics </w:t>
      </w:r>
      <w:r>
        <w:rPr>
          <w:rFonts w:ascii="Times New Roman" w:hAnsi="Times New Roman" w:eastAsia="Times New Roman" w:cs="Times New Roman"/>
          <w:b w:val="0"/>
          <w:sz w:val="24"/>
          <w:vertAlign w:val="superscript"/>
        </w:rPr>
        <w:t>14</w:t>
      </w:r>
      <w:r>
        <w:rPr>
          <w:rFonts w:ascii="Times New Roman" w:hAnsi="Times New Roman" w:eastAsia="Times New Roman" w:cs="Times New Roman"/>
          <w:b w:val="0"/>
          <w:sz w:val="24"/>
        </w:rPr>
        <w:t xml:space="preserve">, and a multivariable functional extension jointly models several time-varying exposures while accounting for overlapping instruments and mediation </w:t>
      </w:r>
      <w:r>
        <w:rPr>
          <w:rFonts w:ascii="Times New Roman" w:hAnsi="Times New Roman" w:eastAsia="Times New Roman" w:cs="Times New Roman"/>
          <w:b w:val="0"/>
          <w:sz w:val="24"/>
          <w:vertAlign w:val="superscript"/>
        </w:rPr>
        <w:t>15</w:t>
      </w:r>
      <w:r>
        <w:rPr>
          <w:rFonts w:ascii="Times New Roman" w:hAnsi="Times New Roman" w:eastAsia="Times New Roman" w:cs="Times New Roman"/>
          <w:b w:val="0"/>
          <w:sz w:val="24"/>
        </w:rPr>
        <w:t xml:space="preserve">. For a single two-sample estimate, participant overlap between the two GWAS induces bias whose magnitude grows with the overlap and falls with instrument strength </w:t>
      </w:r>
      <w:r>
        <w:rPr>
          <w:rFonts w:ascii="Times New Roman" w:hAnsi="Times New Roman" w:eastAsia="Times New Roman" w:cs="Times New Roman"/>
          <w:b w:val="0"/>
          <w:sz w:val="24"/>
          <w:vertAlign w:val="superscript"/>
        </w:rPr>
        <w:t>16</w:t>
      </w:r>
      <w:r>
        <w:rPr>
          <w:rFonts w:ascii="Times New Roman" w:hAnsi="Times New Roman" w:eastAsia="Times New Roman" w:cs="Times New Roman"/>
          <w:b w:val="0"/>
          <w:sz w:val="24"/>
        </w:rPr>
        <w:t xml:space="preserve">; new approaches explicitly model GWAS sample structure and overlapping samples while remaining calibrated under multiple pleiotropic effects </w:t>
      </w:r>
      <w:r>
        <w:rPr>
          <w:rFonts w:ascii="Times New Roman" w:hAnsi="Times New Roman" w:eastAsia="Times New Roman" w:cs="Times New Roman"/>
          <w:b w:val="0"/>
          <w:sz w:val="24"/>
          <w:vertAlign w:val="superscript"/>
        </w:rPr>
        <w:t>17</w:t>
      </w:r>
      <w:r>
        <w:rPr>
          <w:rFonts w:ascii="Times New Roman" w:hAnsi="Times New Roman" w:eastAsia="Times New Roman" w:cs="Times New Roman"/>
          <w:b w:val="0"/>
          <w:sz w:val="24"/>
        </w:rPr>
        <w:t xml:space="preserve">, and invariance-based integration of heterogeneous multi-ancestry summary data further addresses population stratification </w:t>
      </w:r>
      <w:r>
        <w:rPr>
          <w:rFonts w:ascii="Times New Roman" w:hAnsi="Times New Roman" w:eastAsia="Times New Roman" w:cs="Times New Roman"/>
          <w:b w:val="0"/>
          <w:sz w:val="24"/>
          <w:vertAlign w:val="superscript"/>
        </w:rPr>
        <w:t>18</w:t>
      </w:r>
      <w:r>
        <w:rPr>
          <w:rFonts w:ascii="Times New Roman" w:hAnsi="Times New Roman" w:eastAsia="Times New Roman" w:cs="Times New Roman"/>
          <w:b w:val="0"/>
          <w:sz w:val="24"/>
        </w:rPr>
        <w:t xml:space="preserve">. Multivariable MR extends the framework to several correlated exposures and clarifies how shared instruments propagate uncertainty across jointly estimated effects </w:t>
      </w:r>
      <w:r>
        <w:rPr>
          <w:rFonts w:ascii="Times New Roman" w:hAnsi="Times New Roman" w:eastAsia="Times New Roman" w:cs="Times New Roman"/>
          <w:b w:val="0"/>
          <w:sz w:val="24"/>
          <w:vertAlign w:val="superscript"/>
        </w:rPr>
        <w:t>19</w:t>
      </w:r>
      <w:r>
        <w:rPr>
          <w:rFonts w:ascii="Times New Roman" w:hAnsi="Times New Roman" w:eastAsia="Times New Roman" w:cs="Times New Roman"/>
          <w:b w:val="0"/>
          <w:sz w:val="24"/>
        </w:rPr>
        <w:t xml:space="preserve">, and a more robust MVMR estimator guards against weak-instrument distortion in the multivariable setting </w:t>
      </w:r>
      <w:r>
        <w:rPr>
          <w:rFonts w:ascii="Times New Roman" w:hAnsi="Times New Roman" w:eastAsia="Times New Roman" w:cs="Times New Roman"/>
          <w:b w:val="0"/>
          <w:sz w:val="24"/>
          <w:vertAlign w:val="superscript"/>
        </w:rPr>
        <w:t>20</w:t>
      </w:r>
      <w:r>
        <w:rPr>
          <w:rFonts w:ascii="Times New Roman" w:hAnsi="Times New Roman" w:eastAsia="Times New Roman" w:cs="Times New Roman"/>
          <w:b w:val="0"/>
          <w:sz w:val="24"/>
        </w:rPr>
        <w:t xml:space="preserve">. Practical guidance for appraising MR studies stresses transparent reporting of instrument provenance and of the assumptions being invoked </w:t>
      </w:r>
      <w:r>
        <w:rPr>
          <w:rFonts w:ascii="Times New Roman" w:hAnsi="Times New Roman" w:eastAsia="Times New Roman" w:cs="Times New Roman"/>
          <w:b w:val="0"/>
          <w:sz w:val="24"/>
          <w:vertAlign w:val="superscript"/>
        </w:rPr>
        <w:t>21</w:t>
      </w:r>
      <w:r>
        <w:rPr>
          <w:rFonts w:ascii="Times New Roman" w:hAnsi="Times New Roman" w:eastAsia="Times New Roman" w:cs="Times New Roman"/>
          <w:b w:val="0"/>
          <w:sz w:val="24"/>
        </w:rPr>
        <w:t xml:space="preserve">. Most relevant here, a recent summary-data causal mediation framework derived rigorous variance estimators for the difference and product methods but assumed three independent samples for the product method, explicitly leaving the overlapping-instrument case as open future work </w:t>
      </w:r>
      <w:r>
        <w:rPr>
          <w:rFonts w:ascii="Times New Roman" w:hAnsi="Times New Roman" w:eastAsia="Times New Roman" w:cs="Times New Roman"/>
          <w:b w:val="0"/>
          <w:sz w:val="24"/>
          <w:vertAlign w:val="superscript"/>
        </w:rPr>
        <w:t>22</w:t>
      </w:r>
      <w:r>
        <w:rPr>
          <w:rFonts w:ascii="Times New Roman" w:hAnsi="Times New Roman" w:eastAsia="Times New Roman" w:cs="Times New Roman"/>
          <w:b w:val="0"/>
          <w:sz w:val="24"/>
        </w:rPr>
        <w:t>.</w:t>
      </w:r>
    </w:p>
    <w:p>
      <w:pPr>
        <w:ind w:firstLine="480"/>
        <w:jc w:val="both"/>
      </w:pPr>
      <w:r>
        <w:rPr>
          <w:rFonts w:ascii="Times New Roman" w:hAnsi="Times New Roman" w:eastAsia="Times New Roman" w:cs="Times New Roman"/>
          <w:b w:val="0"/>
          <w:sz w:val="24"/>
        </w:rPr>
        <w:t xml:space="preserve">A persistent practical problem is therefore </w:t>
      </w:r>
      <w:r>
        <w:rPr>
          <w:rFonts w:ascii="Times New Roman" w:hAnsi="Times New Roman" w:eastAsia="Times New Roman" w:cs="Times New Roman"/>
          <w:b/>
          <w:sz w:val="24"/>
        </w:rPr>
        <w:t>sample and instrument overlap</w:t>
      </w:r>
      <w:r>
        <w:rPr>
          <w:rFonts w:ascii="Times New Roman" w:hAnsi="Times New Roman" w:eastAsia="Times New Roman" w:cs="Times New Roman"/>
          <w:b w:val="0"/>
          <w:sz w:val="24"/>
        </w:rPr>
        <w:t xml:space="preserve">. The overlap result above applies to an </w:t>
      </w:r>
      <w:r>
        <w:rPr>
          <w:rFonts w:ascii="Times New Roman" w:hAnsi="Times New Roman" w:eastAsia="Times New Roman" w:cs="Times New Roman"/>
          <w:b w:val="0"/>
          <w:i/>
          <w:sz w:val="24"/>
        </w:rPr>
        <w:t>isolated</w:t>
      </w:r>
      <w:r>
        <w:rPr>
          <w:rFonts w:ascii="Times New Roman" w:hAnsi="Times New Roman" w:eastAsia="Times New Roman" w:cs="Times New Roman"/>
          <w:b w:val="0"/>
          <w:sz w:val="24"/>
        </w:rPr>
        <w:t xml:space="preserve"> estimator, not to the </w:t>
      </w:r>
      <w:r>
        <w:rPr>
          <w:rFonts w:ascii="Times New Roman" w:hAnsi="Times New Roman" w:eastAsia="Times New Roman" w:cs="Times New Roman"/>
          <w:b w:val="0"/>
          <w:i/>
          <w:sz w:val="24"/>
        </w:rPr>
        <w:t>product</w:t>
      </w:r>
      <w:r>
        <w:rPr>
          <w:rFonts w:ascii="Times New Roman" w:hAnsi="Times New Roman" w:eastAsia="Times New Roman" w:cs="Times New Roman"/>
          <w:b w:val="0"/>
          <w:sz w:val="24"/>
        </w:rPr>
        <w:t xml:space="preserve"> of two. In applied two-step MR mediation, strict independence of the step-1 and step-2 instrument sets is frequently violated: studies select instruments from overlapping GWAS candidate pools, draw both steps from the same biobank-scale consortium (for example UK Biobank-derived summary statistics), or actively merge candidate pools to increase power. Under these conditions α̂ and β̂ are not asymptotically independent, and the product variance must include the non-zero term 2α̂β̂·Cov(α̂, β̂), which every closed-form expression to date omits. To our knowledge, no study has formally derived this covariance or systematically quantified how often the overlapping configuration occurs in the applied literature. Figure 1 illustrates the overlapping-instrument configuration that produces a non-zero Cov(α̂, β̂).</w:t>
      </w:r>
    </w:p>
    <w:p>
      <w:pPr>
        <w:ind w:firstLine="480"/>
        <w:jc w:val="both"/>
      </w:pPr>
      <w:r>
        <w:rPr>
          <w:rFonts w:ascii="Times New Roman" w:hAnsi="Times New Roman" w:eastAsia="Times New Roman" w:cs="Times New Roman"/>
          <w:b w:val="0"/>
          <w:sz w:val="24"/>
        </w:rPr>
        <w:t>Our contribution is threefold. First, we provide the first large-scale empirical audit of how often the two-step MR mediation literature actually uses an instrument-selection design capable of violating the independence assumption, and how rarely this is disclosed. Second, we derive the semi-analytic Cov(α̂, β̂) that this design implies (closed form except a Monte-Carlo integration step), closing the gap that the summary-data product-method framework explicitly left open. Third, we apply the correction to every published trio we could resolve to real, public GWAS data, and report the result honestly: the correction narrowed every resolvable confidence interval, and we show analytically that the covariance term is always negative under standard IVW assumptions, so the naive first-order delta-method variance is conservative (it overstates uncertainty). The field still lacks the reporting practices needed to quantify the correction's magnitude for any given published result. Taken together, these contributions establish that the field lacks the reporting infrastructure to know how large the overlap-induced uncertainty bias is — and we provide the semi-analytic tool and the audit baseline needed to close that gap.</w:t>
      </w:r>
    </w:p>
    <w:p>
      <w:pPr>
        <w:spacing w:before="200" w:after="80"/>
        <w:jc w:val="left"/>
      </w:pPr>
      <w:r>
        <w:rPr>
          <w:rFonts w:ascii="Times New Roman" w:hAnsi="Times New Roman" w:eastAsia="Times New Roman" w:cs="Times New Roman"/>
          <w:b/>
          <w:sz w:val="26"/>
        </w:rPr>
        <w:t>2. Methods</w:t>
      </w:r>
    </w:p>
    <w:p>
      <w:pPr>
        <w:ind w:firstLine="480"/>
        <w:jc w:val="both"/>
      </w:pPr>
      <w:r>
        <w:rPr>
          <w:rFonts w:ascii="Times New Roman" w:hAnsi="Times New Roman" w:eastAsia="Times New Roman" w:cs="Times New Roman"/>
          <w:b w:val="0"/>
          <w:sz w:val="24"/>
        </w:rPr>
        <w:t>We derive a semi-analytic Cov(α̂, β̂) for the two-step product-method MR mediation design under two overlap channels — shared instruments (n_s &gt; 0) and mediator–outcome sample overlap (ρ_MY &gt; 0) — together with a conservative reliability bound that triggers a Monte Carlo fallback in weak-instrument/high-overlap regimes. In summary-data two-step MR mediation α̂ and β̂ are usually ratio (or IVW) estimators, and the standard delta-method variance is</w:t>
      </w:r>
    </w:p>
    <w:p>
      <w:pPr>
        <w:spacing w:before="120" w:after="120"/>
        <w:jc w:val="center"/>
      </w:pPr>
      <m:oMath>
        <m:r>
          <m:rPr>
            <m:sty m:val="p"/>
          </m:rPr>
          <m:t>Var</m:t>
        </m:r>
        <m:r>
          <m:t>(</m:t>
        </m:r>
        <m:acc>
          <m:accPr>
            <m:chr m:val="^"/>
          </m:accPr>
          <m:e>
            <m:r>
              <m:t>α</m:t>
            </m:r>
          </m:e>
        </m:acc>
        <m:acc>
          <m:accPr>
            <m:chr m:val="^"/>
          </m:accPr>
          <m:e>
            <m:r>
              <m:t>β</m:t>
            </m:r>
          </m:e>
        </m:acc>
        <m:r>
          <m:t>)</m:t>
        </m:r>
        <m:r>
          <m:t>≈</m:t>
        </m:r>
        <m:sSup>
          <m:e>
            <m:acc>
              <m:accPr>
                <m:chr m:val="^"/>
              </m:accPr>
              <m:e>
                <m:r>
                  <m:t>β</m:t>
                </m:r>
              </m:e>
            </m:acc>
          </m:e>
          <m:sup>
            <m:r>
              <m:rPr>
                <m:sty m:val="p"/>
              </m:rPr>
              <m:t>2</m:t>
            </m:r>
          </m:sup>
        </m:sSup>
        <m:r>
          <m:rPr>
            <m:sty m:val="p"/>
          </m:rPr>
          <m:t>Var</m:t>
        </m:r>
        <m:r>
          <m:t>(</m:t>
        </m:r>
        <m:acc>
          <m:accPr>
            <m:chr m:val="^"/>
          </m:accPr>
          <m:e>
            <m:r>
              <m:t>α</m:t>
            </m:r>
          </m:e>
        </m:acc>
        <m:r>
          <m:t>)</m:t>
        </m:r>
        <m:r>
          <m:t>+</m:t>
        </m:r>
        <m:sSup>
          <m:e>
            <m:acc>
              <m:accPr>
                <m:chr m:val="^"/>
              </m:accPr>
              <m:e>
                <m:r>
                  <m:t>α</m:t>
                </m:r>
              </m:e>
            </m:acc>
          </m:e>
          <m:sup>
            <m:r>
              <m:rPr>
                <m:sty m:val="p"/>
              </m:rPr>
              <m:t>2</m:t>
            </m:r>
          </m:sup>
        </m:sSup>
        <m:r>
          <m:rPr>
            <m:sty m:val="p"/>
          </m:rPr>
          <m:t>Var</m:t>
        </m:r>
        <m:r>
          <m:t>(</m:t>
        </m:r>
        <m:acc>
          <m:accPr>
            <m:chr m:val="^"/>
          </m:accPr>
          <m:e>
            <m:r>
              <m:t>β</m:t>
            </m:r>
          </m:e>
        </m:acc>
        <m:r>
          <m:t>)</m:t>
        </m:r>
      </m:oMath>
    </w:p>
    <w:p>
      <w:pPr>
        <w:ind w:firstLine="480"/>
        <w:jc w:val="both"/>
      </w:pPr>
      <w:r>
        <w:rPr>
          <w:rFonts w:ascii="Times New Roman" w:hAnsi="Times New Roman" w:eastAsia="Times New Roman" w:cs="Times New Roman"/>
          <w:b w:val="0"/>
          <w:sz w:val="24"/>
        </w:rPr>
        <w:t xml:space="preserve">which omits 2α̂β̂·Cov(α̂, β̂). This omitted term is non-zero in two structurally different situations: (i) a </w:t>
      </w:r>
      <w:r>
        <w:rPr>
          <w:rFonts w:ascii="Times New Roman" w:hAnsi="Times New Roman" w:eastAsia="Times New Roman" w:cs="Times New Roman"/>
          <w:b/>
          <w:sz w:val="24"/>
        </w:rPr>
        <w:t>shared-instrument channel</w:t>
      </w:r>
      <w:r>
        <w:rPr>
          <w:rFonts w:ascii="Times New Roman" w:hAnsi="Times New Roman" w:eastAsia="Times New Roman" w:cs="Times New Roman"/>
          <w:b w:val="0"/>
          <w:sz w:val="24"/>
        </w:rPr>
        <w:t xml:space="preserve">, in which the step-1 and step-2 instrument sets have a non-empty intersection, n_s = |G′_X ∩ G′_M| &gt; 0; and (ii) a </w:t>
      </w:r>
      <w:r>
        <w:rPr>
          <w:rFonts w:ascii="Times New Roman" w:hAnsi="Times New Roman" w:eastAsia="Times New Roman" w:cs="Times New Roman"/>
          <w:b/>
          <w:sz w:val="24"/>
        </w:rPr>
        <w:t>sample-overlap channel</w:t>
      </w:r>
      <w:r>
        <w:rPr>
          <w:rFonts w:ascii="Times New Roman" w:hAnsi="Times New Roman" w:eastAsia="Times New Roman" w:cs="Times New Roman"/>
          <w:b w:val="0"/>
          <w:sz w:val="24"/>
        </w:rPr>
        <w:t>, in which the mediator and outcome GWAS share participants, inducing a non-zero residual correlation ρ_MY between the two regression errors even when the instrument sets are disjoint. Under a standard IVW data-generating process the covariance decomposes as</w:t>
      </w:r>
    </w:p>
    <w:p>
      <w:pPr>
        <w:spacing w:before="120" w:after="120"/>
        <w:jc w:val="center"/>
      </w:pPr>
      <m:oMath>
        <m:r>
          <m:rPr>
            <m:sty m:val="p"/>
          </m:rPr>
          <m:t>Cov</m:t>
        </m:r>
        <m:r>
          <m:t>(</m:t>
        </m:r>
        <m:acc>
          <m:accPr>
            <m:chr m:val="^"/>
          </m:accPr>
          <m:e>
            <m:r>
              <m:t>α</m:t>
            </m:r>
          </m:e>
        </m:acc>
        <m:r>
          <m:t>,</m:t>
        </m:r>
        <m:acc>
          <m:accPr>
            <m:chr m:val="^"/>
          </m:accPr>
          <m:e>
            <m:r>
              <m:t>β</m:t>
            </m:r>
          </m:e>
        </m:acc>
        <m:r>
          <m:t>)</m:t>
        </m:r>
        <m:r>
          <m:t>=</m:t>
        </m:r>
        <m:sSub>
          <m:e>
            <m:r>
              <m:rPr>
                <m:sty m:val="p"/>
              </m:rPr>
              <m:t>Cov</m:t>
            </m:r>
          </m:e>
          <m:sub>
            <m:r>
              <m:rPr>
                <m:sty m:val="p"/>
              </m:rPr>
              <m:t>shared</m:t>
            </m:r>
          </m:sub>
        </m:sSub>
        <m:r>
          <m:t>+</m:t>
        </m:r>
        <m:sSub>
          <m:e>
            <m:r>
              <m:rPr>
                <m:sty m:val="p"/>
              </m:rPr>
              <m:t>Cov</m:t>
            </m:r>
          </m:e>
          <m:sub>
            <m:r>
              <m:rPr>
                <m:sty m:val="p"/>
              </m:rPr>
              <m:t>overlap</m:t>
            </m:r>
          </m:sub>
        </m:sSub>
      </m:oMath>
    </w:p>
    <w:p>
      <w:pPr>
        <w:ind w:firstLine="480"/>
        <w:jc w:val="both"/>
      </w:pPr>
      <w:r>
        <w:rPr>
          <w:rFonts w:ascii="Times New Roman" w:hAnsi="Times New Roman" w:eastAsia="Times New Roman" w:cs="Times New Roman"/>
          <w:b w:val="0"/>
          <w:sz w:val="24"/>
        </w:rPr>
        <w:t>where Cov_shared captures the contribution of the n_s SNPs that enter both regressions and Cov_overlap captures the ρ_MY channel. The corrected variance of the indirect effect is therefore</w:t>
      </w:r>
    </w:p>
    <w:p>
      <w:pPr>
        <w:spacing w:before="120" w:after="120"/>
        <w:jc w:val="center"/>
      </w:pPr>
      <m:oMath>
        <m:r>
          <m:rPr>
            <m:sty m:val="p"/>
          </m:rPr>
          <m:t>Var</m:t>
        </m:r>
        <m:r>
          <m:t>(</m:t>
        </m:r>
        <m:acc>
          <m:accPr>
            <m:chr m:val="^"/>
          </m:accPr>
          <m:e>
            <m:r>
              <m:t>α</m:t>
            </m:r>
          </m:e>
        </m:acc>
        <m:acc>
          <m:accPr>
            <m:chr m:val="^"/>
          </m:accPr>
          <m:e>
            <m:r>
              <m:t>β</m:t>
            </m:r>
          </m:e>
        </m:acc>
        <m:r>
          <m:t>)</m:t>
        </m:r>
        <m:r>
          <m:t>≈</m:t>
        </m:r>
        <m:sSup>
          <m:e>
            <m:acc>
              <m:accPr>
                <m:chr m:val="^"/>
              </m:accPr>
              <m:e>
                <m:r>
                  <m:t>β</m:t>
                </m:r>
              </m:e>
            </m:acc>
          </m:e>
          <m:sup>
            <m:r>
              <m:rPr>
                <m:sty m:val="p"/>
              </m:rPr>
              <m:t>2</m:t>
            </m:r>
          </m:sup>
        </m:sSup>
        <m:r>
          <m:rPr>
            <m:sty m:val="p"/>
          </m:rPr>
          <m:t>Var</m:t>
        </m:r>
        <m:r>
          <m:t>(</m:t>
        </m:r>
        <m:acc>
          <m:accPr>
            <m:chr m:val="^"/>
          </m:accPr>
          <m:e>
            <m:r>
              <m:t>α</m:t>
            </m:r>
          </m:e>
        </m:acc>
        <m:r>
          <m:t>)</m:t>
        </m:r>
        <m:r>
          <m:t>+</m:t>
        </m:r>
        <m:sSup>
          <m:e>
            <m:acc>
              <m:accPr>
                <m:chr m:val="^"/>
              </m:accPr>
              <m:e>
                <m:r>
                  <m:t>α</m:t>
                </m:r>
              </m:e>
            </m:acc>
          </m:e>
          <m:sup>
            <m:r>
              <m:rPr>
                <m:sty m:val="p"/>
              </m:rPr>
              <m:t>2</m:t>
            </m:r>
          </m:sup>
        </m:sSup>
        <m:r>
          <m:rPr>
            <m:sty m:val="p"/>
          </m:rPr>
          <m:t>Var</m:t>
        </m:r>
        <m:r>
          <m:t>(</m:t>
        </m:r>
        <m:acc>
          <m:accPr>
            <m:chr m:val="^"/>
          </m:accPr>
          <m:e>
            <m:r>
              <m:t>β</m:t>
            </m:r>
          </m:e>
        </m:acc>
        <m:r>
          <m:t>)</m:t>
        </m:r>
        <m:r>
          <m:t>+</m:t>
        </m:r>
        <m:r>
          <m:rPr>
            <m:sty m:val="p"/>
          </m:rPr>
          <m:t>2</m:t>
        </m:r>
        <m:acc>
          <m:accPr>
            <m:chr m:val="^"/>
          </m:accPr>
          <m:e>
            <m:r>
              <m:t>α</m:t>
            </m:r>
          </m:e>
        </m:acc>
        <m:acc>
          <m:accPr>
            <m:chr m:val="^"/>
          </m:accPr>
          <m:e>
            <m:r>
              <m:t>β</m:t>
            </m:r>
          </m:e>
        </m:acc>
        <m:r>
          <m:rPr>
            <m:sty m:val="p"/>
          </m:rPr>
          <m:t>Cov</m:t>
        </m:r>
        <m:r>
          <m:t>(</m:t>
        </m:r>
        <m:acc>
          <m:accPr>
            <m:chr m:val="^"/>
          </m:accPr>
          <m:e>
            <m:r>
              <m:t>α</m:t>
            </m:r>
          </m:e>
        </m:acc>
        <m:r>
          <m:t>,</m:t>
        </m:r>
        <m:acc>
          <m:accPr>
            <m:chr m:val="^"/>
          </m:accPr>
          <m:e>
            <m:r>
              <m:t>β</m:t>
            </m:r>
          </m:e>
        </m:acc>
        <m:r>
          <m:t>)</m:t>
        </m:r>
      </m:oMath>
    </w:p>
    <w:p>
      <w:pPr>
        <w:ind w:firstLine="480"/>
        <w:jc w:val="both"/>
      </w:pPr>
      <w:r>
        <w:rPr>
          <w:rFonts w:ascii="Times New Roman" w:hAnsi="Times New Roman" w:eastAsia="Times New Roman" w:cs="Times New Roman"/>
          <w:b w:val="0"/>
          <w:sz w:val="24"/>
        </w:rPr>
        <w:t>Because the correction rests on a first-order delta approximation, we also derive a single conservative relative-error bound</w:t>
      </w:r>
    </w:p>
    <w:p>
      <w:pPr>
        <w:spacing w:before="120" w:after="120"/>
        <w:jc w:val="center"/>
      </w:pPr>
      <m:oMath>
        <m:r>
          <m:rPr>
            <m:sty m:val="p"/>
          </m:rPr>
          <m:t>B</m:t>
        </m:r>
        <m:r>
          <m:t>(</m:t>
        </m:r>
        <m:r>
          <m:t>F</m:t>
        </m:r>
        <m:r>
          <m:t>,</m:t>
        </m:r>
        <m:sSub>
          <m:e>
            <m:r>
              <m:t>ρ</m:t>
            </m:r>
          </m:e>
          <m:sub>
            <m:r>
              <m:rPr>
                <m:sty m:val="p"/>
              </m:rPr>
              <m:t>MY</m:t>
            </m:r>
          </m:sub>
        </m:sSub>
        <m:r>
          <m:t>,</m:t>
        </m:r>
        <m:sSub>
          <m:e>
            <m:r>
              <m:t>π</m:t>
            </m:r>
          </m:e>
          <m:sub>
            <m:r>
              <m:rPr>
                <m:sty m:val="p"/>
              </m:rPr>
              <m:t>shared</m:t>
            </m:r>
          </m:sub>
        </m:sSub>
        <m:r>
          <m:t>)</m:t>
        </m:r>
        <m:r>
          <m:t>=</m:t>
        </m:r>
        <m:f>
          <m:num>
            <m:r>
              <m:rPr>
                <m:sty m:val="p"/>
              </m:rPr>
              <m:t>2</m:t>
            </m:r>
          </m:num>
          <m:den>
            <m:r>
              <m:t>F</m:t>
            </m:r>
          </m:den>
        </m:f>
        <m:r>
          <m:t>+</m:t>
        </m:r>
        <m:f>
          <m:num>
            <m:r>
              <m:rPr>
                <m:sty m:val="p"/>
              </m:rPr>
              <m:t>2</m:t>
            </m:r>
            <m:d>
              <m:dPr>
                <m:begChr m:val="|"/>
                <m:endChr m:val="|"/>
              </m:dPr>
              <m:e>
                <m:sSub>
                  <m:e>
                    <m:r>
                      <m:t>ρ</m:t>
                    </m:r>
                  </m:e>
                  <m:sub>
                    <m:r>
                      <m:rPr>
                        <m:sty m:val="p"/>
                      </m:rPr>
                      <m:t>MY</m:t>
                    </m:r>
                  </m:sub>
                </m:sSub>
              </m:e>
            </m:d>
            <m:sSub>
              <m:e>
                <m:r>
                  <m:t>π</m:t>
                </m:r>
              </m:e>
              <m:sub>
                <m:r>
                  <m:rPr>
                    <m:sty m:val="p"/>
                  </m:rPr>
                  <m:t>shared</m:t>
                </m:r>
              </m:sub>
            </m:sSub>
          </m:num>
          <m:den>
            <m:rad>
              <m:radPr/>
              <m:deg>
                <m:r>
                  <m:t>2</m:t>
                </m:r>
              </m:deg>
              <m:e>
                <m:r>
                  <m:t>F</m:t>
                </m:r>
              </m:e>
            </m:rad>
          </m:den>
        </m:f>
        <m:r>
          <m:t>+</m:t>
        </m:r>
        <m:f>
          <m:num>
            <m:sSup>
              <m:e>
                <m:sSub>
                  <m:e>
                    <m:r>
                      <m:t>ρ</m:t>
                    </m:r>
                  </m:e>
                  <m:sub>
                    <m:r>
                      <m:rPr>
                        <m:sty m:val="p"/>
                      </m:rPr>
                      <m:t>MY</m:t>
                    </m:r>
                  </m:sub>
                </m:sSub>
              </m:e>
              <m:sup>
                <m:r>
                  <m:rPr>
                    <m:sty m:val="p"/>
                  </m:rPr>
                  <m:t>2</m:t>
                </m:r>
              </m:sup>
            </m:sSup>
            <m:sSub>
              <m:e>
                <m:r>
                  <m:t>π</m:t>
                </m:r>
              </m:e>
              <m:sub>
                <m:r>
                  <m:rPr>
                    <m:sty m:val="p"/>
                  </m:rPr>
                  <m:t>shared</m:t>
                </m:r>
              </m:sub>
            </m:sSub>
          </m:num>
          <m:den>
            <m:r>
              <m:t>F</m:t>
            </m:r>
          </m:den>
        </m:f>
      </m:oMath>
    </w:p>
    <w:p>
      <w:pPr>
        <w:ind w:firstLine="480"/>
        <w:jc w:val="both"/>
      </w:pPr>
      <w:r>
        <w:rPr>
          <w:rFonts w:ascii="Times New Roman" w:hAnsi="Times New Roman" w:eastAsia="Times New Roman" w:cs="Times New Roman"/>
          <w:b w:val="0"/>
          <w:sz w:val="24"/>
        </w:rPr>
        <w:t>with a default relative-error budget ε = 0.10. The bound is sufficient: B &lt; ε guarantees reliability, and it is deliberately not tight — across the validation grid the observed relative error is typically 5–20× smaller than B, so B should be read as a safety threshold for triggering the Monte Carlo fallback rather than as an estimate of the actual error. Cells with weak instruments (F &lt; 15) and high shared-instrument proportion (π_shared &gt; 0.5) are flagged for a Monte Carlo cross-check (Supplementary Methods S6.3). The complete algebraic development, variance expressions and bound derivation are in Supplementary Methods S1–S6. The correction ships as the R function estimate_cov_prod_mr() and a TwoSampleMR-compatible wrapper mr_cov_correct(), both deposited in the replication repository.</w:t>
      </w:r>
    </w:p>
    <w:p>
      <w:pPr>
        <w:ind w:firstLine="480"/>
        <w:jc w:val="both"/>
      </w:pPr>
      <w:r>
        <w:rPr>
          <w:rFonts w:ascii="Times New Roman" w:hAnsi="Times New Roman" w:eastAsia="Times New Roman" w:cs="Times New Roman"/>
          <w:b/>
          <w:sz w:val="24"/>
        </w:rPr>
        <w:t>Validation.</w:t>
      </w:r>
      <w:r>
        <w:rPr>
          <w:rFonts w:ascii="Times New Roman" w:hAnsi="Times New Roman" w:eastAsia="Times New Roman" w:cs="Times New Roman"/>
          <w:b w:val="0"/>
          <w:sz w:val="24"/>
        </w:rPr>
        <w:t xml:space="preserve"> The analytical covariance was validated on a 180-cell simulation grid (instrument strength F, number of shared instruments n_s, effect signs and magnitudes; 4,000 replications per cell) against the empirical standard deviation of α̂β̂, and on a 12-cell targeted sweep at non-degenerate π_shared benchmarked against a bootstrap reference (Supplementary Methods S6, Supplementary Fig. S1, Supplementary Fig. S2). The independent three-sample expression was recovered exactly when π_shared = ρ_MY = 0.</w:t>
      </w:r>
    </w:p>
    <w:p>
      <w:pPr>
        <w:ind w:firstLine="480"/>
        <w:jc w:val="both"/>
      </w:pPr>
      <w:r>
        <w:rPr>
          <w:rFonts w:ascii="Times New Roman" w:hAnsi="Times New Roman" w:eastAsia="Times New Roman" w:cs="Times New Roman"/>
          <w:b/>
          <w:sz w:val="24"/>
        </w:rPr>
        <w:t>Literature coding.</w:t>
      </w:r>
      <w:r>
        <w:rPr>
          <w:rFonts w:ascii="Times New Roman" w:hAnsi="Times New Roman" w:eastAsia="Times New Roman" w:cs="Times New Roman"/>
          <w:b w:val="0"/>
          <w:sz w:val="24"/>
        </w:rPr>
        <w:t xml:space="preserve"> Nine PubMed query strings (final search 2026-08-31, no language restriction; records indexed in PubMed through that date) were screened to code 695 primary studies on design type and overlap handling; 333 (47.9% [95% CI 44.2–51.6%]) are summary-data two-step MR mediation (PRISMA 2020 flow, Fig. 2). The search was confined to PubMed and did not include Embase or Web of Science, so non-indexed or database-specific records may be missed (see Limitations). The query strings and the full hits→screening trail are in Codebook S1 and the PRISMA 2020 checklist (Supplementary Table S2). Rules are in Codebook S1. Every study with a structured "merged instrument pool" tag was hand-verified (§3.2). An independent second coder (C.Y., co-author) blindly re-coded a stratified 50-study sample against a sealed answer key to quantify classification reproducibility (Supplementary Methods S7).</w:t>
      </w:r>
    </w:p>
    <w:p>
      <w:pPr>
        <w:ind w:firstLine="480"/>
        <w:jc w:val="both"/>
      </w:pPr>
      <w:r>
        <w:rPr>
          <w:rFonts w:ascii="Times New Roman" w:hAnsi="Times New Roman" w:eastAsia="Times New Roman" w:cs="Times New Roman"/>
          <w:b/>
          <w:sz w:val="24"/>
        </w:rPr>
        <w:t>Real-data application.</w:t>
      </w:r>
      <w:r>
        <w:rPr>
          <w:rFonts w:ascii="Times New Roman" w:hAnsi="Times New Roman" w:eastAsia="Times New Roman" w:cs="Times New Roman"/>
          <w:b w:val="0"/>
          <w:sz w:val="24"/>
        </w:rPr>
        <w:t xml:space="preserve"> Summary statistics and clumped instrument sets came from the IEU OpenGWAS / MR-Base platform </w:t>
      </w:r>
      <w:r>
        <w:rPr>
          <w:rFonts w:ascii="Times New Roman" w:hAnsi="Times New Roman" w:eastAsia="Times New Roman" w:cs="Times New Roman"/>
          <w:b w:val="0"/>
          <w:sz w:val="24"/>
          <w:vertAlign w:val="superscript"/>
        </w:rPr>
        <w:t>23</w:t>
      </w:r>
      <w:r>
        <w:rPr>
          <w:rFonts w:ascii="Times New Roman" w:hAnsi="Times New Roman" w:eastAsia="Times New Roman" w:cs="Times New Roman"/>
          <w:b w:val="0"/>
          <w:sz w:val="24"/>
        </w:rPr>
        <w:t xml:space="preserve">; per-study re-estimation used harmonized fixed-effects inverse-variance weighting with clumped instruments. Weak-instrument robustness was enforced at the F &gt; 10 threshold </w:t>
      </w:r>
      <w:r>
        <w:rPr>
          <w:rFonts w:ascii="Times New Roman" w:hAnsi="Times New Roman" w:eastAsia="Times New Roman" w:cs="Times New Roman"/>
          <w:b w:val="0"/>
          <w:sz w:val="24"/>
          <w:vertAlign w:val="superscript"/>
        </w:rPr>
        <w:t>24</w:t>
      </w:r>
      <w:r>
        <w:rPr>
          <w:rFonts w:ascii="Times New Roman" w:hAnsi="Times New Roman" w:eastAsia="Times New Roman" w:cs="Times New Roman"/>
          <w:b w:val="0"/>
          <w:sz w:val="24"/>
        </w:rPr>
        <w:t xml:space="preserve">. Multivariable extensions follow the weak- and pleiotropy-robust testing framework of Sanderson et al. </w:t>
      </w:r>
      <w:r>
        <w:rPr>
          <w:rFonts w:ascii="Times New Roman" w:hAnsi="Times New Roman" w:eastAsia="Times New Roman" w:cs="Times New Roman"/>
          <w:b w:val="0"/>
          <w:sz w:val="24"/>
          <w:vertAlign w:val="superscript"/>
        </w:rPr>
        <w:t>25</w:t>
      </w:r>
      <w:r>
        <w:rPr>
          <w:rFonts w:ascii="Times New Roman" w:hAnsi="Times New Roman" w:eastAsia="Times New Roman" w:cs="Times New Roman"/>
          <w:b w:val="0"/>
          <w:sz w:val="24"/>
        </w:rPr>
        <w:t xml:space="preserve">. LD Score regression separates polygenicity from confounding </w:t>
      </w:r>
      <w:r>
        <w:rPr>
          <w:rFonts w:ascii="Times New Roman" w:hAnsi="Times New Roman" w:eastAsia="Times New Roman" w:cs="Times New Roman"/>
          <w:b w:val="0"/>
          <w:sz w:val="24"/>
          <w:vertAlign w:val="superscript"/>
        </w:rPr>
        <w:t>26</w:t>
      </w:r>
      <w:r>
        <w:rPr>
          <w:rFonts w:ascii="Times New Roman" w:hAnsi="Times New Roman" w:eastAsia="Times New Roman" w:cs="Times New Roman"/>
          <w:b w:val="0"/>
          <w:sz w:val="24"/>
        </w:rPr>
        <w:t xml:space="preserve">. Our target estimand follows the causal-estimand framework of Yao et al. </w:t>
      </w:r>
      <w:r>
        <w:rPr>
          <w:rFonts w:ascii="Times New Roman" w:hAnsi="Times New Roman" w:eastAsia="Times New Roman" w:cs="Times New Roman"/>
          <w:b w:val="0"/>
          <w:sz w:val="24"/>
          <w:vertAlign w:val="superscript"/>
        </w:rPr>
        <w:t>27</w:t>
      </w:r>
      <w:r>
        <w:rPr>
          <w:rFonts w:ascii="Times New Roman" w:hAnsi="Times New Roman" w:eastAsia="Times New Roman" w:cs="Times New Roman"/>
          <w:b w:val="0"/>
          <w:sz w:val="24"/>
        </w:rPr>
        <w:t>. The pipeline was validated by reproducing the deposited BMI → waist → CHD ground truth to four decimals before any new candidate was analyzed. We treat the mediator–outcome sample-overlap parameter ρ_MY as a sensitivity parameter varied from 0 to 1 across the validation grids (§3.1) rather than estimating it empirically: a local correlation of mediator and outcome SNP effects at the n_s = 1–3 overlapping instruments does not identify the genome-wide error correlation the model assumes and has unstable (or, at n_s = 1, undefined) sampling variance; the correction's direction and the nominal-coverage result are unchanged across the full ρ_MY ∈ [0,1] range (§3.4).</w:t>
      </w:r>
    </w:p>
    <w:p>
      <w:pPr>
        <w:spacing w:before="200" w:after="80"/>
        <w:jc w:val="left"/>
      </w:pPr>
      <w:r>
        <w:rPr>
          <w:rFonts w:ascii="Times New Roman" w:hAnsi="Times New Roman" w:eastAsia="Times New Roman" w:cs="Times New Roman"/>
          <w:b/>
          <w:sz w:val="26"/>
        </w:rPr>
        <w:t>3. Results</w:t>
      </w:r>
    </w:p>
    <w:p>
      <w:pPr>
        <w:spacing w:before="200" w:after="80"/>
        <w:jc w:val="left"/>
      </w:pPr>
      <w:r>
        <w:rPr>
          <w:rFonts w:ascii="Times New Roman" w:hAnsi="Times New Roman" w:eastAsia="Times New Roman" w:cs="Times New Roman"/>
          <w:b/>
          <w:sz w:val="24"/>
        </w:rPr>
        <w:t>3.1 Simulation: coverage and bias under overlap</w:t>
      </w:r>
    </w:p>
    <w:p>
      <w:pPr>
        <w:ind w:firstLine="480"/>
        <w:jc w:val="both"/>
      </w:pPr>
      <w:r>
        <w:rPr>
          <w:rFonts w:ascii="Times New Roman" w:hAnsi="Times New Roman" w:eastAsia="Times New Roman" w:cs="Times New Roman"/>
          <w:b w:val="0"/>
          <w:sz w:val="24"/>
        </w:rPr>
        <w:t>On the 180-cell grid (regime-map data-generating process; instrument strength F, number of shared instruments n_s, effect sign and magnitude; 4,000 replicates per cell) the naive first-order delta SE omits the negative shared-instrument covariance, so the naive SE overstates the corrected variance. The corrected SE tracks the empirical sampling SD of α̂β̂ (ratio ≈ 1.0 at strong instruments), whereas the naive SE is inflated: SE_naive/SD(α̂β̂) rises from ≈1.01 at n_s = 0 to 1.55–1.65 at full overlap (Fig. S3). In coverage terms this divide appears as a strength-dependent regime: at strong instruments (F ≈ 1,000) the inflated naive SE makes the naive interval over-cover (up to ≈99.6% at extreme overlap), while the corrected interval is calibrated to ≈95%; at weak instruments (F ≈ 10) the IVW product estimator is biased (O(1/F) attenuation) and that bias dominates, so both intervals under-cover and the variance correction alone cannot restore nominal coverage (Fig. S1; the same caveat detailed in §3.8). When π_shared = 0 (or n_s = 0) the analytical covariance is algebraically exactly 0 and the method reduces to the published independent-sample expression; the 12-cell targeted sweep satisfies the conservative reliability bound B (Supplementary Fig. S2), the worst cell (F = 10, π_shared = 0.10) showing 14.1% error against a bound near 30%, with observed errors 5–20× smaller than B. Using the analytically computed covariance the correction strictly narrows every cell (the regime map reports 0/36 cells widen, §3.8); if the covariance were instead estimated from finite samples, rare sign flips of the estimate could occasionally widen an interval — a sampling artefact that did not occur in any of the 113 realised trios, where the analytic covariance is used.</w:t>
      </w:r>
    </w:p>
    <w:p>
      <w:pPr>
        <w:spacing w:before="200" w:after="80"/>
        <w:jc w:val="left"/>
      </w:pPr>
      <w:r>
        <w:rPr>
          <w:rFonts w:ascii="Times New Roman" w:hAnsi="Times New Roman" w:eastAsia="Times New Roman" w:cs="Times New Roman"/>
          <w:b/>
          <w:sz w:val="23"/>
        </w:rPr>
        <w:t>3.1.1 When does the correction change significance? A flip-probability scan</w:t>
      </w:r>
    </w:p>
    <w:p>
      <w:pPr>
        <w:ind w:firstLine="480"/>
        <w:jc w:val="both"/>
      </w:pPr>
      <w:r>
        <w:rPr>
          <w:rFonts w:ascii="Times New Roman" w:hAnsi="Times New Roman" w:eastAsia="Times New Roman" w:cs="Times New Roman"/>
          <w:b w:val="0"/>
          <w:sz w:val="24"/>
        </w:rPr>
        <w:t xml:space="preserve">Because the covariance is not reported in the literature, a reader may ask whether the correction can actually flip a published conclusion. We answer this systematically on a 200-cell design grid (F ∈ {10,20,30,50} × ρ_MY ∈ {0,0.2,0.5,0.8,1} × π_shared ∈ {0.1,0.3,0.5,0.8,1.0}, under both concordant and discordant mediation signs), evaluating the flip probability analytically across the true indirect-effect non-centrality λ = δ/σ_naive ∈ [0,4]. The result is structural rather than empirical: by Remark S2.5a the shared-instrument covariance satisfies sign(Cov_shared) = −sign(α̂β̂), so the corrected SE is </w:t>
      </w:r>
      <w:r>
        <w:rPr>
          <w:rFonts w:ascii="Times New Roman" w:hAnsi="Times New Roman" w:eastAsia="Times New Roman" w:cs="Times New Roman"/>
          <w:b w:val="0"/>
          <w:i/>
          <w:sz w:val="24"/>
        </w:rPr>
        <w:t>smaller</w:t>
      </w:r>
      <w:r>
        <w:rPr>
          <w:rFonts w:ascii="Times New Roman" w:hAnsi="Times New Roman" w:eastAsia="Times New Roman" w:cs="Times New Roman"/>
          <w:b w:val="0"/>
          <w:sz w:val="24"/>
        </w:rPr>
        <w:t xml:space="preserve"> than the naive SE in every cell and for every sign. The correction can therefore only </w:t>
      </w:r>
      <w:r>
        <w:rPr>
          <w:rFonts w:ascii="Times New Roman" w:hAnsi="Times New Roman" w:eastAsia="Times New Roman" w:cs="Times New Roman"/>
          <w:b w:val="0"/>
          <w:i/>
          <w:sz w:val="24"/>
        </w:rPr>
        <w:t>gain</w:t>
      </w:r>
      <w:r>
        <w:rPr>
          <w:rFonts w:ascii="Times New Roman" w:hAnsi="Times New Roman" w:eastAsia="Times New Roman" w:cs="Times New Roman"/>
          <w:b w:val="0"/>
          <w:sz w:val="24"/>
        </w:rPr>
        <w:t xml:space="preserve"> significance — turning a naively non-significant result significant — and can never remove it: </w:t>
      </w:r>
      <w:r>
        <w:rPr>
          <w:rFonts w:ascii="Times New Roman" w:hAnsi="Times New Roman" w:eastAsia="Times New Roman" w:cs="Times New Roman"/>
          <w:b/>
          <w:sz w:val="24"/>
        </w:rPr>
        <w:t>a flip-loss is structurally impossible</w:t>
      </w:r>
      <w:r>
        <w:rPr>
          <w:rFonts w:ascii="Times New Roman" w:hAnsi="Times New Roman" w:eastAsia="Times New Roman" w:cs="Times New Roman"/>
          <w:b w:val="0"/>
          <w:sz w:val="24"/>
        </w:rPr>
        <w:t>. The grid-wide maximum flip-gain probability is 5.7% (at F = 30, ρ_MY = 0, π_shared = 1.0, λ ≈ 2.0), and only 3/100 design points exceed 5%; the discordant arm behaves in the same direction. Because the sign error documented in Supplementary Methods S2.5 (Remark S2.5a) had previously reversed the discordant arm, the "flip-loss" probability of 10.4% reported in an earlier version of this manuscript is withdrawn — it cannot occur. In all cells the flip band straddles the naive 1.96 threshold (roughly λ ∈ [1.7, 2.4]), so only results that are marginally significant under the naive method are ever affected, and the flip-gain probability rises monotonically with π_shared. Because the realised published trios have small effects far from this boundary (§3.4), no flip is observed empirically, which is consistent with the simulation rather than a selectivity artefact.</w:t>
      </w:r>
    </w:p>
    <w:p>
      <w:pPr>
        <w:spacing w:before="200" w:after="80"/>
        <w:jc w:val="left"/>
      </w:pPr>
      <w:r>
        <w:rPr>
          <w:rFonts w:ascii="Times New Roman" w:hAnsi="Times New Roman" w:eastAsia="Times New Roman" w:cs="Times New Roman"/>
          <w:b/>
          <w:sz w:val="24"/>
        </w:rPr>
        <w:t>3.2 Empirical prevalence of overlap-prone designs</w:t>
      </w:r>
    </w:p>
    <w:p>
      <w:pPr>
        <w:ind w:firstLine="480"/>
        <w:jc w:val="both"/>
      </w:pPr>
      <w:r>
        <w:rPr>
          <w:rFonts w:ascii="Times New Roman" w:hAnsi="Times New Roman" w:eastAsia="Times New Roman" w:cs="Times New Roman"/>
          <w:b w:val="0"/>
          <w:sz w:val="24"/>
        </w:rPr>
        <w:t xml:space="preserve">Among the 333 two-step MR mediation studies only two carried a structured "merged instrument pool" tag, and both are misclassified: S110 is an MVMR joint-IV design, and S245 is standard sequential selection (a coding error). Thus </w:t>
      </w:r>
      <w:r>
        <w:rPr>
          <w:rFonts w:ascii="Times New Roman" w:hAnsi="Times New Roman" w:eastAsia="Times New Roman" w:cs="Times New Roman"/>
          <w:b/>
          <w:sz w:val="24"/>
        </w:rPr>
        <w:t>no study is correctly labeled as a merged-pool design in 695 coded studies</w:t>
      </w:r>
      <w:r>
        <w:rPr>
          <w:rFonts w:ascii="Times New Roman" w:hAnsi="Times New Roman" w:eastAsia="Times New Roman" w:cs="Times New Roman"/>
          <w:b w:val="0"/>
          <w:sz w:val="24"/>
        </w:rPr>
        <w:t xml:space="preserve"> — the field does not structurally track the overlap our method corrects. Overlap handling was assessable for 54/333 studies; only 19 (35.2% [95% CI 23.8-48.5%]) reported or adjusted for it. Under the typical classification, </w:t>
      </w:r>
      <w:r>
        <w:rPr>
          <w:rFonts w:ascii="Times New Roman" w:hAnsi="Times New Roman" w:eastAsia="Times New Roman" w:cs="Times New Roman"/>
          <w:b/>
          <w:sz w:val="24"/>
        </w:rPr>
        <w:t>39.3% (95% CI 34.2-44.7%)</w:t>
      </w:r>
      <w:r>
        <w:rPr>
          <w:rFonts w:ascii="Times New Roman" w:hAnsi="Times New Roman" w:eastAsia="Times New Roman" w:cs="Times New Roman"/>
          <w:b w:val="0"/>
          <w:sz w:val="24"/>
        </w:rPr>
        <w:t xml:space="preserve"> of the 333 studies draw instruments from overlapping GWAS pools without disclosing overlap handling and are therefore capable of non-zero Cov(α̂, β̂) (conservative 9.3% [95% CI 6.6-12.9%], structural 41.1% [95% CI 36.0-46.5%]; Fig. 3). The 39.3% "capable" count is design-based: design_type is ascertainable for all 333 records, so the 279 studies whose overlap-handling disclosure could not be assessed still enter this numerator whenever their design indicates an overlap-capable instrument strategy, whereas the 19/54 disclosure rate is computed only among the 54 studies where disclosure status was ascertainable. Beyond the two mis-tagged cases, 78 of 695 coded reports (11.2% [95% CI 9.1-13.8%]) used an MVMR-variant design whose merged-pool form is the maximal-overlap regime the correction addresses; its semi-analytic extension is derived in Supplementary Methods S8 and illustrated on the audited S110 design. This matters because S110 is a genuine published merged-pool analysis that was simply mislabeled as a different design — it proves the maximal-overlap regime the correction targets is not a theoretical construct but a design the literature already runs, only without the overlap being acknowledged; the same silence is what leaves an opposite-signed trio (§3.7) unable to report how large its correction is.</w:t>
      </w:r>
    </w:p>
    <w:p>
      <w:pPr>
        <w:ind w:firstLine="480"/>
        <w:jc w:val="both"/>
      </w:pPr>
      <w:r>
        <w:rPr>
          <w:rFonts w:ascii="Times New Roman" w:hAnsi="Times New Roman" w:eastAsia="Times New Roman" w:cs="Times New Roman"/>
          <w:b/>
          <w:sz w:val="24"/>
        </w:rPr>
        <w:t>Reproducibility.</w:t>
      </w:r>
      <w:r>
        <w:rPr>
          <w:rFonts w:ascii="Times New Roman" w:hAnsi="Times New Roman" w:eastAsia="Times New Roman" w:cs="Times New Roman"/>
          <w:b w:val="0"/>
          <w:sz w:val="24"/>
        </w:rPr>
        <w:t xml:space="preserve"> The original literature screening and coding were performed by Jianfeng Wang (J.W.). To quantify classification reproducibility, an independent second coder — co-author Yan Chen (C.Y.) — blindly re-coded a stratified 50-study sample against a sealed answer key, blind to J.W.'s original codes and to the study hypothesis; J.W. was recused from the second pass. This is a genuine independent inter-coder reliability estimate, not a within-team self-replication (Supplementary Methods S7). The re-code gave 100.0% observed agreement on design_type (PABAK 1.00); raw Cohen's κ is undefined as a statistical artifact (the key contains zero "exclude" instances, so expected agreement → 1). On IV_selection_strategy agreement was 74.3% (κ = 0.44, 95% CI 0.17–0.69; PABAK 0.49; n = 35 valid pairs, 15 blank-excluded); on reports_overlap_risk only n = 8 entries were populated and agreement was 87.5% (κ = 0.78, 95% CI 0.43–1.0; PABAK 0.75, unstable). The macro-averaged κ across the two non-artifact fields was 0.61. A prior within-team blind re-code gave consistent magnitudes (design_type 94.0%/PABAK 0.88; IV κ = 0.50; reports κ = 0.50), corroborating these estimates. Full details in Supplementary Methods S7.</w:t>
      </w:r>
    </w:p>
    <w:p>
      <w:pPr>
        <w:ind w:firstLine="480"/>
        <w:jc w:val="both"/>
      </w:pPr>
      <w:r>
        <w:rPr>
          <w:rFonts w:ascii="Times New Roman" w:hAnsi="Times New Roman" w:eastAsia="Times New Roman" w:cs="Times New Roman"/>
          <w:b/>
          <w:sz w:val="24"/>
        </w:rPr>
        <w:t>Which coded fields are load-bearing.</w:t>
      </w:r>
      <w:r>
        <w:rPr>
          <w:rFonts w:ascii="Times New Roman" w:hAnsi="Times New Roman" w:eastAsia="Times New Roman" w:cs="Times New Roman"/>
          <w:b w:val="0"/>
          <w:sz w:val="24"/>
        </w:rPr>
        <w:t xml:space="preserve"> The lowest-reliability field, IV_selection_strategy (κ = 0.44), carries no reported result anywhere in this paper; it is coded and reported for transparency and reuse, but no estimate depends on it. The headline prevalence estimate (39.3%) rests on only two judgments: design_type, on which agreement was complete (100.0% observed agreement, PABAK 1.00), and the </w:t>
      </w:r>
      <w:r>
        <w:rPr>
          <w:rFonts w:ascii="Times New Roman" w:hAnsi="Times New Roman" w:eastAsia="Times New Roman" w:cs="Times New Roman"/>
          <w:b w:val="0"/>
          <w:i/>
          <w:sz w:val="24"/>
        </w:rPr>
        <w:t>absence</w:t>
      </w:r>
      <w:r>
        <w:rPr>
          <w:rFonts w:ascii="Times New Roman" w:hAnsi="Times New Roman" w:eastAsia="Times New Roman" w:cs="Times New Roman"/>
          <w:b w:val="0"/>
          <w:sz w:val="24"/>
        </w:rPr>
        <w:t xml:space="preserve"> of any statement about overlap handling. Two features make this attribution favourable. First, judging that a study does </w:t>
      </w:r>
      <w:r>
        <w:rPr>
          <w:rFonts w:ascii="Times New Roman" w:hAnsi="Times New Roman" w:eastAsia="Times New Roman" w:cs="Times New Roman"/>
          <w:b w:val="0"/>
          <w:i/>
          <w:sz w:val="24"/>
        </w:rPr>
        <w:t>not</w:t>
      </w:r>
      <w:r>
        <w:rPr>
          <w:rFonts w:ascii="Times New Roman" w:hAnsi="Times New Roman" w:eastAsia="Times New Roman" w:cs="Times New Roman"/>
          <w:b w:val="0"/>
          <w:sz w:val="24"/>
        </w:rPr>
        <w:t xml:space="preserve"> disclose something is an absence judgment, which is mechanically more reproducible than assigning a positive category, so the κ = 0.44 figure — obtained on a positively-coded, multi-category field — is not a valid proxy for the reliability of the disclosure judgment. Second, and more decisively, the direction of any residual error is one-sided: a disagreement can only reclassify a study as "did disclose", which removes it from the numerator and </w:t>
      </w:r>
      <w:r>
        <w:rPr>
          <w:rFonts w:ascii="Times New Roman" w:hAnsi="Times New Roman" w:eastAsia="Times New Roman" w:cs="Times New Roman"/>
          <w:b w:val="0"/>
          <w:i/>
          <w:sz w:val="24"/>
        </w:rPr>
        <w:t>lowers</w:t>
      </w:r>
      <w:r>
        <w:rPr>
          <w:rFonts w:ascii="Times New Roman" w:hAnsi="Times New Roman" w:eastAsia="Times New Roman" w:cs="Times New Roman"/>
          <w:b w:val="0"/>
          <w:sz w:val="24"/>
        </w:rPr>
        <w:t xml:space="preserve"> the estimate. The 39.3% headline is therefore conservative with respect to coding error, and the paper's central claim — that overlap is rarely disclosed — cannot be an artifact of the modest agreement observed on the non-load-bearing field.</w:t>
      </w:r>
    </w:p>
    <w:p>
      <w:pPr>
        <w:spacing w:before="200" w:after="80"/>
        <w:jc w:val="left"/>
      </w:pPr>
      <w:r>
        <w:rPr>
          <w:rFonts w:ascii="Times New Roman" w:hAnsi="Times New Roman" w:eastAsia="Times New Roman" w:cs="Times New Roman"/>
          <w:b/>
          <w:sz w:val="24"/>
        </w:rPr>
        <w:t>3.3 Real-data illustration: BMI → waist → CHD</w:t>
      </w:r>
    </w:p>
    <w:p>
      <w:pPr>
        <w:ind w:firstLine="480"/>
        <w:jc w:val="both"/>
      </w:pPr>
      <w:r>
        <w:rPr>
          <w:rFonts w:ascii="Times New Roman" w:hAnsi="Times New Roman" w:eastAsia="Times New Roman" w:cs="Times New Roman"/>
          <w:b w:val="0"/>
          <w:sz w:val="24"/>
        </w:rPr>
        <w:t>Applied to BMI → waist circumference → CHD (IEU IDs ieu-a-2, ieu-a-61, ieu-a-7) the natural instrument intersection was n_s = 13 SNPs (π_shared = 0.317). After correction the indirect-effect SE narrowed by 2.8%; reusing the 78 BMI instruments in both steps (π_shared = 1.0) narrowed it by 15.5% (Table 1, Fig. 4). The corrected SE is smaller because the shared-instrument covariance is negative (Proposition S2.5 holds for either sign of α̂β̂), so the naive method is conservative, not anti-conservative; the correction therefore narrows the interval and its direction is predictable, not prior-unknown. A second trio (triglycerides → metabolite/protein → multiple myeloma, S245) showed π_shared = 0 because both mediators carried only 2 instruments each, so it cannot demonstrate non-zero overlap — confirming overlap is negligible precisely when mediators lack independent instrument strength.</w:t>
      </w:r>
    </w:p>
    <w:tbl>
      <w:tblPr>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design</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ρ_MY</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n_s</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α̂ (SE)</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β̂ (SE)</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indirect</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SE_naive</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SE_corr</w:t>
            </w:r>
          </w:p>
        </w:tc>
        <w:tc>
          <w:tcPr>
            <w:tcW w:type="dxa" w:w="96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ΔSE_%</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natural</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0.477 (0.088)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0.0767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0.0745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−2.8</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natural</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0.477 (0.088)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0.0767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0.0746</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−2.7</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natural</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0.477 (0.088)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0.0767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0.0748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−2.4</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natural</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0.6</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0.477 (0.088)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0.0767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0.0749</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−2.3</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natural</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0.477 (0.088)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0.0767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0.0749</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−2.4</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shared-IV</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78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0.480 (0.065)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0.0563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0.0476</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−15.5</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shared-IV</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0.2</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78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0.480 (0.065)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0.0563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0.0473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−15.9</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shared-IV</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78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0.480 (0.065)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0.0563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0.0475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−15.7</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shared-IV</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0.6</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78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0.480 (0.065)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0.0563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0.0477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−15.4</w:t>
            </w:r>
          </w:p>
        </w:tc>
      </w:tr>
      <w:tr>
        <w:tc>
          <w:tcPr>
            <w:tcW w:type="dxa" w:w="960"/>
          </w:tcPr>
          <w:p>
            <w:r>
              <w:rPr>
                <w:rFonts w:ascii="Times New Roman" w:hAnsi="Times New Roman" w:eastAsia="Times New Roman" w:cs="Times New Roman"/>
              </w:rPr>
            </w:r>
            <w:r>
              <w:rPr>
                <w:rFonts w:ascii="Times New Roman" w:hAnsi="Times New Roman" w:eastAsia="Times New Roman" w:cs="Times New Roman"/>
                <w:sz w:val="19"/>
              </w:rPr>
              <w:t>shared-IV</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78</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0.863 (0.017)</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0.480 (0.065)</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0.414</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0.0563</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0.0486</w:t>
            </w:r>
          </w:p>
        </w:tc>
        <w:tc>
          <w:tcPr>
            <w:tcW w:type="dxa" w:w="960"/>
          </w:tcPr>
          <w:p>
            <w:r>
              <w:rPr>
                <w:rFonts w:ascii="Times New Roman" w:hAnsi="Times New Roman" w:eastAsia="Times New Roman" w:cs="Times New Roman"/>
              </w:rPr>
            </w:r>
            <w:r>
              <w:rPr>
                <w:rFonts w:ascii="Times New Roman" w:hAnsi="Times New Roman" w:eastAsia="Times New Roman" w:cs="Times New Roman"/>
                <w:sz w:val="19"/>
              </w:rPr>
              <w:t>−13.7</w:t>
            </w:r>
          </w:p>
        </w:tc>
      </w:tr>
    </w:tbl>
    <w:p>
      <w:pPr>
        <w:jc w:val="both"/>
      </w:pPr>
      <w:r>
        <w:rPr>
          <w:rFonts w:ascii="Times New Roman" w:hAnsi="Times New Roman" w:eastAsia="Times New Roman" w:cs="Times New Roman"/>
          <w:b/>
          <w:i/>
          <w:sz w:val="20"/>
        </w:rPr>
        <w:t>Table 1.</w:t>
      </w:r>
      <w:r>
        <w:rPr>
          <w:rFonts w:ascii="Times New Roman" w:hAnsi="Times New Roman" w:eastAsia="Times New Roman" w:cs="Times New Roman"/>
          <w:b w:val="0"/>
          <w:sz w:val="20"/>
        </w:rPr>
        <w:t xml:space="preserve"> BMI → waist → CHD real-data application. "natural" uses the empirical IV intersection (n_s = 13); "shared-IV" reuses the 78 BMI instruments in both steps (n_s = 78). ΔSE_% is the percentage change in the indirect-effect SE after the semi-analytic correction (negative = narrower).</w:t>
      </w:r>
    </w:p>
    <w:p>
      <w:pPr>
        <w:spacing w:before="200" w:after="80"/>
        <w:jc w:val="left"/>
      </w:pPr>
      <w:r>
        <w:rPr>
          <w:rFonts w:ascii="Times New Roman" w:hAnsi="Times New Roman" w:eastAsia="Times New Roman" w:cs="Times New Roman"/>
          <w:b/>
          <w:sz w:val="24"/>
        </w:rPr>
        <w:t>3.4 Empirical batch re-estimation</w:t>
      </w:r>
    </w:p>
    <w:p>
      <w:pPr>
        <w:ind w:firstLine="480"/>
        <w:jc w:val="both"/>
      </w:pPr>
      <w:r>
        <w:rPr>
          <w:rFonts w:ascii="Times New Roman" w:hAnsi="Times New Roman" w:eastAsia="Times New Roman" w:cs="Times New Roman"/>
          <w:b w:val="0"/>
          <w:sz w:val="24"/>
        </w:rPr>
        <w:t>To test the correction on realised data at scale, we re-estimated every coded study whose exposure, mediator and outcome all resolved to public GWAS accessions (n = 113) directly from OpenGWAS summary statistics, using an all-Python pipeline (harmonized fixed-effects IVW plus the semi-analytic correction) that does not depend on the TwoSampleMR harmonisation which earlier failed on two FinnGen outcomes. Of 113, 108 re-estimations succeeded on the first full pass and 4 were skipped for accession-resolution or network errors (S210, S173, S291, S326); S255 was subsequently recovered by the targeted re-estimation of the overlapping trios but its overlap is sub-threshold (π_shared = 0.0044 &lt; 0.019), so it is reported as a recovered case and excluded from the genuine-overlap headline. Five (4.6% [95% CI 2.0–10.4%]) of the 108 re-estimated trios showed genuine, non-degenerate instrument overlap (n_s = 1–3); the correction narrowed every one of these confidence intervals by −0.2% to −16.0% with zero significance flips (0/5). Two further trios (S320, S293) are methodologically degenerate self-mediating designs — their exposure and mediator resolve to the same GWAS accession, giving α̂ = 1.0 exactly and π_shared = 1.0 — which are mapping artefacts rather than substantive pathways; counting them, seven (6.5% [95% CI 3.2–12.8%]) trios show any instrument overlap. Among the five non-degenerate overlapping trios, all corrections narrowed the CI and none altered significance. The single flip in the entire batch, S320, is a flip-gain (naive non-significant, corrected significant) that arises entirely from its degenerate π_shared = 1.0 structure; we report it as a boundary illustration, not a mediation finding. The all-Python pipeline also recovered trio S267, which TwoSampleMR could not allele-harmonise (FinnGen outcome), re-estimating it as overlapping (n_s = 3, −1.6%, no flip) — evidence the pipeline is wider-coverage than the gold-standard wrapper. A TwoSampleMR cross-check of four of these trios (Table S3.2) reproduces the negative direction of the correction in every case, but returns different point estimates and standard errors — and hence different significance calls — for S014 and S273; the two pipelines are reconciled in Supplementary S3, and the headline estimates reported here come from the all-Python pipeline throughout. Table 2 reports the per-trio re-estimation, and Supplementary Table S3 tabulates the complete batch. The all-Python batch correction ranges −0.2% to −16.0% (median −1.6%); a TwoSampleMR cross-check of the four adequately powered trios returns −0.1% to −9.0%, systematically smaller because the two wrappers re-harmonise the effects differently (e.g., S014 α̂ SE 0.00096 vs 0.00345, a 3.6-fold difference), yet both pipelines agree the correction narrows. Supplementary Fig. S4 shows the SE-change forest across the overlapping trios.</w:t>
      </w:r>
    </w:p>
    <w:tbl>
      <w:tblPr>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Study</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Pathway (X → M → Y)</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n_X</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n_M</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n_s</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π_shared</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α̂ (SE_α)</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β̂ (SE_β)</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indirect</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SE_naive</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SE_corr</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ΔSE_% (corr)</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Naive sig</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Corr. sig</w:t>
            </w:r>
          </w:p>
        </w:tc>
        <w:tc>
          <w:tcPr>
            <w:tcW w:type="dxa" w:w="576"/>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Direction</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S014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T1DM → hypertension → atherosclerosis (PAS/CAS)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209</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0.0556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0.00378 (0.00096)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0.12832 (0.00494)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4.9e-04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1.3e-04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1.1e-04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−16.0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S137</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25(OH)D → serum calcium → migraine</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220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0.019</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0.04031 (0.01441)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0.00178 (0.00106)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7.0e-05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5.0e-05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4.0e-05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−14.2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no</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no</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S217</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RA → immunosuppressants → bronchiectasis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9</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0.1111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40.09082 (2.69133)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0.17607 (0.03778)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7.05891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1.58715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1.58342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S273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inflam./gut/immune → immune traits → IgAN</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440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0.1538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0.00721 (0.00081)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3.12071 (0.95001)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0.02248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0.00730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0.00721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S267</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vitamin D → lipids → ocular disorders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88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53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0.0566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−0.01081 (0.01407)</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−0.169 (0.05426)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0.00183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0.00245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0.00241</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−1.6</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no</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no</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S320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genes (eQTL/pQTL) → circulating metabolites → sepsis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1.000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1.000 (0.12449)</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3.39987 (1.79212)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3.39987</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1.84142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1.72112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−6.5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no</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gain*</w:t>
            </w:r>
          </w:p>
        </w:tc>
      </w:tr>
      <w:tr>
        <w:tc>
          <w:tcPr>
            <w:tcW w:type="dxa" w:w="576"/>
          </w:tcPr>
          <w:p>
            <w:r>
              <w:rPr>
                <w:rFonts w:ascii="Times New Roman" w:hAnsi="Times New Roman" w:eastAsia="Times New Roman" w:cs="Times New Roman"/>
              </w:rPr>
            </w:r>
            <w:r>
              <w:rPr>
                <w:rFonts w:ascii="Times New Roman" w:hAnsi="Times New Roman" w:eastAsia="Times New Roman" w:cs="Times New Roman"/>
                <w:sz w:val="19"/>
              </w:rPr>
              <w:t>S293</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BMI → 4907 plasma proteins → cardiometabolic</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1.000</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1.000 (0.10665)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0.00415 (0.00148)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0.00415</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0.00154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0.00104</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−32.8</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yes</w:t>
            </w:r>
          </w:p>
        </w:tc>
        <w:tc>
          <w:tcPr>
            <w:tcW w:type="dxa" w:w="576"/>
          </w:tcPr>
          <w:p>
            <w:r>
              <w:rPr>
                <w:rFonts w:ascii="Times New Roman" w:hAnsi="Times New Roman" w:eastAsia="Times New Roman" w:cs="Times New Roman"/>
              </w:rPr>
            </w:r>
            <w:r>
              <w:rPr>
                <w:rFonts w:ascii="Times New Roman" w:hAnsi="Times New Roman" w:eastAsia="Times New Roman" w:cs="Times New Roman"/>
                <w:sz w:val="19"/>
              </w:rPr>
              <w:t>narrow</w:t>
            </w:r>
          </w:p>
        </w:tc>
      </w:tr>
    </w:tbl>
    <w:p>
      <w:pPr>
        <w:jc w:val="both"/>
      </w:pPr>
      <w:r>
        <w:rPr>
          <w:rFonts w:ascii="Times New Roman" w:hAnsi="Times New Roman" w:eastAsia="Times New Roman" w:cs="Times New Roman"/>
          <w:b/>
          <w:i/>
          <w:sz w:val="20"/>
        </w:rPr>
        <w:t>Table 2.</w:t>
      </w:r>
      <w:r>
        <w:rPr>
          <w:rFonts w:ascii="Times New Roman" w:hAnsi="Times New Roman" w:eastAsia="Times New Roman" w:cs="Times New Roman"/>
          <w:b w:val="0"/>
          <w:sz w:val="20"/>
        </w:rPr>
        <w:t xml:space="preserve"> All-Python batch re-estimation of the seven published two-step MR mediation trios (of 108 re-estimated) with genuine instrument overlap, resolved directly from OpenGWAS summary statistics. π_shared and n_s are exact (extracted clumped instrument sets); α̂, β̂ and their SEs are re-estimated with harmonized fixed-effects IVW; ΔSE_% is the semi-analytic correction at ρ_MY = 0; negative = narrower. Significance two-sided at α = 0.05. S320 and S293 are degenerate self-mediating designs (exposure ≡ mediator accession, α̂ = 1.0, π_shared = 1.0), flagged and not counted as substantive mediation evidence; S320's flip-gain is a boundary illustration of the §3.1.1 prediction, not a finding.</w:t>
      </w:r>
    </w:p>
    <w:p>
      <w:pPr>
        <w:ind w:firstLine="480"/>
        <w:jc w:val="both"/>
      </w:pPr>
      <w:r>
        <w:rPr>
          <w:rFonts w:ascii="Times New Roman" w:hAnsi="Times New Roman" w:eastAsia="Times New Roman" w:cs="Times New Roman"/>
          <w:b w:val="0"/>
          <w:i/>
          <w:sz w:val="24"/>
        </w:rPr>
        <w:t>Note (full):</w:t>
      </w:r>
      <w:r>
        <w:rPr>
          <w:rFonts w:ascii="Times New Roman" w:hAnsi="Times New Roman" w:eastAsia="Times New Roman" w:cs="Times New Roman"/>
          <w:b w:val="0"/>
          <w:sz w:val="24"/>
        </w:rPr>
        <w:t xml:space="preserve"> S320 (ukb-d-1468_2 → ukb-d-1468_2 → ieu-b-69) and S293 (ebi-a-GCST90103751 → ebi-a-GCST90103751 → ebi-a-GCST90038634) are degenerate: exposure and mediator resolve to the identical GWAS accession, so α̂ = 1.0 exactly and π_shared = 1.0; they represent self-mediating (non-mediation) designs and are flagged, not counted as substantive mediation evidence. S320's flip-gain is reported as a boundary illustration of the §3.1.1 prediction (same-sign, π_shared = 1.0 → flip-gain), not as a finding. S267 was not estimable through TwoSampleMR (FinnGen harmonisation failure) but succeeded here. Four trios (S210, S173, S291, S326) were skipped for accession-resolution or network errors; S255 was recovered by the targeted re-estimation and is reported as a sub-threshold overlap case (π_shared = 0.0044 &lt; 0.019).</w:t>
      </w:r>
    </w:p>
    <w:p>
      <w:pPr>
        <w:spacing w:before="200" w:after="80"/>
        <w:jc w:val="left"/>
      </w:pPr>
      <w:r>
        <w:rPr>
          <w:rFonts w:ascii="Times New Roman" w:hAnsi="Times New Roman" w:eastAsia="Times New Roman" w:cs="Times New Roman"/>
          <w:b/>
          <w:sz w:val="24"/>
        </w:rPr>
        <w:t>3.4.1 Horizontal pleiotropy sensitivity</w:t>
      </w:r>
    </w:p>
    <w:p>
      <w:pPr>
        <w:ind w:firstLine="480"/>
        <w:jc w:val="both"/>
      </w:pPr>
      <w:r>
        <w:rPr>
          <w:rFonts w:ascii="Times New Roman" w:hAnsi="Times New Roman" w:eastAsia="Times New Roman" w:cs="Times New Roman"/>
          <w:b w:val="0"/>
          <w:sz w:val="24"/>
        </w:rPr>
        <w:t>Because the Introduction advertises Egger regression and weighted-median estimation as pleiotropy-robust MR tools, we verified that horizontal pleiotropy does not distort the re-estimated α̂ or β̂ on which the covariance correction rests. For each of the five non-degenerate overlapping trios we ran, on both steps (X→M and M→Y), an MR-Egger intercept test (Bowden et al., 2015) and a weighted-median (WM) cross-check, using the clumped instruments already extracted for the re-estimation and harmonized effect sizes from OpenGWAS (the pleiotropy-sensitivity script, deposited). The covariance correction is a variance adjustment conditional on the point estimates; if pleiotropy reversed the sign of α̂ or β̂, the point estimate α̂β̂ on which the correction conditions could change in magnitude, so this is the relevant robustness check for the point estimates the correction conditions on (Table 3).</w:t>
      </w:r>
    </w:p>
    <w:tbl>
      <w:tblPr>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Study</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Step</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n_IV</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Egger β₀</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p</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WM slope</w:t>
            </w:r>
          </w:p>
        </w:tc>
        <w:tc>
          <w:tcPr>
            <w:tcW w:type="dxa" w:w="1234"/>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Sign agrees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S014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X→M</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17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−0.0004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0.73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−0.0021</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no</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S014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M→Y</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203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0.0001</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1.0e-3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0.2856</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S137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X→M</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27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−0.0011</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0.58</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0.0524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S137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M→Y</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220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0.0000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0.58</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−0.0143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no</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S217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X→M</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6</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0.0039</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0.93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60.8063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S217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M→Y</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10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−0.0170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2.7e-4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0.3345</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S273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X→M</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439</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0.0000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4.2e-3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−0.0258</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no</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S273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M→Y</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13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−0.0012</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0.87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2.4023</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S267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X→M</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88</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−0.0012</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0.74</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−1.9002</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r>
        <w:tc>
          <w:tcPr>
            <w:tcW w:type="dxa" w:w="1234"/>
          </w:tcPr>
          <w:p>
            <w:r>
              <w:rPr>
                <w:rFonts w:ascii="Times New Roman" w:hAnsi="Times New Roman" w:eastAsia="Times New Roman" w:cs="Times New Roman"/>
              </w:rPr>
            </w:r>
            <w:r>
              <w:rPr>
                <w:rFonts w:ascii="Times New Roman" w:hAnsi="Times New Roman" w:eastAsia="Times New Roman" w:cs="Times New Roman"/>
                <w:sz w:val="19"/>
              </w:rPr>
              <w:t>S267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M→Y</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47</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0.0029</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0.20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−0.6870</w:t>
            </w:r>
          </w:p>
        </w:tc>
        <w:tc>
          <w:tcPr>
            <w:tcW w:type="dxa" w:w="1234"/>
          </w:tcPr>
          <w:p>
            <w:r>
              <w:rPr>
                <w:rFonts w:ascii="Times New Roman" w:hAnsi="Times New Roman" w:eastAsia="Times New Roman" w:cs="Times New Roman"/>
              </w:rPr>
            </w:r>
            <w:r>
              <w:rPr>
                <w:rFonts w:ascii="Times New Roman" w:hAnsi="Times New Roman" w:eastAsia="Times New Roman" w:cs="Times New Roman"/>
                <w:sz w:val="19"/>
              </w:rPr>
              <w:t>yes</w:t>
            </w:r>
          </w:p>
        </w:tc>
      </w:tr>
    </w:tbl>
    <w:p>
      <w:pPr>
        <w:jc w:val="both"/>
      </w:pPr>
      <w:r>
        <w:rPr>
          <w:rFonts w:ascii="Times New Roman" w:hAnsi="Times New Roman" w:eastAsia="Times New Roman" w:cs="Times New Roman"/>
          <w:b/>
          <w:i/>
          <w:sz w:val="20"/>
        </w:rPr>
        <w:t>Table 3.</w:t>
      </w:r>
      <w:r>
        <w:rPr>
          <w:rFonts w:ascii="Times New Roman" w:hAnsi="Times New Roman" w:eastAsia="Times New Roman" w:cs="Times New Roman"/>
          <w:b w:val="0"/>
          <w:sz w:val="20"/>
        </w:rPr>
        <w:t xml:space="preserve"> Horizontal-pleiotropy sensitivity for the five non-degenerate overlapping trios. Egger intercept β₀ tests directional pleiotropy (|β₀| is the practically relevant magnitude; p is reported but is inflated by large n when β₀ ≈ 0). WM = weighted-median slope, estimated on the same clumped instruments used for the re-estimation. "Sign agrees" compares the sign of the WM slope with the sign of the IVW α̂/β̂ for the same step reported in Table 2; three of ten steps disagree (S014 X→M, S137 M→Y, S273 X→M).</w:t>
      </w:r>
    </w:p>
    <w:p>
      <w:pPr>
        <w:ind w:firstLine="480"/>
        <w:jc w:val="both"/>
      </w:pPr>
      <w:r>
        <w:rPr>
          <w:rFonts w:ascii="Times New Roman" w:hAnsi="Times New Roman" w:eastAsia="Times New Roman" w:cs="Times New Roman"/>
          <w:b w:val="0"/>
          <w:sz w:val="24"/>
        </w:rPr>
        <w:t xml:space="preserve">Across the ten step-level tests the weighted-median (WM) slope — estimated on the same clumped instruments used for the re-estimation — agreed in sign with the IVW α̂/β̂ (Table 2) for seven steps but disagreed for three: S014 X→M (WM −0.0021 vs IVW +0.0038), S137 M→Y (WM −0.0143 vs IVW +0.0018) and S273 X→M (WM −0.0258 vs IVW +0.0072). Because the WM and IVW are computed on the same instrument set, these are genuine estimator-level disagreements rather than a scale or instrument-mismatch artefact, indicating that the direction of a product component is not perfectly stable across methods in three of the five trios. In each discordant step the Egger intercept is effectively zero (|β₀| ≤ 1.3×10⁻⁴, with p reflecting only large n), so the sign disagreement is not driven by strong directional pleiotropy; it more plausibly reflects weak-instrument or heterogeneity sensitivity of the ratio estimate at the clumped-tophit resolution. Two further steps yield biologically implausible magnitudes on the clumped set (S217 X→M ≈ 40–61, S273 M→Y ≈ 1.3–3.1), signalling unstable estimation that limits how much weight this sensitivity check can carry. This matters for the correction, but only for its magnitude: under Proposition S2.5 the shared-instrument covariance is negative for either sign of α̂β̂, so the correction narrows the indirect-effect interval regardless of any IVW/WM sign disagreement; the residual ρ_MY channel is 2–3 orders of magnitude smaller and did not reverse the direction in any grid or real trio. The sign ambiguity therefore affects how large the correction is, not whether it narrows, and we flag reporting the correction alongside a pleiotropy-robust estimate as good practice rather than a directional necessity. In the present sample the correction was small for every resolvable trio (≤16% SE change) and the sign ambiguity did not alter any conclusion, but we flag it as a reporting requirement, not a resolved non-issue. (The correction itself does not remove pleiotropy bias in the point estimate; it corrects the </w:t>
      </w:r>
      <w:r>
        <w:rPr>
          <w:rFonts w:ascii="Times New Roman" w:hAnsi="Times New Roman" w:eastAsia="Times New Roman" w:cs="Times New Roman"/>
          <w:b w:val="0"/>
          <w:i/>
          <w:sz w:val="24"/>
        </w:rPr>
        <w:t>variance</w:t>
      </w:r>
      <w:r>
        <w:rPr>
          <w:rFonts w:ascii="Times New Roman" w:hAnsi="Times New Roman" w:eastAsia="Times New Roman" w:cs="Times New Roman"/>
          <w:b w:val="0"/>
          <w:sz w:val="24"/>
        </w:rPr>
        <w:t xml:space="preserve"> of the product given the IVW estimates, which is what the literature currently omits.) The degenerate self-mediating trios S320/S293 (α̂ = 1.0) are excluded as before.</w:t>
      </w:r>
    </w:p>
    <w:p>
      <w:pPr>
        <w:spacing w:before="200" w:after="80"/>
        <w:jc w:val="left"/>
      </w:pPr>
      <w:r>
        <w:rPr>
          <w:rFonts w:ascii="Times New Roman" w:hAnsi="Times New Roman" w:eastAsia="Times New Roman" w:cs="Times New Roman"/>
          <w:b/>
          <w:sz w:val="24"/>
        </w:rPr>
        <w:t>3.5 Sensitivity to the mediator–outcome sample-overlap parameter ρ_MY</w:t>
      </w:r>
    </w:p>
    <w:p>
      <w:pPr>
        <w:ind w:firstLine="480"/>
        <w:jc w:val="both"/>
      </w:pPr>
      <w:r>
        <w:rPr>
          <w:rFonts w:ascii="Times New Roman" w:hAnsi="Times New Roman" w:eastAsia="Times New Roman" w:cs="Times New Roman"/>
          <w:b w:val="0"/>
          <w:sz w:val="24"/>
        </w:rPr>
        <w:t>The second overlap channel — mediator–outcome sample overlap — enters the covariance as the error correlation ρ_MY. Estimating it empirically from the n_s = 1–3 overlapping instruments would conflate a local SNP-effect correlation with the genome-wide error correlation the model assumes, and is undefined at n_s = 1 (S217, S255); we therefore do not report an empirical ρ_MY. Instead we vary ρ_MY across its full [0,1] range in the validation grids (§3.1) and find that the correction remains negative (narrowing) and the restored nominal coverage is unchanged across that range. The sign of the omitted covariance in realised data is consequently dominated by sign(α̂β̂) through Proposition S2.5, so the reporting gap that matters most is the shared-instrument count n_s.</w:t>
      </w:r>
    </w:p>
    <w:p>
      <w:pPr>
        <w:spacing w:before="200" w:after="80"/>
        <w:jc w:val="left"/>
      </w:pPr>
      <w:r>
        <w:rPr>
          <w:rFonts w:ascii="Times New Roman" w:hAnsi="Times New Roman" w:eastAsia="Times New Roman" w:cs="Times New Roman"/>
          <w:b/>
          <w:sz w:val="24"/>
        </w:rPr>
        <w:t>3.6 Statistical precision of the null re-estimation result</w:t>
      </w:r>
    </w:p>
    <w:p>
      <w:pPr>
        <w:ind w:firstLine="480"/>
        <w:jc w:val="both"/>
      </w:pPr>
      <w:r>
        <w:rPr>
          <w:rFonts w:ascii="Times New Roman" w:hAnsi="Times New Roman" w:eastAsia="Times New Roman" w:cs="Times New Roman"/>
          <w:b w:val="0"/>
          <w:sz w:val="24"/>
        </w:rPr>
        <w:t>The headline re-estimation findings — 4.6% (5/108) genuine non-degenerate overlap (7/108 including two degenerate self-mediating designs) and zero significance flips among the five non-degenerate overlapping trios — are point estimates from small samples and should be read with their sampling uncertainty made explicit. Using the Wilson score method, the 95% CI for the 5/108 non-degenerate overlap prevalence is 2.0–10.4%, and for the 7/108 prevalence including the two degenerate self-mediating designs is 3.2–12.8%; the 95% CI for the underlying flip rate implied by 0/5 observed flips is 0.0–43.4%. The zero-flip result is therefore consistent both with flips being genuinely rare in this design space and with flips occurring in as many as two in five comparable cases without our five trios happening to reveal one; the data cannot distinguish between these possibilities. We report this explicitly because the flip-probability scan (§3.1.1) independently predicts that flips are concentrated near the naive significance boundary (λ ≈ 1.7–2.4) and rise with π_shared — conditions that describe a minority, but not a negligible fraction, of the design space — so the small-sample null result should not be interpreted as evidence that the boundary conditions we characterize analytically are rare in practice, only that they did not happen to be realized in the five cases we could resolve to public data.</w:t>
      </w:r>
    </w:p>
    <w:p>
      <w:pPr>
        <w:spacing w:before="200" w:after="80"/>
        <w:jc w:val="left"/>
      </w:pPr>
      <w:r>
        <w:rPr>
          <w:rFonts w:ascii="Times New Roman" w:hAnsi="Times New Roman" w:eastAsia="Times New Roman" w:cs="Times New Roman"/>
          <w:b/>
          <w:sz w:val="24"/>
        </w:rPr>
        <w:t>3.7 Realistic magnitude of the correction on real effect estimates</w:t>
      </w:r>
    </w:p>
    <w:p>
      <w:pPr>
        <w:ind w:firstLine="480"/>
        <w:jc w:val="both"/>
      </w:pPr>
      <w:r>
        <w:rPr>
          <w:rFonts w:ascii="Times New Roman" w:hAnsi="Times New Roman" w:eastAsia="Times New Roman" w:cs="Times New Roman"/>
          <w:b w:val="0"/>
          <w:sz w:val="24"/>
        </w:rPr>
        <w:t>Contrary to the intuition that overlapping instruments inflate uncertainty, the covariance correction term 2α̂β̂·Cov(α̂, β̂) is negative under all examined configurations — same-sign and opposite-sign mediation, with and without mediator–outcome sample overlap (§3.1, §3.5; Remark S2.5a). The naive first-order delta-method variance is therefore conservative: it overstates the indirect-effect uncertainty and slightly reduces power. To show the correction's magnitude on real parameters, we applied it under a counterfactual merged-pool instrument configuration (n_s = min(p_X, p_M)) to the 20 opposite-signed trios resolvable to public summary statistics (§3.2; S110 is a real, mislabeled merged-pool example). All 20 trios narrowed — not one widened (0/20) — and the six largest corrections range from −14.8% to −70.4% (Table 4). Extending the same sign-corrected recomputation to every trio with complete instrument-count and sample-size data (48 of 113), the correction ranged from −95.3% to −0.0% and again not one interval widened. This is direct real-parameter confirmation that the naive first-order delta-method variance is conservative. The correction is negligible in realised practice (n_s = 1–3; §3.4) and becomes large only in the counterfactual full-overlap regime, specifically when the two naive variance components are nearly balanced (|β̂|·SE(α̂) ≈ |α̂|·SE(β̂)), which the undisclosed merged-pool designs documented in §3.2 could in principle produce.</w:t>
      </w:r>
    </w:p>
    <w:tbl>
      <w:tblPr>
        <w:tblW w:type="auto" w:w="0"/>
        <w:jc w:val="center"/>
        <w:tblLook w:firstColumn="1" w:firstRow="1" w:lastColumn="0" w:lastRow="0" w:noHBand="0" w:noVBand="1" w:val="04A0"/>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Study</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Pathway (X → M → Y)</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α̂ (SE)</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β̂ (SE)</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n_s†</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ΔSE% (corr)</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λ_naive</w:t>
            </w:r>
          </w:p>
        </w:tc>
        <w:tc>
          <w:tcPr>
            <w:tcW w:type="dxa" w:w="1080"/>
            <w:tcBorders>
              <w:bottom w:val="single" w:sz="6" w:space="0" w:color="auto"/>
            </w:tcBorders>
          </w:tcPr>
          <w:p>
            <w:r>
              <w:rPr>
                <w:rFonts w:ascii="Times New Roman" w:hAnsi="Times New Roman" w:eastAsia="Times New Roman" w:cs="Times New Roman"/>
              </w:rPr>
            </w:r>
            <w:r>
              <w:rPr>
                <w:rFonts w:ascii="Times New Roman" w:hAnsi="Times New Roman" w:eastAsia="Times New Roman" w:cs="Times New Roman"/>
                <w:b/>
                <w:sz w:val="19"/>
              </w:rPr>
              <w:t>Direction</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S366</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plasma metabolites → immune cells → MI</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−0.0187 (0.0080)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+0.0019 (0.0006)</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−70.4</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1.90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S271</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blood metabolites → risk factors → glaucoma/AMD</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−0.0307 (0.0461)</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+0.0021 (0.0019)</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−65.3</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0.57</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S247</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urticaria → inflammatory cytokines → mental disorders</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+0.0019 (0.0011)</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−0.2920 (0.2989)</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2</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−61.2</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0.85</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S390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brain networks → inflammatory proteins → neuropathic pain</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+0.1025 (0.0787)</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−0.2759 (0.3835)</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−60.7</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0.63</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S150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25(OH)D → total testosterone → osteoporosis</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+0.0044 (0.0108)</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−0.0024 (0.0009)</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105</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−15.3</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0.40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r>
        <w:tc>
          <w:tcPr>
            <w:tcW w:type="dxa" w:w="1080"/>
          </w:tcPr>
          <w:p>
            <w:r>
              <w:rPr>
                <w:rFonts w:ascii="Times New Roman" w:hAnsi="Times New Roman" w:eastAsia="Times New Roman" w:cs="Times New Roman"/>
              </w:rPr>
            </w:r>
            <w:r>
              <w:rPr>
                <w:rFonts w:ascii="Times New Roman" w:hAnsi="Times New Roman" w:eastAsia="Times New Roman" w:cs="Times New Roman"/>
                <w:sz w:val="19"/>
              </w:rPr>
              <w:t>S348</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LADA → immune cells → breast cancer</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−0.0150 (0.0018)</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+0.0529 (0.0200)</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3</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−14.8</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2.52</w:t>
            </w:r>
          </w:p>
        </w:tc>
        <w:tc>
          <w:tcPr>
            <w:tcW w:type="dxa" w:w="1080"/>
          </w:tcPr>
          <w:p>
            <w:r>
              <w:rPr>
                <w:rFonts w:ascii="Times New Roman" w:hAnsi="Times New Roman" w:eastAsia="Times New Roman" w:cs="Times New Roman"/>
              </w:rPr>
            </w:r>
            <w:r>
              <w:rPr>
                <w:rFonts w:ascii="Times New Roman" w:hAnsi="Times New Roman" w:eastAsia="Times New Roman" w:cs="Times New Roman"/>
                <w:sz w:val="19"/>
              </w:rPr>
              <w:t>narrow</w:t>
            </w:r>
          </w:p>
        </w:tc>
      </w:tr>
    </w:tbl>
    <w:p>
      <w:pPr>
        <w:jc w:val="both"/>
      </w:pPr>
      <w:r>
        <w:rPr>
          <w:rFonts w:ascii="Times New Roman" w:hAnsi="Times New Roman" w:eastAsia="Times New Roman" w:cs="Times New Roman"/>
          <w:b/>
          <w:i/>
          <w:sz w:val="20"/>
        </w:rPr>
        <w:t>Table 4.</w:t>
      </w:r>
      <w:r>
        <w:rPr>
          <w:rFonts w:ascii="Times New Roman" w:hAnsi="Times New Roman" w:eastAsia="Times New Roman" w:cs="Times New Roman"/>
          <w:b w:val="0"/>
          <w:sz w:val="20"/>
        </w:rPr>
        <w:t xml:space="preserve"> Largest covariance corrections on real opposite-signed mediation estimates under a counterfactual merged-pool overlap (n_s = min(p_X, p_M); ρ_MY = 0). α̂, β̂ and their SEs are the actually published point estimates; only the instrument-overlap configuration is counterfactual, because the field does not report n_s (§3.2). ΔSE% is the percentage change in the indirect-effect SE under the correction (negative = narrower). λ_naive = |α̂β̂| / SE_naive. Magnitudes are the sign-corrected recomputation in which μ_X and μ_Y carry sign(α̂) and sign(β̂) respectively (Methods); all six narrow.</w:t>
      </w:r>
    </w:p>
    <w:p>
      <w:pPr>
        <w:ind w:firstLine="480"/>
        <w:jc w:val="both"/>
      </w:pPr>
      <w:r>
        <w:rPr>
          <w:rFonts w:ascii="Times New Roman" w:hAnsi="Times New Roman" w:eastAsia="Times New Roman" w:cs="Times New Roman"/>
          <w:b w:val="0"/>
          <w:sz w:val="24"/>
        </w:rPr>
        <w:t>† Counterfactual merged-pool overlap; the same studies' realized n_s is unknown because overlap is not reported. S348 is a genuinely significant mediation (λ_naive = 2.52) yet its CI is narrowed by 14.8% under the counterfactual undisclosed-overlap configuration, and S366 sits exactly in the flip-prone band (λ = 1.90, §3.1.1). These real-parameter results illustrate the theoretical "opposite-sign covariance is negative" statement (Remark S2.5a, §3.8) on actual published point estimates under a counterfactual overlap configuration: the correction is benign in the sense that the naive delta-method CI is conservative, so the missing n_s / π_shared reporting (§3.2) leaves a reader unable to tell how much power was needlessly sacrificed, not whether a conclusion is reversed.</w:t>
      </w:r>
    </w:p>
    <w:p>
      <w:pPr>
        <w:spacing w:before="200" w:after="80"/>
        <w:jc w:val="left"/>
      </w:pPr>
      <w:r>
        <w:rPr>
          <w:rFonts w:ascii="Times New Roman" w:hAnsi="Times New Roman" w:eastAsia="Times New Roman" w:cs="Times New Roman"/>
          <w:b/>
          <w:sz w:val="24"/>
        </w:rPr>
        <w:t>3.8 When the correction matters: a regime map</w:t>
      </w:r>
    </w:p>
    <w:p>
      <w:pPr>
        <w:ind w:firstLine="480"/>
        <w:jc w:val="both"/>
      </w:pPr>
      <w:r>
        <w:rPr>
          <w:rFonts w:ascii="Times New Roman" w:hAnsi="Times New Roman" w:eastAsia="Times New Roman" w:cs="Times New Roman"/>
          <w:b w:val="0"/>
          <w:sz w:val="24"/>
        </w:rPr>
        <w:t xml:space="preserve">The realised overlap in the published literature is small (n_s = 1–3; §3.4), which is why the correction was modest there. To establish where it would instead be material, we simulated a grid in which the causal structure is explicit rather than assumed. Unlike the earlier validation grid (§3.1), the data-generating process here builds in the mediation chain directly — γ_M = α·γ_X and γ_Y = β·γ_M (hence γ_Y = αβ·γ_X) — so that opposite-signed mediation arises naturally rather than by imposing discordant signs on independent draws, and, critically, a shared SNP contributes the </w:t>
      </w:r>
      <w:r>
        <w:rPr>
          <w:rFonts w:ascii="Times New Roman" w:hAnsi="Times New Roman" w:eastAsia="Times New Roman" w:cs="Times New Roman"/>
          <w:b w:val="0"/>
          <w:i/>
          <w:sz w:val="24"/>
        </w:rPr>
        <w:t>same</w:t>
      </w:r>
      <w:r>
        <w:rPr>
          <w:rFonts w:ascii="Times New Roman" w:hAnsi="Times New Roman" w:eastAsia="Times New Roman" w:cs="Times New Roman"/>
          <w:b w:val="0"/>
          <w:sz w:val="24"/>
        </w:rPr>
        <w:t xml:space="preserve"> noisy mediator association γ̂_M to both steps, which is the mechanism that generates the covariance. We varied the number of shared instruments n_s ∈ {0, 10, 25, 50} of p = 50 per step, the mediator–outcome effect β ∈ {±0.5, ±1.0} (α = 0.5), and instrument strength (per-SNP F ≈ 10, 90 and 1,000), with 4,000 replicates per cell.</w:t>
      </w:r>
    </w:p>
    <w:p>
      <w:pPr>
        <w:ind w:firstLine="480"/>
        <w:jc w:val="both"/>
      </w:pPr>
      <w:r>
        <w:rPr>
          <w:rFonts w:ascii="Times New Roman" w:hAnsi="Times New Roman" w:eastAsia="Times New Roman" w:cs="Times New Roman"/>
          <w:b w:val="0"/>
          <w:sz w:val="24"/>
        </w:rPr>
        <w:t>Two results follow. First, the correction never widens: with n_s = 0 the covariance is exactly zero by construction and the cell estimates scatter around zero within Monte-Carlo error (|ΔSE| ≤ 0.9%), while every cell with n_s &gt; 0 narrows (0 of 36 such cells widened). Second, the magnitude of the correction is governed by overlap, effect size and instrument strength in that order: at full overlap with strong instruments the naive SE exceeds the true sampling SD of α̂β̂ by a factor of 1.55–1.65, i.e. the uncorrected interval is 55–65% wider than it needs to be, whereas at n_s = 10 the excess is 4–8% and at n_s = 0 it is nil (Supplementary Fig. S3).</w:t>
      </w:r>
    </w:p>
    <w:p>
      <w:pPr>
        <w:ind w:firstLine="480"/>
        <w:jc w:val="both"/>
      </w:pPr>
      <w:r>
        <w:rPr>
          <w:rFonts w:ascii="Times New Roman" w:hAnsi="Times New Roman" w:eastAsia="Times New Roman" w:cs="Times New Roman"/>
          <w:b w:val="0"/>
          <w:sz w:val="24"/>
        </w:rPr>
        <w:t>The corrected variance is the accurate one: across the strong- and very-strong-instrument cells the ratio SE_corrected / SD(α̂β̂) is 1.00–1.02, whereas SE_naive / SD(α̂β̂) rises from ≈1.01 at n_s = 0 to 1.55–1.65 at n_s = 50. So the first-order covariance term recovers the sampling variance of the product, and the naive expression overstates it — increasingly so as overlap grows.</w:t>
      </w:r>
    </w:p>
    <w:p>
      <w:pPr>
        <w:ind w:firstLine="480"/>
        <w:jc w:val="both"/>
      </w:pPr>
      <w:r>
        <w:rPr>
          <w:rFonts w:ascii="Times New Roman" w:hAnsi="Times New Roman" w:eastAsia="Times New Roman" w:cs="Times New Roman"/>
          <w:b w:val="0"/>
          <w:sz w:val="24"/>
        </w:rPr>
        <w:t xml:space="preserve">One caveat qualifies the coverage comparison. Because the IVW ratio estimator attenuates by an O(1/F) factor (noise in its own denominator), α̂β̂ retains a small bias towards zero. Centred on the estimator's own expectation the corrected interval is nominally calibrated (95% coverage), but centred on the </w:t>
      </w:r>
      <w:r>
        <w:rPr>
          <w:rFonts w:ascii="Times New Roman" w:hAnsi="Times New Roman" w:eastAsia="Times New Roman" w:cs="Times New Roman"/>
          <w:b w:val="0"/>
          <w:i/>
          <w:sz w:val="24"/>
        </w:rPr>
        <w:t>true</w:t>
      </w:r>
      <w:r>
        <w:rPr>
          <w:rFonts w:ascii="Times New Roman" w:hAnsi="Times New Roman" w:eastAsia="Times New Roman" w:cs="Times New Roman"/>
          <w:b w:val="0"/>
          <w:sz w:val="24"/>
        </w:rPr>
        <w:t xml:space="preserve"> effect it undercovers slightly at extreme overlap (93%) because that residual bias is no longer hidden; the naive interval's 55–65% excess width incidentally absorbs it (99.6% coverage) at the cost of the corresponding power. The naive interval therefore looks better calibrated only because it is far too wide. This does not affect the direction or magnitude of the correction itself, but it means that in high-overlap designs the covariance correction should ideally be paired with a bias-aware point estimate — a point we return to in §4.</w:t>
      </w:r>
    </w:p>
    <w:p>
      <w:pPr>
        <w:ind w:firstLine="480"/>
        <w:jc w:val="both"/>
      </w:pPr>
      <w:r>
        <w:rPr>
          <w:rFonts w:ascii="Times New Roman" w:hAnsi="Times New Roman" w:eastAsia="Times New Roman" w:cs="Times New Roman"/>
          <w:b w:val="0"/>
          <w:sz w:val="24"/>
        </w:rPr>
        <w:t>In sum, the correction is negligible where the literature actually sits (n_s = 1–3) and material only in the merged-pool, high-overlap regime that §3.2 shows the field already runs without disclosure. This is the sense in which the missing n_s / π_shared reporting is consequential: it leaves a reader unable to tell whether a published interval is essentially exact or up to two-thirds too wide.</w:t>
      </w:r>
    </w:p>
    <w:p>
      <w:pPr>
        <w:spacing w:before="200" w:after="80"/>
        <w:jc w:val="left"/>
      </w:pPr>
      <w:r>
        <w:rPr>
          <w:rFonts w:ascii="Times New Roman" w:hAnsi="Times New Roman" w:eastAsia="Times New Roman" w:cs="Times New Roman"/>
          <w:b/>
          <w:sz w:val="26"/>
        </w:rPr>
        <w:t>4. Discussion</w:t>
      </w:r>
    </w:p>
    <w:p>
      <w:pPr>
        <w:ind w:firstLine="480"/>
        <w:jc w:val="both"/>
      </w:pPr>
      <w:r>
        <w:rPr>
          <w:rFonts w:ascii="Times New Roman" w:hAnsi="Times New Roman" w:eastAsia="Times New Roman" w:cs="Times New Roman"/>
          <w:b w:val="0"/>
          <w:sz w:val="24"/>
        </w:rPr>
        <w:t>This work quantifies, rather than dramatizes, a methodological blind spot. We do not claim that any specific published two-step MR mediation conclusion is incorrect: in every real trio we could resolve, the omitted covariance was structurally negative, and the naive method was conservative rather than anti-conservative. What we establish is that this conservative direction holds across all configurations we examined — same-sign and opposite-sign mediation, with and without sample overlap — under standard IVW assumptions, so the naive first-order delta method overstates uncertainty; the field nonetheless has no reporting convention (n_s, π_shared, or ρ_MY) that would let a reader quantify how large the correction is for any given published result without rerunning the analysis, as we did. The value of this paper is therefore the semi-analytic tool and the documented boundary conditions under which the correction is largest, not a retrospective correction of the existing literature's conclusions. That the correction can be substantial is shown in §3.7: applying it counterfactually to real opposite-signed mediation estimates under the undisclosed merged-pool design narrows confidence intervals by up to 70.4%, and all 20 opposite-signed trios narrow with none widening, so the naive method needlessly sacrifices power in high-overlap designs; because the magnitude cannot be known without the reported n_s / π_shared, routine reporting — not retrospective correction — is what the field needs.</w:t>
      </w:r>
    </w:p>
    <w:p>
      <w:pPr>
        <w:ind w:firstLine="480"/>
        <w:jc w:val="both"/>
      </w:pPr>
      <w:r>
        <w:rPr>
          <w:rFonts w:ascii="Times New Roman" w:hAnsi="Times New Roman" w:eastAsia="Times New Roman" w:cs="Times New Roman"/>
          <w:b w:val="0"/>
          <w:sz w:val="24"/>
        </w:rPr>
        <w:t xml:space="preserve">Our literature audit delivers an uncomfortable message. The design our correction matters most for — a deliberately merged or reused instrument pool — is </w:t>
      </w:r>
      <w:r>
        <w:rPr>
          <w:rFonts w:ascii="Times New Roman" w:hAnsi="Times New Roman" w:eastAsia="Times New Roman" w:cs="Times New Roman"/>
          <w:b/>
          <w:sz w:val="24"/>
        </w:rPr>
        <w:t>not represented by a single clean example in 695 coded studies</w:t>
      </w:r>
      <w:r>
        <w:rPr>
          <w:rFonts w:ascii="Times New Roman" w:hAnsi="Times New Roman" w:eastAsia="Times New Roman" w:cs="Times New Roman"/>
          <w:b w:val="0"/>
          <w:sz w:val="24"/>
        </w:rPr>
        <w:t>, and only ~35% of assessable studies disclose overlap handling. Yet the §3.4 batch re-estimation finds genuine instrument overlap in 4.6% (5/108) of re-estimated trios (7/108, 6.5%, counting two degenerate self-mediating designs that are mapping artefacts), and among the five non-degenerate overlapping trios the correction narrowed every CI (0.2–16.0%) with zero flips; the only flip in the batch (S320) is a degenerate self-mediating design (exposure ≡ mediator accession) reported as a boundary illustration, not a mediation finding. The field therefore routinely analyzes overlapping instruments without reporting or correcting them. Consistent with a targeted PubMed novelty check (no 2024–2026 publication derives this covariance), our work closes a gap the published product-method framework left open. To locate the contribution precisely: the derivation itself is a standard first-order delta argument applied to a product estimand, not a new statistical theory. What is new here is (i) the specialization of that argument to the two-step MR mediation design, with an explicit and computable reliability bound B that lets an analyst check whether the approximation suffices; (ii) the empirical quantification, across 333 studies, of how common overlap-capable but undisclosed designs are; and (iii) a tool that applies the correction from published summary statistics alone, so authors, reviewers and readers can close the gap without re-running the original analysis.</w:t>
      </w:r>
    </w:p>
    <w:p>
      <w:pPr>
        <w:ind w:firstLine="480"/>
        <w:jc w:val="both"/>
      </w:pPr>
      <w:r>
        <w:rPr>
          <w:rFonts w:ascii="Times New Roman" w:hAnsi="Times New Roman" w:eastAsia="Times New Roman" w:cs="Times New Roman"/>
          <w:b w:val="0"/>
          <w:sz w:val="24"/>
        </w:rPr>
        <w:t>The central real-data finding is that the omitted covariance is structurally negative under standard IVW assumptions, so the naive method is conservative rather than anti-conservative. In realized same-sign mediation the corrected CIs are narrower (the BMI → waist → CHD example by 2.8%, shared-IV by 15.5%), and the opposite-signed counterfactual trios in §3.7 also all narrow — the literature narrative usually assumes the opposite. Our batch re-estimation confirms this is structural, not fortune: the dominant shared-instrument covariance is provably negative for either sign of α̂β̂ (Proposition S2.5), and the correction can only gain significance, never lose it (§3.1.1). Because the correction is conservative (it narrows) regardless of the sign of α̂β̂, analysts should correct as a matter of routine rather than conditioning on an expected direction.</w:t>
      </w:r>
    </w:p>
    <w:p>
      <w:pPr>
        <w:ind w:firstLine="480"/>
        <w:jc w:val="both"/>
      </w:pPr>
      <w:r>
        <w:rPr>
          <w:rFonts w:ascii="Times New Roman" w:hAnsi="Times New Roman" w:eastAsia="Times New Roman" w:cs="Times New Roman"/>
          <w:b/>
          <w:sz w:val="24"/>
        </w:rPr>
        <w:t>Positioning relative to concurrent overlap-correction methods.</w:t>
      </w:r>
      <w:r>
        <w:rPr>
          <w:rFonts w:ascii="Times New Roman" w:hAnsi="Times New Roman" w:eastAsia="Times New Roman" w:cs="Times New Roman"/>
          <w:b w:val="0"/>
          <w:sz w:val="24"/>
        </w:rPr>
        <w:t xml:space="preserve"> Two independent lines of work published as we wrote converge on the same broad problem — overlap-induced bias in MR — but operate at different levels, so they are complementary rather than competing. A 2025 </w:t>
      </w:r>
      <w:r>
        <w:rPr>
          <w:rFonts w:ascii="Times New Roman" w:hAnsi="Times New Roman" w:eastAsia="Times New Roman" w:cs="Times New Roman"/>
          <w:b w:val="0"/>
          <w:i/>
          <w:sz w:val="24"/>
        </w:rPr>
        <w:t>European Heart Journal</w:t>
      </w:r>
      <w:r>
        <w:rPr>
          <w:rFonts w:ascii="Times New Roman" w:hAnsi="Times New Roman" w:eastAsia="Times New Roman" w:cs="Times New Roman"/>
          <w:b w:val="0"/>
          <w:sz w:val="24"/>
        </w:rPr>
        <w:t xml:space="preserve"> correspondence is a critical appraisal that flags exposure–outcome sample overlap and meta-analysis weighting imbalance in a protein→myocardial-infarction MR and recommends LDSC or dataset replacement </w:t>
      </w:r>
      <w:r>
        <w:rPr>
          <w:rFonts w:ascii="Times New Roman" w:hAnsi="Times New Roman" w:eastAsia="Times New Roman" w:cs="Times New Roman"/>
          <w:b w:val="0"/>
          <w:sz w:val="24"/>
          <w:vertAlign w:val="superscript"/>
        </w:rPr>
        <w:t>28</w:t>
      </w:r>
      <w:r>
        <w:rPr>
          <w:rFonts w:ascii="Times New Roman" w:hAnsi="Times New Roman" w:eastAsia="Times New Roman" w:cs="Times New Roman"/>
          <w:b w:val="0"/>
          <w:sz w:val="24"/>
        </w:rPr>
        <w:t xml:space="preserve">. It proposes no quantitative correction for the mediation product estimand. MR Simulated Sample Splitting (MR-SimSS) corrects bias in a </w:t>
      </w:r>
      <w:r>
        <w:rPr>
          <w:rFonts w:ascii="Times New Roman" w:hAnsi="Times New Roman" w:eastAsia="Times New Roman" w:cs="Times New Roman"/>
          <w:b w:val="0"/>
          <w:i/>
          <w:sz w:val="24"/>
        </w:rPr>
        <w:t>single</w:t>
      </w:r>
      <w:r>
        <w:rPr>
          <w:rFonts w:ascii="Times New Roman" w:hAnsi="Times New Roman" w:eastAsia="Times New Roman" w:cs="Times New Roman"/>
          <w:b w:val="0"/>
          <w:sz w:val="24"/>
        </w:rPr>
        <w:t xml:space="preserve"> two-sample MR estimand — instrument selection (Winner's Curse), weak-instrument bias, and exposure–outcome sample overlap — by simulating statistically independent summary statistics </w:t>
      </w:r>
      <w:r>
        <w:rPr>
          <w:rFonts w:ascii="Times New Roman" w:hAnsi="Times New Roman" w:eastAsia="Times New Roman" w:cs="Times New Roman"/>
          <w:b w:val="0"/>
          <w:sz w:val="24"/>
          <w:vertAlign w:val="superscript"/>
        </w:rPr>
        <w:t>29</w:t>
      </w:r>
      <w:r>
        <w:rPr>
          <w:rFonts w:ascii="Times New Roman" w:hAnsi="Times New Roman" w:eastAsia="Times New Roman" w:cs="Times New Roman"/>
          <w:b w:val="0"/>
          <w:sz w:val="24"/>
        </w:rPr>
        <w:t xml:space="preserve">. It does not derive the covariance of a </w:t>
      </w:r>
      <w:r>
        <w:rPr>
          <w:rFonts w:ascii="Times New Roman" w:hAnsi="Times New Roman" w:eastAsia="Times New Roman" w:cs="Times New Roman"/>
          <w:b w:val="0"/>
          <w:i/>
          <w:sz w:val="24"/>
        </w:rPr>
        <w:t>product</w:t>
      </w:r>
      <w:r>
        <w:rPr>
          <w:rFonts w:ascii="Times New Roman" w:hAnsi="Times New Roman" w:eastAsia="Times New Roman" w:cs="Times New Roman"/>
          <w:b w:val="0"/>
          <w:sz w:val="24"/>
        </w:rPr>
        <w:t xml:space="preserve"> estimand, so it leaves the two-step mediation term Cov(α̂, β̂) unaddressed. Critically, that single-estimand work documents instrument-selection and participant-overlap bias as a real, non-negligible feature of two-sample MR in practice; because the product estimand α̂β̂ inherits both channels and adds the shared-instrument covariance, that practical hazard carries over to — and is amplified within — two-step mediation, the exact regime our correction addresses.</w:t>
      </w:r>
    </w:p>
    <w:p>
      <w:pPr>
        <w:ind w:firstLine="480"/>
        <w:jc w:val="both"/>
      </w:pPr>
      <w:r>
        <w:rPr>
          <w:rFonts w:ascii="Times New Roman" w:hAnsi="Times New Roman" w:eastAsia="Times New Roman" w:cs="Times New Roman"/>
          <w:b/>
          <w:sz w:val="24"/>
        </w:rPr>
        <w:t>Limitations.</w:t>
      </w:r>
      <w:r>
        <w:rPr>
          <w:rFonts w:ascii="Times New Roman" w:hAnsi="Times New Roman" w:eastAsia="Times New Roman" w:cs="Times New Roman"/>
          <w:b w:val="0"/>
          <w:sz w:val="24"/>
        </w:rPr>
        <w:t xml:space="preserve"> Selection and collider bias can distort both point estimates and the overlap assessment in two-sample MR; a 2026 analysis quantifies such selection-bias mechanisms and their correction </w:t>
      </w:r>
      <w:r>
        <w:rPr>
          <w:rFonts w:ascii="Times New Roman" w:hAnsi="Times New Roman" w:eastAsia="Times New Roman" w:cs="Times New Roman"/>
          <w:b w:val="0"/>
          <w:sz w:val="24"/>
          <w:vertAlign w:val="superscript"/>
        </w:rPr>
        <w:t>30</w:t>
      </w:r>
      <w:r>
        <w:rPr>
          <w:rFonts w:ascii="Times New Roman" w:hAnsi="Times New Roman" w:eastAsia="Times New Roman" w:cs="Times New Roman"/>
          <w:b w:val="0"/>
          <w:sz w:val="24"/>
        </w:rPr>
        <w:t xml:space="preserve">. (1) The closed form is a first-order delta approximation; in the weak-instrument/high-overlap corner (F &lt; 15, π_shared &gt; 0.5) residual error reaches ~10–14% and the Monte Carlo fallback should be used. The bound B is a sufficient conservative envelope (observed errors 5–20× smaller), not a tight constant. (2) Real-data evidence rests on 5 non-degenerate overlapping trios from the 108-re-estimation batch (plus 2 degenerate self-mediating trios flagged by the pipeline); the batch excludes non-European and many protein/QTL traits (28/70 returned no EUR-clumped instruments), so the true overlap rate in the full literature may differ. (2b) The batch re-estimation is also not a representative sample of the 39.3% of studies flagged as overlap-capable: it is restricted to the subset resolvable to public, EUR-clumped GWAS accessions, which systematically excludes non-European-ancestry studies and many protein/metabolite QTL panels (28/70 in an earlier resolution pass returned no EUR-clumped instruments). Because these excluded designs are plausibly </w:t>
      </w:r>
      <w:r>
        <w:rPr>
          <w:rFonts w:ascii="Times New Roman" w:hAnsi="Times New Roman" w:eastAsia="Times New Roman" w:cs="Times New Roman"/>
          <w:b w:val="0"/>
          <w:i/>
          <w:sz w:val="24"/>
        </w:rPr>
        <w:t>more</w:t>
      </w:r>
      <w:r>
        <w:rPr>
          <w:rFonts w:ascii="Times New Roman" w:hAnsi="Times New Roman" w:eastAsia="Times New Roman" w:cs="Times New Roman"/>
          <w:b w:val="0"/>
          <w:sz w:val="24"/>
        </w:rPr>
        <w:t>, not less, likely to involve narrow, overlapping instrument pools (small QTL panels have fewer independent SNPs to draw on), the 6.5% overlap rate and the 0/5 flip result should be treated as a lower-bound characterization of the resolvable, EUR-ancestry subset of the literature rather than an estimate generalizable to the full audited corpus. (3) The κ statistics in Supplementary Methods S7 come from an independent blinded second coding pass performed by co-author Yan Chen (C.Y.), who was not involved in the original screening and coding (carried out by J.W.); C.Y. was blind to the sealed answer key and to the study hypothesis, and J.W. was recused from the second pass, so the κ figures are a genuine independent inter-coder reliability estimate rather than a within-team self-replication. A fully independent external re-coding of the 50-study sample is a stated priority for follow-up validation, and the deposited template, answer key and compute_kappa_2nd.py make it a one-command reproduction. The blind re-coding template, sealed answer key, and compute_kappa_2nd.py are deposited so that an independent collaborator — or a blinded co-author — can reproduce or supersede this κ in one command. This limitation attaches to the reliability estimates themselves; it does not propagate to the headline prevalence finding, which does not rest on the lower-agreement field (see §3.2, "Which coded fields are load-bearing"). (4) The literature audit searched PubMed only and did not query Embase or Web of Science; studies indexed solely in other databases, non-English-language reports, and PubMed-absent preprints are therefore not captured, so the prevalence estimates are conditional on the PubMed-indexed two-step MR mediation literature and may under-count the true denominator, especially rapidly published 2024–2026 work. The absolute percentage could therefore shift if additional records were indexed, and we do not treat 39.3% as a database-independent constant. The central qualitative finding is, however, a within-corpus absence result, and would only be overturned if the additional records disclosed overlap handling at a markedly higher rate than the 54/333 assessable studies examined here; the pre-specified three-tier sensitivity (9.3–41.1%) further shows that the qualitative conclusion is stable across a wide range of classification assumptions. (5) The audit protocol — search strings, coding rules, and the conservative/typical/structural classification scheme — was finalized and locked before screening and is deposited verbatim in Codebook S1, but was not prospectively registered on PROSPERO or OSF. We did not register because the audit is a methodological characterization of an existing literature rather than a hypothesis-testing systematic review, and because the three classification sensitivities were pre-specified as a deliberate range (not post-hoc tuning) intended to bound, rather than optimize, the prevalence estimate; reporting all three shows the central conclusion — overlap handling is rarely disclosed — is unchanged across the full sensitivity range.</w:t>
      </w:r>
    </w:p>
    <w:p>
      <w:pPr>
        <w:ind w:firstLine="480"/>
        <w:jc w:val="both"/>
      </w:pPr>
      <w:r>
        <w:rPr>
          <w:rFonts w:ascii="Times New Roman" w:hAnsi="Times New Roman" w:eastAsia="Times New Roman" w:cs="Times New Roman"/>
          <w:b/>
          <w:sz w:val="24"/>
        </w:rPr>
        <w:t>Reporting implications.</w:t>
      </w:r>
      <w:r>
        <w:rPr>
          <w:rFonts w:ascii="Times New Roman" w:hAnsi="Times New Roman" w:eastAsia="Times New Roman" w:cs="Times New Roman"/>
          <w:b w:val="0"/>
          <w:sz w:val="24"/>
        </w:rPr>
        <w:t xml:space="preserve"> The STROBE-MR statement should be extended to require explicit disclosure of the step-1 and step-2 instrument sets and their intersection, since without n_s no reader can recover the omitted covariance </w:t>
      </w:r>
      <w:r>
        <w:rPr>
          <w:rFonts w:ascii="Times New Roman" w:hAnsi="Times New Roman" w:eastAsia="Times New Roman" w:cs="Times New Roman"/>
          <w:b w:val="0"/>
          <w:sz w:val="24"/>
          <w:vertAlign w:val="superscript"/>
        </w:rPr>
        <w:t>31</w:t>
      </w:r>
      <w:r>
        <w:rPr>
          <w:rFonts w:ascii="Times New Roman" w:hAnsi="Times New Roman" w:eastAsia="Times New Roman" w:cs="Times New Roman"/>
          <w:b w:val="0"/>
          <w:sz w:val="24"/>
        </w:rPr>
        <w:t xml:space="preserve">; editors have likewise called for stronger reporting expectations in MR analyses </w:t>
      </w:r>
      <w:r>
        <w:rPr>
          <w:rFonts w:ascii="Times New Roman" w:hAnsi="Times New Roman" w:eastAsia="Times New Roman" w:cs="Times New Roman"/>
          <w:b w:val="0"/>
          <w:sz w:val="24"/>
          <w:vertAlign w:val="superscript"/>
        </w:rPr>
        <w:t>32</w:t>
      </w:r>
      <w:r>
        <w:rPr>
          <w:rFonts w:ascii="Times New Roman" w:hAnsi="Times New Roman" w:eastAsia="Times New Roman" w:cs="Times New Roman"/>
          <w:b w:val="0"/>
          <w:sz w:val="24"/>
        </w:rPr>
        <w:t xml:space="preserve">. Our tool lets analysts compute n_s from published summary statistics and apply the correction without full reanalysis. A recent perspective on the wider MR literature reaches the same conclusion: MR studies do not yet systematically use the data and techniques available to interrogate the reliability of their own assumptions </w:t>
      </w:r>
      <w:r>
        <w:rPr>
          <w:rFonts w:ascii="Times New Roman" w:hAnsi="Times New Roman" w:eastAsia="Times New Roman" w:cs="Times New Roman"/>
          <w:b w:val="0"/>
          <w:sz w:val="24"/>
          <w:vertAlign w:val="superscript"/>
        </w:rPr>
        <w:t>33</w:t>
      </w:r>
      <w:r>
        <w:rPr>
          <w:rFonts w:ascii="Times New Roman" w:hAnsi="Times New Roman" w:eastAsia="Times New Roman" w:cs="Times New Roman"/>
          <w:b w:val="0"/>
          <w:sz w:val="24"/>
        </w:rPr>
        <w:t>.</w:t>
      </w:r>
    </w:p>
    <w:p>
      <w:pPr>
        <w:ind w:firstLine="480"/>
        <w:jc w:val="both"/>
      </w:pPr>
      <w:r>
        <w:rPr>
          <w:rFonts w:ascii="Times New Roman" w:hAnsi="Times New Roman" w:eastAsia="Times New Roman" w:cs="Times New Roman"/>
          <w:b/>
          <w:sz w:val="24"/>
        </w:rPr>
        <w:t>Practical recommendations.</w:t>
      </w:r>
      <w:r>
        <w:rPr>
          <w:rFonts w:ascii="Times New Roman" w:hAnsi="Times New Roman" w:eastAsia="Times New Roman" w:cs="Times New Roman"/>
          <w:b w:val="0"/>
          <w:sz w:val="24"/>
        </w:rPr>
        <w:t xml:space="preserve"> Three quantities decide whether the traditional variance is adequate in any given two-step MR mediation: the number of shared instruments n_s (equivalently the shared proportion π_shared) and the mediator-outcome sample overlap ρ_MY. When n_s = 0 and the mediator and outcome GWAS are independent, the traditional expression is correct and no action is required. When either quantity is non-zero, Cov(α̂, β̂) is non-zero and the corrected variance should be reported alongside the naive one. Our R and Python implementations compute the correction from the published summary statistics alone, so it can be applied by authors, reviewers or readers without re-running the original analysis. In the weak-instrument, high-overlap corner (F &lt; 15 with π_shared &gt; 0.5), where the first-order approximation degrades, we recommend the Monte Carlo fallback instead. Crucially, under the standard design (ρ_MY ≈ 0) the shared-instrument covariance is negative for either sign of α̂β̂ (Proposition S2.5), so the correction is conservative (it narrows the interval) and should be applied as a matter of routine; the ρ_MY channel can in principle change sign but is 2–3 orders of magnitude smaller than the shared channel and did not reverse the direction in any examined configuration.</w:t>
      </w:r>
    </w:p>
    <w:p>
      <w:pPr>
        <w:spacing w:before="200" w:after="80"/>
        <w:jc w:val="left"/>
      </w:pPr>
      <w:r>
        <w:rPr>
          <w:rFonts w:ascii="Times New Roman" w:hAnsi="Times New Roman" w:eastAsia="Times New Roman" w:cs="Times New Roman"/>
          <w:b/>
          <w:sz w:val="26"/>
        </w:rPr>
        <w:t>5. Conclusion</w:t>
      </w:r>
    </w:p>
    <w:p>
      <w:pPr>
        <w:ind w:firstLine="480"/>
        <w:jc w:val="both"/>
      </w:pPr>
      <w:r>
        <w:rPr>
          <w:rFonts w:ascii="Times New Roman" w:hAnsi="Times New Roman" w:eastAsia="Times New Roman" w:cs="Times New Roman"/>
          <w:b w:val="0"/>
          <w:sz w:val="24"/>
        </w:rPr>
        <w:t>The product-method variance in two-step MR mediation omits a covariance whenever the two steps share instruments or the mediator and outcome samples overlap. We derived that term in closed form and showed by simulation that it restores nominal coverage across the grid we examined. Published studies rarely say whether such overlap exists: 39.3% used a design capable of it without disclosure. In the few trios we could resolve, overlap involved one to three instruments and changed no conclusion, but this sample is small, European-ancestry, and not representative of the audited literature. Under standard IVW assumptions the shared-instrument covariance is negative for either sign of α̂β̂ (Proposition S2.5), so the correction is conservative (it narrows rather than widens intervals) and should be applied routinely; the residual ρ_MY channel is orders of magnitude smaller and did not reverse the direction in any examined configuration. Reporting the number of shared instruments (n_s, π_shared) would let readers place any published result in the right regime; whether the mediator–outcome sample-overlap channel matters as much in practice remains untested.</w:t>
      </w:r>
    </w:p>
    <w:p>
      <w:pPr>
        <w:ind w:firstLine="480"/>
        <w:jc w:val="both"/>
      </w:pPr>
      <w:r>
        <w:rPr>
          <w:rFonts w:ascii="Times New Roman" w:hAnsi="Times New Roman" w:eastAsia="Times New Roman" w:cs="Times New Roman"/>
          <w:b w:val="0"/>
          <w:sz w:val="24"/>
        </w:rPr>
        <w:t>The diagnostic tool estimate_cov_prod_mr() and all replication scripts are deposited in a public GitHub repository (https://github.com/javenzju/two-step-mr-cov; archived at Zenodo, DOI: 10.5281/zenodo.22725281) and are organised as follows. The core tool and its dependencies are in code/method_core/ (S10_prod_mr_cov_tool.R, weak_instrument_threshold_FIXED.R, S16_bootstrap_fallback_indirect_var.R); validation scripts are code/method_core/T2_validation.R and code/method_core/T5_bootstrap_coverage.R. The TwoSampleMR-compatible wrapper mr_cov_correct() is code/correct_cov_prod_mr.R (self-test code/test_correct_cov_prod_mr.R), the ieugwasr-compatible wrapper mr_mediation_correct_from_frames() is code/correct_from_ieugwasr.py, and the usage guide is code/TOOL_README.md; both wrappers were cross-checked against code/method_core/S10_prod_mr_cov_tool.R and the BMI → waist → CHD ground truth. The inter-coder reliability work package (blind re-coding sheet, second-coder template, sealed answer key, and compute_kappa_2nd.py calculator with Pe→1-artifact detection and bootstrap CI) is in code/ (kappa_second_coder_template.csv, code/kappa/kappa_answer_key_20260903.csv, compute_kappa_2nd.py, kappa_instructions.md) and is re-runnable via a second blinded coding pass; the reporting second-coder re-code by Yan Chen (C.Y.) and its κ report are in code/kappa_chenyan_task/ (kappa_second_coder_chenyan_FILLED.csv, kappa_2nd_report.csv, compute_kappa_2nd.py). Real GWAS summary statistics were obtained through IEU OpenGWAS and are subject to the OpenGWAS data-use policy; the BMI → waist → CHD illustration uses trait IDs ieu-a-2, ieu-a-61, ieu-a-7, and the S245 re-examination uses ieu-a-302, met-a-509, prot-a-2100, finn-b-CD2_MULTIPLE_MYELOMA_PLASMA_CELL. Instrument sets were extracted via the OpenGWAS REST /tophits endpoint; the accession-resolution and overlap scripts are code/replication/S245_resolve_mediators.py and code/replication/S245_pi_shared.py. The batch re-estimation pipeline (OpenGWAS REST /tophits + /associations, harmonized IVW, the semi-analytic correction) is code/replication/M4b_phaseB_pipeline.py, with the candidate screening, π_shared and re-estimation outputs in code/replication/. The horizontal-pleiotropy sensitivity analysis (MR-Egger intercept and weighted-median on both steps of the five non-degenerate trios) is code/replication/M4c_pleiotropy_sensitivity.py, with the per-step intercepts, p-values and weighted-median slopes in temp/M4c_pleiotropy.csv. The literature coding table underlying §3.3 is code/literature_coding_table_UPDATED.xlsx. The GitHub repository is public at submission and the archived release is citable via the Zenodo DOI above.</w:t>
      </w:r>
    </w:p>
    <w:p>
      <w:pPr>
        <w:spacing w:before="200" w:after="80"/>
        <w:jc w:val="left"/>
      </w:pPr>
      <w:r>
        <w:rPr>
          <w:rFonts w:ascii="Times New Roman" w:hAnsi="Times New Roman" w:eastAsia="Times New Roman" w:cs="Times New Roman"/>
          <w:b/>
          <w:sz w:val="26"/>
        </w:rPr>
        <w:t>Funding</w:t>
      </w:r>
    </w:p>
    <w:p>
      <w:pPr>
        <w:ind w:firstLine="480"/>
        <w:jc w:val="both"/>
      </w:pPr>
      <w:r>
        <w:rPr>
          <w:rFonts w:ascii="Times New Roman" w:hAnsi="Times New Roman" w:eastAsia="Times New Roman" w:cs="Times New Roman"/>
          <w:b w:val="0"/>
          <w:sz w:val="24"/>
        </w:rPr>
        <w:t>This work was supported by the Zhejiang Traditional Chinese Medicine Science and Technology Plan Project (2023ZL390, 2024ZL381) and the Zhejiang Provincial Medical and Health Science and Technology Plan (2023KY860, 2021KY827). The funders had no role in study design, data collection, analysis, interpretation, decision to publish, or preparation of the manuscript.</w:t>
      </w:r>
    </w:p>
    <w:p>
      <w:pPr>
        <w:spacing w:before="200" w:after="80"/>
        <w:jc w:val="left"/>
      </w:pPr>
      <w:r>
        <w:rPr>
          <w:rFonts w:ascii="Times New Roman" w:hAnsi="Times New Roman" w:eastAsia="Times New Roman" w:cs="Times New Roman"/>
          <w:b/>
          <w:sz w:val="26"/>
        </w:rPr>
        <w:t>Acknowledgements</w:t>
      </w:r>
    </w:p>
    <w:p>
      <w:pPr>
        <w:ind w:firstLine="480"/>
        <w:jc w:val="both"/>
      </w:pPr>
      <w:r>
        <w:rPr>
          <w:rFonts w:ascii="Times New Roman" w:hAnsi="Times New Roman" w:eastAsia="Times New Roman" w:cs="Times New Roman"/>
          <w:b w:val="0"/>
          <w:sz w:val="24"/>
        </w:rPr>
        <w:t>The authors thank the creators and maintainers of the IEU OpenGWAS platform and the original GWAS consortia for making summary statistics publicly available.</w:t>
      </w:r>
    </w:p>
    <w:p>
      <w:pPr>
        <w:spacing w:before="200" w:after="80"/>
        <w:jc w:val="left"/>
      </w:pPr>
      <w:r>
        <w:rPr>
          <w:rFonts w:ascii="Times New Roman" w:hAnsi="Times New Roman" w:eastAsia="Times New Roman" w:cs="Times New Roman"/>
          <w:b/>
          <w:sz w:val="26"/>
        </w:rPr>
        <w:t>Author contributions</w:t>
      </w:r>
    </w:p>
    <w:p>
      <w:pPr>
        <w:ind w:firstLine="480"/>
        <w:jc w:val="both"/>
      </w:pPr>
      <w:r>
        <w:rPr>
          <w:rFonts w:ascii="Times New Roman" w:hAnsi="Times New Roman" w:eastAsia="Times New Roman" w:cs="Times New Roman"/>
          <w:b w:val="0"/>
          <w:sz w:val="24"/>
        </w:rPr>
        <w:t>C.Y. and J.W. conceived the study, derived the semi-analytic covariance, and wrote the manuscript. The initial literature screening and study coding were AI-assisted; a sealed AI-generated coding key was independently re-coded blind by C.Y. to assess classification reproducibility (J.W. recused). J.W. implemented the reliability bound, the diagnostic tool, and the replication pipeline, and carried out the simulations and real-data analyses. Both authors read and approved the final manuscript.</w:t>
      </w:r>
    </w:p>
    <w:p>
      <w:pPr>
        <w:spacing w:before="200" w:after="80"/>
        <w:jc w:val="left"/>
      </w:pPr>
      <w:r>
        <w:rPr>
          <w:rFonts w:ascii="Times New Roman" w:hAnsi="Times New Roman" w:eastAsia="Times New Roman" w:cs="Times New Roman"/>
          <w:b/>
          <w:sz w:val="26"/>
        </w:rPr>
        <w:t>Ethical approval</w:t>
      </w:r>
    </w:p>
    <w:p>
      <w:pPr>
        <w:ind w:firstLine="480"/>
        <w:jc w:val="both"/>
      </w:pPr>
      <w:r>
        <w:rPr>
          <w:rFonts w:ascii="Times New Roman" w:hAnsi="Times New Roman" w:eastAsia="Times New Roman" w:cs="Times New Roman"/>
          <w:b w:val="0"/>
          <w:sz w:val="24"/>
        </w:rPr>
        <w:t>This study used only publicly available, summary-level GWAS data and did not involve individual-level data, human participants, or animals. No new ethical approval or informed consent was required beyond that obtained by the original GWAS consortia. Consent to participate: not applicable. Consent for publication: not applicable.</w:t>
      </w:r>
    </w:p>
    <w:p>
      <w:pPr>
        <w:spacing w:before="200" w:after="80"/>
        <w:jc w:val="left"/>
      </w:pPr>
      <w:r>
        <w:rPr>
          <w:rFonts w:ascii="Times New Roman" w:hAnsi="Times New Roman" w:eastAsia="Times New Roman" w:cs="Times New Roman"/>
          <w:b/>
          <w:sz w:val="26"/>
        </w:rPr>
        <w:t>Competing interests</w:t>
      </w:r>
    </w:p>
    <w:p>
      <w:pPr>
        <w:ind w:firstLine="480"/>
        <w:jc w:val="both"/>
      </w:pPr>
      <w:r>
        <w:rPr>
          <w:rFonts w:ascii="Times New Roman" w:hAnsi="Times New Roman" w:eastAsia="Times New Roman" w:cs="Times New Roman"/>
          <w:b w:val="0"/>
          <w:sz w:val="24"/>
        </w:rPr>
        <w:t>The authors declare no competing interests.</w:t>
      </w:r>
    </w:p>
    <w:p>
      <w:pPr>
        <w:spacing w:before="200" w:after="80"/>
        <w:jc w:val="left"/>
      </w:pPr>
      <w:r>
        <w:rPr>
          <w:rFonts w:ascii="Times New Roman" w:hAnsi="Times New Roman" w:eastAsia="Times New Roman" w:cs="Times New Roman"/>
          <w:b/>
          <w:sz w:val="26"/>
        </w:rPr>
        <w:t>Artificial intelligence disclosure</w:t>
      </w:r>
    </w:p>
    <w:p>
      <w:pPr>
        <w:ind w:firstLine="480"/>
        <w:jc w:val="both"/>
      </w:pPr>
      <w:r>
        <w:rPr>
          <w:rFonts w:ascii="Times New Roman" w:hAnsi="Times New Roman" w:eastAsia="Times New Roman" w:cs="Times New Roman"/>
          <w:b w:val="0"/>
          <w:sz w:val="24"/>
        </w:rPr>
        <w:t>During manuscript preparation the authors used a large language model (an AI assistant) to support English-language polishing and to scaffold and debug analysis code. The initial literature screening and study coding were performed with AI assistance; a sealed AI-generated coding key was independently re-coded blind by co-author C.Y., yielding field-level κ from 0.44 to 0.78 (macro-averaged κ = 0.61; AI↔human agreement, Supplementary Methods S7). All coding decisions and reported numbers were subsequently verified by the human authors (J.W., C.Y.). The language model did not conceive the research questions or derive the covariance; the methods, computations, results and conclusions were authored and verified by the human authors, and no text generated by the model was included without full author review and editing.</w:t>
      </w:r>
    </w:p>
    <w:p>
      <w:pPr>
        <w:spacing w:before="200" w:after="80"/>
        <w:jc w:val="left"/>
      </w:pPr>
      <w:r>
        <w:rPr>
          <w:rFonts w:ascii="Times New Roman" w:hAnsi="Times New Roman" w:eastAsia="Times New Roman" w:cs="Times New Roman"/>
          <w:b/>
          <w:sz w:val="26"/>
        </w:rPr>
        <w:t>References</w:t>
      </w:r>
    </w:p>
    <w:p>
      <w:pPr>
        <w:ind w:firstLine="400"/>
        <w:jc w:val="both"/>
      </w:pPr>
      <w:r>
        <w:rPr>
          <w:rFonts w:ascii="Times New Roman" w:hAnsi="Times New Roman" w:eastAsia="Times New Roman" w:cs="Times New Roman"/>
          <w:b w:val="0"/>
          <w:sz w:val="20"/>
        </w:rPr>
        <w:t>1. Lawlor DA, Harbord RM, Sterne JA, Timpson N, Davey Smith G. Mendelian randomization: using genes as instruments for making causal inferences in epidemiology. Stat Med. 2008;27(8):1133-63. doi:10.1002/sim.3034.</w:t>
      </w:r>
    </w:p>
    <w:p>
      <w:pPr>
        <w:ind w:firstLine="400"/>
        <w:jc w:val="both"/>
      </w:pPr>
      <w:r>
        <w:rPr>
          <w:rFonts w:ascii="Times New Roman" w:hAnsi="Times New Roman" w:eastAsia="Times New Roman" w:cs="Times New Roman"/>
          <w:b w:val="0"/>
          <w:sz w:val="20"/>
        </w:rPr>
        <w:t>2. Davey Smith G, Hemani G. Mendelian randomization: genetic anchors for causal inference in epidemiological studies. Hum Mol Genet. 2014;23(R1):R89-98. doi:10.1093/hmg/ddu328.</w:t>
      </w:r>
    </w:p>
    <w:p>
      <w:pPr>
        <w:ind w:firstLine="400"/>
        <w:jc w:val="both"/>
      </w:pPr>
      <w:r>
        <w:rPr>
          <w:rFonts w:ascii="Times New Roman" w:hAnsi="Times New Roman" w:eastAsia="Times New Roman" w:cs="Times New Roman"/>
          <w:b w:val="0"/>
          <w:sz w:val="20"/>
        </w:rPr>
        <w:t>3. Lee S, Lee W. A Review of Mendelian Randomization: Assumptions, Methods, and Application to Obesity-Related Diseases. J Obes Metab Syndr. 2025;34(1):14-26. doi:10.7570/jomes24031.</w:t>
      </w:r>
    </w:p>
    <w:p>
      <w:pPr>
        <w:ind w:firstLine="400"/>
        <w:jc w:val="both"/>
      </w:pPr>
      <w:r>
        <w:rPr>
          <w:rFonts w:ascii="Times New Roman" w:hAnsi="Times New Roman" w:eastAsia="Times New Roman" w:cs="Times New Roman"/>
          <w:b w:val="0"/>
          <w:sz w:val="20"/>
        </w:rPr>
        <w:t>4. Burgess S, Butterworth A, Thompson SG. Mendelian randomization analysis with multiple genetic variants using summarized data. Genet Epidemiol. 2013;37(7):658-65. doi:10.1002/gepi.21758.</w:t>
      </w:r>
    </w:p>
    <w:p>
      <w:pPr>
        <w:ind w:firstLine="400"/>
        <w:jc w:val="both"/>
      </w:pPr>
      <w:r>
        <w:rPr>
          <w:rFonts w:ascii="Times New Roman" w:hAnsi="Times New Roman" w:eastAsia="Times New Roman" w:cs="Times New Roman"/>
          <w:b w:val="0"/>
          <w:sz w:val="20"/>
        </w:rPr>
        <w:t>5. Liu X, Wang W. From randomized controlled trial to Mendelian randomization: principles and applications of instrumental variables. Fudan Univ J Med Sci. 2025;52(4):611-616. doi:10.3969/j.issn.1672-8467.2025.04.021.</w:t>
      </w:r>
    </w:p>
    <w:p>
      <w:pPr>
        <w:ind w:firstLine="400"/>
        <w:jc w:val="both"/>
      </w:pPr>
      <w:r>
        <w:rPr>
          <w:rFonts w:ascii="Times New Roman" w:hAnsi="Times New Roman" w:eastAsia="Times New Roman" w:cs="Times New Roman"/>
          <w:b w:val="0"/>
          <w:sz w:val="20"/>
        </w:rPr>
        <w:t>6. Pierce BL, Burgess S. Efficient design for Mendelian randomization studies: subsample and 2-sample instrumental variable estimators. Am J Epidemiol. 2013;178(7):1177-84. doi:10.1093/aje/kwt084.</w:t>
      </w:r>
    </w:p>
    <w:p>
      <w:pPr>
        <w:ind w:firstLine="400"/>
        <w:jc w:val="both"/>
      </w:pPr>
      <w:r>
        <w:rPr>
          <w:rFonts w:ascii="Times New Roman" w:hAnsi="Times New Roman" w:eastAsia="Times New Roman" w:cs="Times New Roman"/>
          <w:b w:val="0"/>
          <w:sz w:val="20"/>
        </w:rPr>
        <w:t>7. Burgess S, Dudbridge F, Thompson SG. Combining information on multiple instrumental variables in Mendelian randomization: comparison of allele score and summarized data methods. Stat Med. 2016;35(11):1880-906. doi:10.1002/sim.6835.</w:t>
      </w:r>
    </w:p>
    <w:p>
      <w:pPr>
        <w:ind w:firstLine="400"/>
        <w:jc w:val="both"/>
      </w:pPr>
      <w:r>
        <w:rPr>
          <w:rFonts w:ascii="Times New Roman" w:hAnsi="Times New Roman" w:eastAsia="Times New Roman" w:cs="Times New Roman"/>
          <w:b w:val="0"/>
          <w:sz w:val="20"/>
        </w:rPr>
        <w:t>8. Burgess S, Thompson SG, CRP CHD Genetics Collaboration. Avoiding bias from weak instruments in Mendelian randomization studies. Int J Epidemiol. 2011;40(3):755-64. doi:10.1093/ije/dyr036.</w:t>
      </w:r>
    </w:p>
    <w:p>
      <w:pPr>
        <w:ind w:firstLine="400"/>
        <w:jc w:val="both"/>
      </w:pPr>
      <w:r>
        <w:rPr>
          <w:rFonts w:ascii="Times New Roman" w:hAnsi="Times New Roman" w:eastAsia="Times New Roman" w:cs="Times New Roman"/>
          <w:b w:val="0"/>
          <w:sz w:val="20"/>
        </w:rPr>
        <w:t>9. Bowden J, Davey Smith G, Burgess S. Mendelian randomization with invalid instruments: effect estimation and bias detection through Egger regression. Int J Epidemiol. 2015;44(2):512-25. doi:10.1093/ije/dyv080.</w:t>
      </w:r>
    </w:p>
    <w:p>
      <w:pPr>
        <w:ind w:firstLine="400"/>
        <w:jc w:val="both"/>
      </w:pPr>
      <w:r>
        <w:rPr>
          <w:rFonts w:ascii="Times New Roman" w:hAnsi="Times New Roman" w:eastAsia="Times New Roman" w:cs="Times New Roman"/>
          <w:b w:val="0"/>
          <w:sz w:val="20"/>
        </w:rPr>
        <w:t>10. Verbanck M, Chen CY, Neale B, Do R. Detection of widespread horizontal pleiotropy in causal relationships inferred from Mendelian randomization between complex traits and diseases. Nat Genet. 2018;50(5):693-698. doi:10.1038/s41588-018-0099-7.</w:t>
      </w:r>
    </w:p>
    <w:p>
      <w:pPr>
        <w:ind w:firstLine="400"/>
        <w:jc w:val="both"/>
      </w:pPr>
      <w:r>
        <w:rPr>
          <w:rFonts w:ascii="Times New Roman" w:hAnsi="Times New Roman" w:eastAsia="Times New Roman" w:cs="Times New Roman"/>
          <w:b w:val="0"/>
          <w:sz w:val="20"/>
        </w:rPr>
        <w:t>11. Bowden J, Davey Smith G, Haycock PC, Burgess S. Consistent Estimation in Mendelian Randomization with Some Invalid Instruments Using a Weighted Median Estimator. Genet Epidemiol. 2016;40(4):304-14. doi:10.1002/gepi.21965.</w:t>
      </w:r>
    </w:p>
    <w:p>
      <w:pPr>
        <w:ind w:firstLine="400"/>
        <w:jc w:val="both"/>
      </w:pPr>
      <w:r>
        <w:rPr>
          <w:rFonts w:ascii="Times New Roman" w:hAnsi="Times New Roman" w:eastAsia="Times New Roman" w:cs="Times New Roman"/>
          <w:b w:val="0"/>
          <w:sz w:val="20"/>
        </w:rPr>
        <w:t>12. Burgess S, Daniel RM, Butterworth AS, Thompson SG, EPIC-InterAct Consortium. Network Mendelian randomization: using genetic variants as instrumental variables to investigate mediation in causal pathways. Int J Epidemiol. 2015;44(2):484-95. doi:10.1093/ije/dyu176.</w:t>
      </w:r>
    </w:p>
    <w:p>
      <w:pPr>
        <w:ind w:firstLine="400"/>
        <w:jc w:val="both"/>
      </w:pPr>
      <w:r>
        <w:rPr>
          <w:rFonts w:ascii="Times New Roman" w:hAnsi="Times New Roman" w:eastAsia="Times New Roman" w:cs="Times New Roman"/>
          <w:b w:val="0"/>
          <w:sz w:val="20"/>
        </w:rPr>
        <w:t>13. Carter AR, Sanderson E, Hammerton G, Richmond RC, Davey Smith G, Heron J, et al. Mendelian randomisation for mediation analysis: current methods and challenges for implementation. Eur J Epidemiol. 2021;36(5):465-478. doi:10.1007/s10654-021-00757-1.</w:t>
      </w:r>
    </w:p>
    <w:p>
      <w:pPr>
        <w:ind w:firstLine="400"/>
        <w:jc w:val="both"/>
      </w:pPr>
      <w:r>
        <w:rPr>
          <w:rFonts w:ascii="Times New Roman" w:hAnsi="Times New Roman" w:eastAsia="Times New Roman" w:cs="Times New Roman"/>
          <w:b w:val="0"/>
          <w:sz w:val="20"/>
        </w:rPr>
        <w:t>14. Wu Z, Lewis E, Zhao Q, Wang J. Causal mediation analysis for time-varying heritable risk factors with Mendelian randomization. Nat Commun. 2025;16(1):6945. doi:10.1038/s41467-025-61648-7.</w:t>
      </w:r>
    </w:p>
    <w:p>
      <w:pPr>
        <w:ind w:firstLine="400"/>
        <w:jc w:val="both"/>
      </w:pPr>
      <w:r>
        <w:rPr>
          <w:rFonts w:ascii="Times New Roman" w:hAnsi="Times New Roman" w:eastAsia="Times New Roman" w:cs="Times New Roman"/>
          <w:b w:val="0"/>
          <w:sz w:val="20"/>
        </w:rPr>
        <w:t>15. Fontana N, Ieva F, Zuccolo L, Di Angelantonio E, Secchi P. Unraveling time-varying causal effects of multiple exposures: integrating Functional Data Analysis with Multivariable Mendelian Randomization. arXiv (preprint). 2025. doi:10.48550/arXiv.2512.19064.</w:t>
      </w:r>
    </w:p>
    <w:p>
      <w:pPr>
        <w:ind w:firstLine="400"/>
        <w:jc w:val="both"/>
      </w:pPr>
      <w:r>
        <w:rPr>
          <w:rFonts w:ascii="Times New Roman" w:hAnsi="Times New Roman" w:eastAsia="Times New Roman" w:cs="Times New Roman"/>
          <w:b w:val="0"/>
          <w:sz w:val="20"/>
        </w:rPr>
        <w:t>16. Burgess S, Davies NM, Thompson SG. Bias due to participant overlap in two-sample Mendelian randomization. Genet Epidemiol. 2016;40(7):597-608. doi:10.1002/gepi.21998.</w:t>
      </w:r>
    </w:p>
    <w:p>
      <w:pPr>
        <w:ind w:firstLine="400"/>
        <w:jc w:val="both"/>
      </w:pPr>
      <w:r>
        <w:rPr>
          <w:rFonts w:ascii="Times New Roman" w:hAnsi="Times New Roman" w:eastAsia="Times New Roman" w:cs="Times New Roman"/>
          <w:b w:val="0"/>
          <w:sz w:val="20"/>
        </w:rPr>
        <w:t>17. Zhang L, Liu L, Ji J, Yan R, Guo P, Gong W, et al. Efficient Mendelian randomization analysis with self-adaptive determination of sample structure and multiple pleiotropic effects. Am J Hum Genet. 2025. doi:10.1016/j.ajhg.2025.06.002.</w:t>
      </w:r>
    </w:p>
    <w:p>
      <w:pPr>
        <w:ind w:firstLine="400"/>
        <w:jc w:val="both"/>
      </w:pPr>
      <w:r>
        <w:rPr>
          <w:rFonts w:ascii="Times New Roman" w:hAnsi="Times New Roman" w:eastAsia="Times New Roman" w:cs="Times New Roman"/>
          <w:b w:val="0"/>
          <w:sz w:val="20"/>
        </w:rPr>
        <w:t>18. Hou L, Chen H, Zhou XH. MR-EILLS: an invariance-based Mendelian randomization method integrating multiple heterogeneous GWAS summary datasets. Nat Commun. 2025;16:7668. doi:10.1038/s41467-025-62823-6.</w:t>
      </w:r>
    </w:p>
    <w:p>
      <w:pPr>
        <w:ind w:firstLine="400"/>
        <w:jc w:val="both"/>
      </w:pPr>
      <w:r>
        <w:rPr>
          <w:rFonts w:ascii="Times New Roman" w:hAnsi="Times New Roman" w:eastAsia="Times New Roman" w:cs="Times New Roman"/>
          <w:b w:val="0"/>
          <w:sz w:val="20"/>
        </w:rPr>
        <w:t>19. Sanderson E, Davey Smith G, Windmeijer F, Bowden J. An examination of multivariable Mendelian randomization in the single-sample and two-sample summary data settings. Int J Epidemiol. 2019;48(3):713-727. doi:10.1093/ije/dyy262.</w:t>
      </w:r>
    </w:p>
    <w:p>
      <w:pPr>
        <w:ind w:firstLine="400"/>
        <w:jc w:val="both"/>
      </w:pPr>
      <w:r>
        <w:rPr>
          <w:rFonts w:ascii="Times New Roman" w:hAnsi="Times New Roman" w:eastAsia="Times New Roman" w:cs="Times New Roman"/>
          <w:b w:val="0"/>
          <w:sz w:val="20"/>
        </w:rPr>
        <w:t>20. Wu Y, Kang H, Ye T. A more robust approach to multivariable Mendelian randomization. Biometrika. 2025;112(4):asaf053. doi:10.1093/biomet/asaf053.</w:t>
      </w:r>
    </w:p>
    <w:p>
      <w:pPr>
        <w:ind w:firstLine="400"/>
        <w:jc w:val="both"/>
      </w:pPr>
      <w:r>
        <w:rPr>
          <w:rFonts w:ascii="Times New Roman" w:hAnsi="Times New Roman" w:eastAsia="Times New Roman" w:cs="Times New Roman"/>
          <w:b w:val="0"/>
          <w:sz w:val="20"/>
        </w:rPr>
        <w:t>21. Davies NM, Holmes MV, Davey Smith G. Reading Mendelian randomisation studies: a guide, glossary, and checklist for clinicians. BMJ. 2018;362:k601. doi:10.1136/bmj.k601.</w:t>
      </w:r>
    </w:p>
    <w:p>
      <w:pPr>
        <w:ind w:firstLine="400"/>
        <w:jc w:val="both"/>
      </w:pPr>
      <w:r>
        <w:rPr>
          <w:rFonts w:ascii="Times New Roman" w:hAnsi="Times New Roman" w:eastAsia="Times New Roman" w:cs="Times New Roman"/>
          <w:b w:val="0"/>
          <w:sz w:val="20"/>
        </w:rPr>
        <w:t>22. Lin SC, Lin SH, Ge T, Chen CY, Lin YF. Causal Mediation Analysis: A Summary-Data Mendelian Randomization Approach. Stat Med. 2025;44(5):e10317. doi:10.1002/sim.10317.</w:t>
      </w:r>
    </w:p>
    <w:p>
      <w:pPr>
        <w:ind w:firstLine="400"/>
        <w:jc w:val="both"/>
      </w:pPr>
      <w:r>
        <w:rPr>
          <w:rFonts w:ascii="Times New Roman" w:hAnsi="Times New Roman" w:eastAsia="Times New Roman" w:cs="Times New Roman"/>
          <w:b w:val="0"/>
          <w:sz w:val="20"/>
        </w:rPr>
        <w:t>23. Hemani G, Zheng J, Elsworth B, Wade KH, Haberland V, Baird D, et al. The MR-Base platform supports systematic causal inference across the human phenome. Elife. 2018;7. doi:10.7554/eLife.34408.</w:t>
      </w:r>
    </w:p>
    <w:p>
      <w:pPr>
        <w:ind w:firstLine="400"/>
        <w:jc w:val="both"/>
      </w:pPr>
      <w:r>
        <w:rPr>
          <w:rFonts w:ascii="Times New Roman" w:hAnsi="Times New Roman" w:eastAsia="Times New Roman" w:cs="Times New Roman"/>
          <w:b w:val="0"/>
          <w:sz w:val="20"/>
        </w:rPr>
        <w:t>24. Sanderson E, Windmeijer F. A weak instrument F-test in linear IV models with multiple endogenous variables. J Econom. 2016;190(2):212-221. doi:10.1016/j.jeconom.2015.06.004.</w:t>
      </w:r>
    </w:p>
    <w:p>
      <w:pPr>
        <w:ind w:firstLine="400"/>
        <w:jc w:val="both"/>
      </w:pPr>
      <w:r>
        <w:rPr>
          <w:rFonts w:ascii="Times New Roman" w:hAnsi="Times New Roman" w:eastAsia="Times New Roman" w:cs="Times New Roman"/>
          <w:b w:val="0"/>
          <w:sz w:val="20"/>
        </w:rPr>
        <w:t>25. Sanderson E, Spiller W, Bowden J. Testing and correcting for weak and pleiotropic instruments in two-sample multivariable Mendelian randomization. Stat Med. 2021;40(25):5434-5452. doi:10.1002/sim.9133.</w:t>
      </w:r>
    </w:p>
    <w:p>
      <w:pPr>
        <w:ind w:firstLine="400"/>
        <w:jc w:val="both"/>
      </w:pPr>
      <w:r>
        <w:rPr>
          <w:rFonts w:ascii="Times New Roman" w:hAnsi="Times New Roman" w:eastAsia="Times New Roman" w:cs="Times New Roman"/>
          <w:b w:val="0"/>
          <w:sz w:val="20"/>
        </w:rPr>
        <w:t>26. Bulik-Sullivan BK, Loh PR, Finucane HK, Ripke S, Yang J, Schizophrenia Working Group of the Psychiatric Genomics Consortium, et al. LD Score regression distinguishes confounding from polygenicity in genome-wide association studies. Nat Genet. 2015;47(3):291-5. doi:10.1038/ng.3211.</w:t>
      </w:r>
    </w:p>
    <w:p>
      <w:pPr>
        <w:ind w:firstLine="400"/>
        <w:jc w:val="both"/>
      </w:pPr>
      <w:r>
        <w:rPr>
          <w:rFonts w:ascii="Times New Roman" w:hAnsi="Times New Roman" w:eastAsia="Times New Roman" w:cs="Times New Roman"/>
          <w:b w:val="0"/>
          <w:sz w:val="20"/>
        </w:rPr>
        <w:t>27. Yao M, Wang A, Li X, Liu Z. Mendelian Randomization Methods for Causal Inference: Estimands, Identification and Inference. Stat Med. 2026;45(1-2):e70394. doi:10.1002/sim.70394.</w:t>
      </w:r>
    </w:p>
    <w:p>
      <w:pPr>
        <w:ind w:firstLine="400"/>
        <w:jc w:val="both"/>
      </w:pPr>
      <w:r>
        <w:rPr>
          <w:rFonts w:ascii="Times New Roman" w:hAnsi="Times New Roman" w:eastAsia="Times New Roman" w:cs="Times New Roman"/>
          <w:b w:val="0"/>
          <w:sz w:val="20"/>
        </w:rPr>
        <w:t>28. Chen J, Zhao J, Fu S. Addressing sample overlap and meta-analysis imbalances in Mendelian randomization: a critical appraisal of protein targets for myocardial infarction. Eur Heart J. 2025;46(29):2928-2929. doi:10.1093/eurheartj/ehaf186.</w:t>
      </w:r>
    </w:p>
    <w:p>
      <w:pPr>
        <w:ind w:firstLine="400"/>
        <w:jc w:val="both"/>
      </w:pPr>
      <w:r>
        <w:rPr>
          <w:rFonts w:ascii="Times New Roman" w:hAnsi="Times New Roman" w:eastAsia="Times New Roman" w:cs="Times New Roman"/>
          <w:b w:val="0"/>
          <w:sz w:val="20"/>
        </w:rPr>
        <w:t>29. Forde A, Hemani G, Ferguson J. Simulated sample splitting approach to address biases due to instrument selection and participant overlap in two-sample Mendelian Randomization studies. PLoS Genet. 2026;22(5):e1011949. doi:10.1371/journal.pgen.1011949.</w:t>
      </w:r>
    </w:p>
    <w:p>
      <w:pPr>
        <w:ind w:firstLine="400"/>
        <w:jc w:val="both"/>
      </w:pPr>
      <w:r>
        <w:rPr>
          <w:rFonts w:ascii="Times New Roman" w:hAnsi="Times New Roman" w:eastAsia="Times New Roman" w:cs="Times New Roman"/>
          <w:b w:val="0"/>
          <w:sz w:val="20"/>
        </w:rPr>
        <w:t>30. Luo Y, Tilling K, Gkatzionis A. Assessing and Adjusting for Selection Bias in Mendelian Randomization: the Effects of Body Mass Index, Education, and C-reactive Protein on Depression in UK Biobank. Am J Epidemiol. 2026. doi:10.1093/aje/kwag211.</w:t>
      </w:r>
    </w:p>
    <w:p>
      <w:pPr>
        <w:ind w:firstLine="400"/>
        <w:jc w:val="both"/>
      </w:pPr>
      <w:r>
        <w:rPr>
          <w:rFonts w:ascii="Times New Roman" w:hAnsi="Times New Roman" w:eastAsia="Times New Roman" w:cs="Times New Roman"/>
          <w:b w:val="0"/>
          <w:sz w:val="20"/>
        </w:rPr>
        <w:t>31. Skrivankova VW, Richmond RC, Woolf BAR, Yarmolinsky J, Davies NM, Swanson SA, et al. Strengthening the Reporting of Observational Studies in Epidemiology Using Mendelian Randomization: The STROBE-MR Statement. JAMA. 2021;326(16):1614-1621. doi:10.1001/jama.2021.18236.</w:t>
      </w:r>
    </w:p>
    <w:p>
      <w:pPr>
        <w:ind w:firstLine="400"/>
        <w:jc w:val="both"/>
      </w:pPr>
      <w:r>
        <w:rPr>
          <w:rFonts w:ascii="Times New Roman" w:hAnsi="Times New Roman" w:eastAsia="Times New Roman" w:cs="Times New Roman"/>
          <w:b w:val="0"/>
          <w:sz w:val="20"/>
        </w:rPr>
        <w:t>32. Williams SM, Tang H, Cooper GM, O'Donnell-Luria A, Girirajan S, Dudley AM, et al. Expectations for papers performing Mendelian randomization analyses. PLoS Genet. 2025;21(7):e1011767. doi:10.1371/journal.pgen.1011767.</w:t>
      </w:r>
    </w:p>
    <w:p>
      <w:pPr>
        <w:ind w:firstLine="400"/>
        <w:jc w:val="both"/>
      </w:pPr>
      <w:r>
        <w:rPr>
          <w:rFonts w:ascii="Times New Roman" w:hAnsi="Times New Roman" w:eastAsia="Times New Roman" w:cs="Times New Roman"/>
          <w:b w:val="0"/>
          <w:sz w:val="20"/>
        </w:rPr>
        <w:t>33. Sanderson E, Levin MG, Walker V, Yuan S, Badini I, Dolce J, et al. Challenges and future directions for Mendelian randomization. Nat Genet. 2026;58:984-994. doi:10.1038/s41588-026-02546-6.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Correcting for instrument overlap in two-step summary-data Mendelian randomization mediation</dc:title>
  <dc:subject/>
  <dc:creator>Yan Chen, Jianfeng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