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2"/>
        </w:rPr>
        <w:t>Correcting for instrument overlap in two-step summary-data Mendelian randomization mediation: a closed-form covariance and its empirical prevalence</w:t>
      </w:r>
    </w:p>
    <w:p>
      <w:pPr>
        <w:jc w:val="center"/>
      </w:pPr>
      <w:r>
        <w:rPr>
          <w:rFonts w:ascii="Times New Roman" w:hAnsi="Times New Roman"/>
          <w:b w:val="0"/>
          <w:i w:val="0"/>
          <w:sz w:val="22"/>
        </w:rPr>
        <w:t>**Authors:** Yan Chen¹ (ORCID: 0009-0001-6328-7403), Jianfeng Wang² (ORCID: 0000-0002-6316-6361)</w:t>
      </w:r>
    </w:p>
    <w:p>
      <w:pPr>
        <w:jc w:val="center"/>
      </w:pPr>
      <w:r>
        <w:rPr>
          <w:rFonts w:ascii="Times New Roman" w:hAnsi="Times New Roman"/>
          <w:b w:val="0"/>
          <w:i w:val="0"/>
          <w:sz w:val="22"/>
        </w:rPr>
        <w:t>**Affiliations:** ¹ Department of General Practice, The First Affiliated Hospital of Zhejiang Chinese Medical University (Zhejiang Provincial Hospital of Chinese Medicine), Hangzhou, China. ² Department of Respiratory Diseases, The First Affiliated Hospital of Zhejiang Chinese Medical University (Zhejiang Provincial Hospital of Chinese Medicine), Hangzhou, China.</w:t>
      </w:r>
    </w:p>
    <w:p>
      <w:pPr>
        <w:jc w:val="center"/>
      </w:pPr>
      <w:r>
        <w:rPr>
          <w:rFonts w:ascii="Times New Roman" w:hAnsi="Times New Roman"/>
          <w:b w:val="0"/>
          <w:i w:val="0"/>
          <w:sz w:val="22"/>
        </w:rPr>
        <w:t>**Correspondence:** Jianfeng Wang, 2001m@163.com</w:t>
      </w:r>
    </w:p>
    <w:p>
      <w:pPr>
        <w:spacing w:before="200" w:after="80"/>
        <w:jc w:val="left"/>
      </w:pPr>
      <w:r>
        <w:rPr>
          <w:rFonts w:ascii="Times New Roman" w:hAnsi="Times New Roman"/>
          <w:b/>
          <w:sz w:val="26"/>
        </w:rPr>
        <w:t>Abstract</w:t>
      </w:r>
    </w:p>
    <w:p>
      <w:pPr>
        <w:ind w:firstLine="480"/>
        <w:jc w:val="both"/>
      </w:pPr>
      <w:r>
        <w:rPr>
          <w:rFonts w:ascii="Times New Roman" w:hAnsi="Times New Roman"/>
          <w:b/>
          <w:sz w:val="24"/>
        </w:rPr>
        <w:t>Introduction or background.</w:t>
      </w:r>
      <w:r>
        <w:rPr>
          <w:rFonts w:ascii="Times New Roman" w:hAnsi="Times New Roman"/>
          <w:b w:val="0"/>
          <w:sz w:val="24"/>
        </w:rPr>
        <w:t xml:space="preserve"> Two-step (product-method) Mendelian randomization mediation analyses routinely assume that the exposure-step and mediator-step instrument sets are independent, yet this assumption has never been checked at scale and no closed-form correction exists for when it fails. Our objective was to quantify how often the published two-step MR mediation literature uses an instrument-selection design capable of violating this independence assumption, to derive the omitted covariance in closed form, and to characterize the boundary conditions under which it overturns a conclusion.</w:t>
      </w:r>
    </w:p>
    <w:p>
      <w:pPr>
        <w:ind w:firstLine="480"/>
        <w:jc w:val="both"/>
      </w:pPr>
      <w:r>
        <w:rPr>
          <w:rFonts w:ascii="Times New Roman" w:hAnsi="Times New Roman"/>
          <w:b/>
          <w:sz w:val="24"/>
        </w:rPr>
        <w:t>Methods.</w:t>
      </w:r>
      <w:r>
        <w:rPr>
          <w:rFonts w:ascii="Times New Roman" w:hAnsi="Times New Roman"/>
          <w:b w:val="0"/>
          <w:sz w:val="24"/>
        </w:rPr>
        <w:t xml:space="preserve"> We screened 333 published two-step MR mediation studies (from 695 records, PRISMA 2020) to code design type and overlap handling. We derived a closed-form expression for Cov(α̂, β̂) under two overlap channels — shared instruments and mediator–outcome sample overlap — with a conservative reliability bound validated across 180 simulation cells and a 200-cell flip-probability scan. We batch re-estimated every coded trio resolvable to public GWAS accessions (113 attempted, 108 succeeded) directly from OpenGWAS summary statistics using an all-Python pipeline (harmonized fixed-effects IVW plus the correction), and we estimated ρ_MY empirically for the overlapping trios from harmonized effect sizes.</w:t>
      </w:r>
    </w:p>
    <w:p>
      <w:pPr>
        <w:ind w:firstLine="480"/>
        <w:jc w:val="both"/>
      </w:pPr>
      <w:r>
        <w:rPr>
          <w:rFonts w:ascii="Times New Roman" w:hAnsi="Times New Roman"/>
          <w:b/>
          <w:sz w:val="24"/>
        </w:rPr>
        <w:t>Results.</w:t>
      </w:r>
      <w:r>
        <w:rPr>
          <w:rFonts w:ascii="Times New Roman" w:hAnsi="Times New Roman"/>
          <w:b w:val="0"/>
          <w:sz w:val="24"/>
        </w:rPr>
        <w:t xml:space="preserve"> 39.3% (95% CI 34.2–44.7%) of the 333 studies draw instruments from overlapping GWAS pools without disclosing overlap handling and are capable of non-zero Cov(α̂, β̂); essentially none report or correct for it at the covariance level. The correction restored nominal coverage on the simulation grid; up to 10.4% flip probability was identified in the discordant/high-overlap regime of the 200-cell scan. Genuine instrument overlap was found in 6.5% (95% CI 3.2–12.8%; 7/108) of the re-estimated trios; among the five non-degenerate cases the correction narrowed every confidence interval (0.2–16.0%) with zero observed flips. This null result is imprecisely estimated (95% CI for the underlying flip rate: 0–43.4%) and should not be read as evidence that flips are rare in the wider literature. Five of six overlapping trios showed genetically concordant mediator–outcome effects (ρ_g up to +0.81).</w:t>
      </w:r>
    </w:p>
    <w:p>
      <w:pPr>
        <w:ind w:firstLine="480"/>
        <w:jc w:val="both"/>
      </w:pPr>
      <w:r>
        <w:rPr>
          <w:rFonts w:ascii="Times New Roman" w:hAnsi="Times New Roman"/>
          <w:b/>
          <w:sz w:val="24"/>
        </w:rPr>
        <w:t>Discussion.</w:t>
      </w:r>
      <w:r>
        <w:rPr>
          <w:rFonts w:ascii="Times New Roman" w:hAnsi="Times New Roman"/>
          <w:b w:val="0"/>
          <w:sz w:val="24"/>
        </w:rPr>
        <w:t xml:space="preserve"> Rather than treating ρ_MY as an assumed-zero sensitivity parameter, we estimated it empirically and show the observed narrowing is a structural, mechanism-explained consequence of shared-instrument covariance (the dominant shared-instrument covariance is negative when α̂ and β̂ share a sign) rather than a fortunate coincidence. The contribution of this work is a validated method and a quantified, bounded description of an unreported design vulnerability — not a claim that any specific published conclusion is wrong. The field currently lacks the reporting infrastructure (n_s, π_shared, ρ_MY) to tell, for any given result, which regime it falls into; we provide the closed-form tool, the empirical boundary conditions, and the audit baseline needed to close that gap.</w:t>
      </w:r>
    </w:p>
    <w:p>
      <w:pPr>
        <w:ind w:firstLine="480"/>
        <w:jc w:val="both"/>
      </w:pPr>
      <w:r>
        <w:rPr>
          <w:rFonts w:ascii="Times New Roman" w:hAnsi="Times New Roman"/>
          <w:b/>
          <w:sz w:val="24"/>
        </w:rPr>
        <w:t>Plain Language Summary.</w:t>
      </w:r>
      <w:r>
        <w:rPr>
          <w:rFonts w:ascii="Times New Roman" w:hAnsi="Times New Roman"/>
          <w:b w:val="0"/>
          <w:sz w:val="24"/>
        </w:rPr>
        <w:t xml:space="preserve"> Two-step Mendelian randomization mediation is a popular genetic method for separating how an exposure acts directly from how it acts through an intermediate trait. It assumes the genetic instruments used in the two steps do not overlap, but this has never been checked at scale. We found that about 39% of 333 published two-step mediation studies use an instrument-selection design that can violate this assumption, and almost none correct for it. We derive the missing covariance formula in closed form and show, via 180- and 200-cell simulations, when it is large enough to flip a conclusion (up to ~10%). Re-analysing 108 studies resolvable to public data, 6.5% had genuine instrument overlap; in the five clean cases the correction narrowed every confidence interval with no flips, but this null finding is imprecise (95% CI for the flip rate 0–43%) and must not be read as "flips are rare." We also measured the relevant genetic concordance directly rather than assuming it zero. The takeaway for practitioners: report the number of shared instruments (n_s), their proportion (π_shared), and the mediator–outcome genetic correlation (ρ_MY) so reviewers can judge overlap risk; our released tool computes the correction without full reanalysis.</w:t>
      </w:r>
    </w:p>
    <w:p>
      <w:pPr>
        <w:jc w:val="both"/>
      </w:pPr>
      <w:r>
        <w:rPr>
          <w:rFonts w:ascii="Times New Roman" w:hAnsi="Times New Roman"/>
          <w:b/>
          <w:sz w:val="22"/>
        </w:rPr>
        <w:t>Keywords:</w:t>
      </w:r>
      <w:r>
        <w:rPr>
          <w:rFonts w:ascii="Times New Roman" w:hAnsi="Times New Roman"/>
          <w:b w:val="0"/>
          <w:sz w:val="22"/>
        </w:rPr>
        <w:t xml:space="preserve"> Mendelian randomization; mediation analysis; two-step MR; instrument overlap; covariance correction; summary statistics.</w:t>
      </w:r>
    </w:p>
    <w:p>
      <w:pPr>
        <w:spacing w:before="200" w:after="80"/>
        <w:jc w:val="left"/>
      </w:pPr>
      <w:r>
        <w:rPr>
          <w:rFonts w:ascii="Times New Roman" w:hAnsi="Times New Roman"/>
          <w:b/>
          <w:sz w:val="26"/>
        </w:rPr>
        <w:t>What is new?</w:t>
      </w:r>
    </w:p>
    <w:p>
      <w:pPr>
        <w:pStyle w:val="ListBullet"/>
        <w:jc w:val="both"/>
      </w:pPr>
      <w:r>
        <w:rPr>
          <w:rFonts w:ascii="Times New Roman" w:hAnsi="Times New Roman"/>
          <w:b/>
          <w:sz w:val="24"/>
        </w:rPr>
        <w:t>Key findings:</w:t>
      </w:r>
      <w:r>
        <w:rPr>
          <w:rFonts w:ascii="Times New Roman" w:hAnsi="Times New Roman"/>
          <w:b w:val="0"/>
          <w:sz w:val="24"/>
        </w:rPr>
        <w:t xml:space="preserve"> Instrument overlap between the two steps of two-step MR mediation is common — 39.3% of 333 audited studies use a design that can produce non-independent (α̂, β̂), and 6.5% of 108 re-estimated trios show genuine SNP overlap — yet is almost never reported or corrected. We derive the first closed-form Cov(α̂, β̂) and bound the flip risk (≤10.4% in the worst simulated regime).</w:t>
      </w:r>
    </w:p>
    <w:p>
      <w:pPr>
        <w:pStyle w:val="ListBullet"/>
        <w:jc w:val="both"/>
      </w:pPr>
      <w:r>
        <w:rPr>
          <w:rFonts w:ascii="Times New Roman" w:hAnsi="Times New Roman"/>
          <w:b/>
          <w:sz w:val="24"/>
        </w:rPr>
        <w:t>What this adds to what is already known:</w:t>
      </w:r>
      <w:r>
        <w:rPr>
          <w:rFonts w:ascii="Times New Roman" w:hAnsi="Times New Roman"/>
          <w:b w:val="0"/>
          <w:sz w:val="24"/>
        </w:rPr>
        <w:t xml:space="preserve"> Prior work derived only the independent-sample case and left the overlapping-instrument covariance unsolved. We close that gap analytically, validate it on 180 simulation cells, empirically estimate the mediator–outcome genetic concordance (ρ_MY) that prior studies assumed zero, and show the observed CI-narrowing is structural (negative shared-instrument covariance when α̂ and β̂ share a sign), not lucky.</w:t>
      </w:r>
    </w:p>
    <w:p>
      <w:pPr>
        <w:pStyle w:val="ListBullet"/>
        <w:jc w:val="both"/>
      </w:pPr>
      <w:r>
        <w:rPr>
          <w:rFonts w:ascii="Times New Roman" w:hAnsi="Times New Roman"/>
          <w:b/>
          <w:sz w:val="24"/>
        </w:rPr>
        <w:t>What are the implications / what should change now:</w:t>
      </w:r>
      <w:r>
        <w:rPr>
          <w:rFonts w:ascii="Times New Roman" w:hAnsi="Times New Roman"/>
          <w:b w:val="0"/>
          <w:sz w:val="24"/>
        </w:rPr>
        <w:t xml:space="preserve"> Authors should report n_s, π_shared, and ρ_MY so reviewers can assess overlap risk; journals should add an overlap-disclosure item for two-step MR mediation. Our released R/Python tool computes the correction without full reanalysis.</w:t>
      </w:r>
    </w:p>
    <w:p>
      <w:pPr>
        <w:spacing w:before="200" w:after="80"/>
        <w:jc w:val="left"/>
      </w:pPr>
      <w:r>
        <w:rPr>
          <w:rFonts w:ascii="Times New Roman" w:hAnsi="Times New Roman"/>
          <w:b/>
          <w:sz w:val="26"/>
        </w:rPr>
        <w:t>1. Introduction</w:t>
      </w:r>
    </w:p>
    <w:p>
      <w:pPr>
        <w:ind w:firstLine="480"/>
        <w:jc w:val="both"/>
      </w:pPr>
      <w:r>
        <w:rPr>
          <w:rFonts w:ascii="Times New Roman" w:hAnsi="Times New Roman"/>
          <w:b w:val="0"/>
          <w:sz w:val="24"/>
        </w:rPr>
        <w:t xml:space="preserve">Mendelian randomization (MR) uses genetic variants as instrumental variables to strengthen causal inference from observational data </w:t>
      </w:r>
      <w:r>
        <w:rPr>
          <w:rFonts w:ascii="Times New Roman" w:hAnsi="Times New Roman"/>
          <w:b w:val="0"/>
          <w:sz w:val="24"/>
          <w:vertAlign w:val="superscript"/>
        </w:rPr>
        <w:t>1</w:t>
      </w:r>
      <w:r>
        <w:rPr>
          <w:rFonts w:ascii="Times New Roman" w:hAnsi="Times New Roman"/>
          <w:b w:val="0"/>
          <w:sz w:val="24"/>
        </w:rPr>
        <w:t xml:space="preserve">. Because genotypes are fixed at conception and randomly allocated at meiosis, MR estimates are comparatively robust to confounding and reverse causation </w:t>
      </w:r>
      <w:r>
        <w:rPr>
          <w:rFonts w:ascii="Times New Roman" w:hAnsi="Times New Roman"/>
          <w:b w:val="0"/>
          <w:sz w:val="24"/>
          <w:vertAlign w:val="superscript"/>
        </w:rPr>
        <w:t>2</w:t>
      </w:r>
      <w:r>
        <w:rPr>
          <w:rFonts w:ascii="Times New Roman" w:hAnsi="Times New Roman"/>
          <w:b w:val="0"/>
          <w:sz w:val="24"/>
        </w:rPr>
        <w:t xml:space="preserve">. With the advent of large GWAS consortia, MR is now routinely conducted from summarized genetic associations combined by inverse-variance weighting </w:t>
      </w:r>
      <w:r>
        <w:rPr>
          <w:rFonts w:ascii="Times New Roman" w:hAnsi="Times New Roman"/>
          <w:b w:val="0"/>
          <w:sz w:val="24"/>
          <w:vertAlign w:val="superscript"/>
        </w:rPr>
        <w:t>3</w:t>
      </w:r>
      <w:r>
        <w:rPr>
          <w:rFonts w:ascii="Times New Roman" w:hAnsi="Times New Roman"/>
          <w:b w:val="0"/>
          <w:sz w:val="24"/>
        </w:rPr>
        <w:t xml:space="preserve">. Splitting the exposure and outcome associations into two non-overlapping GWAS — "two-sample MR" — markedly improves power and has become the default design </w:t>
      </w:r>
      <w:r>
        <w:rPr>
          <w:rFonts w:ascii="Times New Roman" w:hAnsi="Times New Roman"/>
          <w:b w:val="0"/>
          <w:sz w:val="24"/>
          <w:vertAlign w:val="superscript"/>
        </w:rPr>
        <w:t>4</w:t>
      </w:r>
      <w:r>
        <w:rPr>
          <w:rFonts w:ascii="Times New Roman" w:hAnsi="Times New Roman"/>
          <w:b w:val="0"/>
          <w:sz w:val="24"/>
        </w:rPr>
        <w:t xml:space="preserve">. Summarized-data MR can equivalently be implemented through allele scores or through inverse-variance weighted combinations of variant-specific ratios </w:t>
      </w:r>
      <w:r>
        <w:rPr>
          <w:rFonts w:ascii="Times New Roman" w:hAnsi="Times New Roman"/>
          <w:b w:val="0"/>
          <w:sz w:val="24"/>
          <w:vertAlign w:val="superscript"/>
        </w:rPr>
        <w:t>5</w:t>
      </w:r>
      <w:r>
        <w:rPr>
          <w:rFonts w:ascii="Times New Roman" w:hAnsi="Times New Roman"/>
          <w:b w:val="0"/>
          <w:sz w:val="24"/>
        </w:rPr>
        <w:t xml:space="preserve">. A well-documented threat to validity is weak-instrument bias, which attenuates estimates towards the confounded observational association </w:t>
      </w:r>
      <w:r>
        <w:rPr>
          <w:rFonts w:ascii="Times New Roman" w:hAnsi="Times New Roman"/>
          <w:b w:val="0"/>
          <w:sz w:val="24"/>
          <w:vertAlign w:val="superscript"/>
        </w:rPr>
        <w:t>6</w:t>
      </w:r>
      <w:r>
        <w:rPr>
          <w:rFonts w:ascii="Times New Roman" w:hAnsi="Times New Roman"/>
          <w:b w:val="0"/>
          <w:sz w:val="24"/>
        </w:rPr>
        <w:t xml:space="preserve">. Robust methods such as Egger regression relax the exclusion-restriction assumption and recover consistent estimates under weaker conditions </w:t>
      </w:r>
      <w:r>
        <w:rPr>
          <w:rFonts w:ascii="Times New Roman" w:hAnsi="Times New Roman"/>
          <w:b w:val="0"/>
          <w:sz w:val="24"/>
          <w:vertAlign w:val="superscript"/>
        </w:rPr>
        <w:t>7</w:t>
      </w:r>
      <w:r>
        <w:rPr>
          <w:rFonts w:ascii="Times New Roman" w:hAnsi="Times New Roman"/>
          <w:b w:val="0"/>
          <w:sz w:val="24"/>
        </w:rPr>
        <w:t xml:space="preserve">. Horizontal pleiotropy can be detected, and in many settings corrected, by global outlier-robust tests </w:t>
      </w:r>
      <w:r>
        <w:rPr>
          <w:rFonts w:ascii="Times New Roman" w:hAnsi="Times New Roman"/>
          <w:b w:val="0"/>
          <w:sz w:val="24"/>
          <w:vertAlign w:val="superscript"/>
        </w:rPr>
        <w:t>8</w:t>
      </w:r>
      <w:r>
        <w:rPr>
          <w:rFonts w:ascii="Times New Roman" w:hAnsi="Times New Roman"/>
          <w:b w:val="0"/>
          <w:sz w:val="24"/>
        </w:rPr>
        <w:t xml:space="preserve">. Weighted-median estimation offers a complementary robust alternative that remains consistent when most of the weight comes from valid instruments </w:t>
      </w:r>
      <w:r>
        <w:rPr>
          <w:rFonts w:ascii="Times New Roman" w:hAnsi="Times New Roman"/>
          <w:b w:val="0"/>
          <w:sz w:val="24"/>
          <w:vertAlign w:val="superscript"/>
        </w:rPr>
        <w:t>9</w:t>
      </w:r>
      <w:r>
        <w:rPr>
          <w:rFonts w:ascii="Times New Roman" w:hAnsi="Times New Roman"/>
          <w:b w:val="0"/>
          <w:sz w:val="24"/>
        </w:rPr>
        <w:t xml:space="preserve">. Extending MR to causal pathways, "network" or two-step MR decomposes a total effect into direct and indirect components by multiplying a step-1 and a step-2 IVW estimate </w:t>
      </w:r>
      <w:r>
        <w:rPr>
          <w:rFonts w:ascii="Times New Roman" w:hAnsi="Times New Roman"/>
          <w:b w:val="0"/>
          <w:sz w:val="24"/>
          <w:vertAlign w:val="superscript"/>
        </w:rPr>
        <w:t>10</w:t>
      </w:r>
      <w:r>
        <w:rPr>
          <w:rFonts w:ascii="Times New Roman" w:hAnsi="Times New Roman"/>
          <w:b w:val="0"/>
          <w:sz w:val="24"/>
        </w:rPr>
        <w:t xml:space="preserve">. A systematic review of MR mediation catalogued its assumptions and implementation challenges but did not supply a variance formula for non-independent instrument sets </w:t>
      </w:r>
      <w:r>
        <w:rPr>
          <w:rFonts w:ascii="Times New Roman" w:hAnsi="Times New Roman"/>
          <w:b w:val="0"/>
          <w:sz w:val="24"/>
          <w:vertAlign w:val="superscript"/>
        </w:rPr>
        <w:t>11</w:t>
      </w:r>
      <w:r>
        <w:rPr>
          <w:rFonts w:ascii="Times New Roman" w:hAnsi="Times New Roman"/>
          <w:b w:val="0"/>
          <w:sz w:val="24"/>
        </w:rPr>
        <w:t xml:space="preserve">. For a single two-sample estimate, participant overlap between the two GWAS induces bias whose magnitude grows with the overlap and falls with instrument strength </w:t>
      </w:r>
      <w:r>
        <w:rPr>
          <w:rFonts w:ascii="Times New Roman" w:hAnsi="Times New Roman"/>
          <w:b w:val="0"/>
          <w:sz w:val="24"/>
          <w:vertAlign w:val="superscript"/>
        </w:rPr>
        <w:t>12</w:t>
      </w:r>
      <w:r>
        <w:rPr>
          <w:rFonts w:ascii="Times New Roman" w:hAnsi="Times New Roman"/>
          <w:b w:val="0"/>
          <w:sz w:val="24"/>
        </w:rPr>
        <w:t xml:space="preserve">. Multivariable MR extends the framework to several correlated exposures and clarifies how shared instruments propagate uncertainty across jointly estimated effects </w:t>
      </w:r>
      <w:r>
        <w:rPr>
          <w:rFonts w:ascii="Times New Roman" w:hAnsi="Times New Roman"/>
          <w:b w:val="0"/>
          <w:sz w:val="24"/>
          <w:vertAlign w:val="superscript"/>
        </w:rPr>
        <w:t>13</w:t>
      </w:r>
      <w:r>
        <w:rPr>
          <w:rFonts w:ascii="Times New Roman" w:hAnsi="Times New Roman"/>
          <w:b w:val="0"/>
          <w:sz w:val="24"/>
        </w:rPr>
        <w:t xml:space="preserve">. Practical guidance for appraising MR studies stresses transparent reporting of instrument provenance and of the assumptions being invoked </w:t>
      </w:r>
      <w:r>
        <w:rPr>
          <w:rFonts w:ascii="Times New Roman" w:hAnsi="Times New Roman"/>
          <w:b w:val="0"/>
          <w:sz w:val="24"/>
          <w:vertAlign w:val="superscript"/>
        </w:rPr>
        <w:t>14</w:t>
      </w:r>
      <w:r>
        <w:rPr>
          <w:rFonts w:ascii="Times New Roman" w:hAnsi="Times New Roman"/>
          <w:b w:val="0"/>
          <w:sz w:val="24"/>
        </w:rPr>
        <w:t xml:space="preserve">. Most relevant here, a recent summary-data causal mediation framework derived rigorous variance estimators for the difference and product methods but assumed three independent samples for the product method, explicitly leaving the overlapping-instrument case as open future work </w:t>
      </w:r>
      <w:r>
        <w:rPr>
          <w:rFonts w:ascii="Times New Roman" w:hAnsi="Times New Roman"/>
          <w:b w:val="0"/>
          <w:sz w:val="24"/>
          <w:vertAlign w:val="superscript"/>
        </w:rPr>
        <w:t>15</w:t>
      </w:r>
      <w:r>
        <w:rPr>
          <w:rFonts w:ascii="Times New Roman" w:hAnsi="Times New Roman"/>
          <w:b w:val="0"/>
          <w:sz w:val="24"/>
        </w:rPr>
        <w:t>.</w:t>
      </w:r>
    </w:p>
    <w:p>
      <w:pPr>
        <w:ind w:firstLine="480"/>
        <w:jc w:val="both"/>
      </w:pPr>
      <w:r>
        <w:rPr>
          <w:rFonts w:ascii="Times New Roman" w:hAnsi="Times New Roman"/>
          <w:b w:val="0"/>
          <w:sz w:val="24"/>
        </w:rPr>
        <w:t xml:space="preserve">A persistent practical problem is therefore </w:t>
      </w:r>
      <w:r>
        <w:rPr>
          <w:rFonts w:ascii="Times New Roman" w:hAnsi="Times New Roman"/>
          <w:b/>
          <w:sz w:val="24"/>
        </w:rPr>
        <w:t>sample and instrument overlap</w:t>
      </w:r>
      <w:r>
        <w:rPr>
          <w:rFonts w:ascii="Times New Roman" w:hAnsi="Times New Roman"/>
          <w:b w:val="0"/>
          <w:sz w:val="24"/>
        </w:rPr>
        <w:t>. The overlap result above applies to an *isolated* estimator, not to the *product* of two. In applied two-step MR mediation, strict independence of the step-1 and step-2 instrument sets is frequently violated: studies select instruments from overlapping GWAS candidate pools, draw both steps from the same biobank-scale consortium (for example UK Biobank-derived summary statistics), or actively merge candidate pools to increase power. Under these conditions α̂ and β̂ are not asymptotically independent, and the product variance must include the non-zero term 2α̂β̂·Cov(α̂, β̂), which every closed-form expression to date omits. To our knowledge, no study has formally derived this covariance or systematically quantified how often the overlapping configuration occurs in the applied literature. Figure 1 illustrates the overlapping-instrument configuration that produces a non-zero Cov(α̂, β̂).</w:t>
      </w:r>
    </w:p>
    <w:p>
      <w:pPr>
        <w:ind w:firstLine="480"/>
        <w:jc w:val="both"/>
      </w:pPr>
      <w:r>
        <w:rPr>
          <w:rFonts w:ascii="Times New Roman" w:hAnsi="Times New Roman"/>
          <w:b w:val="0"/>
          <w:sz w:val="24"/>
        </w:rPr>
        <w:t>Our contribution is fourfold. First, we provide the first large-scale empirical audit of how often the two-step MR mediation literature actually uses an instrument-selection design capable of violating the independence assumption, and how rarely this is disclosed. Second, we derive the closed-form Cov(α̂, β̂) that this design implies, closing the gap that the summary-data product-method framework explicitly left open. Third, we apply the correction to every published trio we could resolve to real, public GWAS data, and report the result honestly: in our sample the correction happened to narrow confidence intervals rather than overturn conclusions, but we show analytically that this is a property of the *direction* of mediation in the cases we found, not a general guarantee, and that the field currently lacks the reporting practices needed to tell, for any given published result, which regime it falls into. Fourth, and addressing the gap that the first three leave open, we empirically estimate ρ_MY — the directional concordance (genetic correlation) between mediator and outcome — for every overlapping trio directly from harmonized summary statistics, replacing the previously assumed-zero sensitivity value with an observed distribution (5/6 positive, up to +0.81). We show that the realized narrowing is a structural consequence of the shared-instrument covariance, not good fortune, and that the field's same-sign mediations sit in the benign tail for a now-documented reason. Taken together, these four contributions establish not that overlap-induced bias has already altered a published conclusion, but that the field lacks the reporting infrastructure to know whether or when it will — and we provide the closed-form tool, the empirical boundary conditions, and the audit baseline needed to close that infrastructure gap.</w:t>
      </w:r>
    </w:p>
    <w:p>
      <w:pPr>
        <w:ind w:firstLine="480"/>
        <w:jc w:val="both"/>
      </w:pPr>
      <w:r>
        <w:rPr>
          <w:rFonts w:ascii="Times New Roman" w:hAnsi="Times New Roman"/>
          <w:b w:val="0"/>
          <w:sz w:val="24"/>
        </w:rPr>
        <w:t>The paper is organized as follows: §2 derives the closed-form covariance and the conservative reliability bound; §3 validates them through simulation, real GWAS data, and a structured literature re-assessment, and reports the batch re-estimation; §4 discusses implications and limitations.</w:t>
      </w:r>
    </w:p>
    <w:p>
      <w:pPr>
        <w:spacing w:before="200" w:after="80"/>
        <w:jc w:val="left"/>
      </w:pPr>
      <w:r>
        <w:rPr>
          <w:rFonts w:ascii="Times New Roman" w:hAnsi="Times New Roman"/>
          <w:b/>
          <w:sz w:val="26"/>
        </w:rPr>
        <w:t>2. Methods</w:t>
      </w:r>
    </w:p>
    <w:p>
      <w:pPr>
        <w:ind w:firstLine="480"/>
        <w:jc w:val="both"/>
      </w:pPr>
      <w:r>
        <w:rPr>
          <w:rFonts w:ascii="Times New Roman" w:hAnsi="Times New Roman"/>
          <w:b w:val="0"/>
          <w:sz w:val="24"/>
        </w:rPr>
        <w:t>We derive the closed-form Cov(α̂, β̂) for the two-step product-method MR mediation design under two overlap channels — shared instruments (n_s &gt; 0) and mediator–outcome sample overlap (ρ_MY &gt; 0) — together with a conservative reliability bound that triggers a Monte Carlo fallback in weak-instrument/high-overlap regimes. In summary-data two-step MR mediation α̂ and β̂ are usually ratio (or IVW) estimators, and the standard delta-method variance is</w:t>
      </w:r>
    </w:p>
    <w:p>
      <w:pPr>
        <w:spacing w:before="120" w:after="120"/>
        <w:jc w:val="center"/>
      </w:pPr>
      <w:r>
        <w:drawing>
          <wp:inline xmlns:a="http://schemas.openxmlformats.org/drawingml/2006/main" xmlns:pic="http://schemas.openxmlformats.org/drawingml/2006/picture">
            <wp:extent cx="5120640" cy="1012061"/>
            <wp:docPr id="1" name="Picture 1"/>
            <wp:cNvGraphicFramePr>
              <a:graphicFrameLocks noChangeAspect="1"/>
            </wp:cNvGraphicFramePr>
            <a:graphic>
              <a:graphicData uri="http://schemas.openxmlformats.org/drawingml/2006/picture">
                <pic:pic>
                  <pic:nvPicPr>
                    <pic:cNvPr id="0" name="eq1.png"/>
                    <pic:cNvPicPr/>
                  </pic:nvPicPr>
                  <pic:blipFill>
                    <a:blip r:embed="rId9"/>
                    <a:stretch>
                      <a:fillRect/>
                    </a:stretch>
                  </pic:blipFill>
                  <pic:spPr>
                    <a:xfrm>
                      <a:off x="0" y="0"/>
                      <a:ext cx="5120640" cy="1012061"/>
                    </a:xfrm>
                    <a:prstGeom prst="rect"/>
                  </pic:spPr>
                </pic:pic>
              </a:graphicData>
            </a:graphic>
          </wp:inline>
        </w:drawing>
      </w:r>
    </w:p>
    <w:p>
      <w:pPr>
        <w:ind w:firstLine="480"/>
        <w:jc w:val="both"/>
      </w:pPr>
      <w:r>
        <w:rPr>
          <w:rFonts w:ascii="Times New Roman" w:hAnsi="Times New Roman"/>
          <w:b w:val="0"/>
          <w:sz w:val="24"/>
        </w:rPr>
        <w:t xml:space="preserve">which omits 2α̂β̂·Cov(α̂, β̂). This omitted term is non-zero in two structurally different situations: (i) a </w:t>
      </w:r>
      <w:r>
        <w:rPr>
          <w:rFonts w:ascii="Times New Roman" w:hAnsi="Times New Roman"/>
          <w:b/>
          <w:sz w:val="24"/>
        </w:rPr>
        <w:t>shared-instrument channel</w:t>
      </w:r>
      <w:r>
        <w:rPr>
          <w:rFonts w:ascii="Times New Roman" w:hAnsi="Times New Roman"/>
          <w:b w:val="0"/>
          <w:sz w:val="24"/>
        </w:rPr>
        <w:t xml:space="preserve">, in which the step-1 and step-2 instrument sets have a non-empty intersection, n_s = |G′_X ∩ G′_M| &gt; 0; and (ii) a </w:t>
      </w:r>
      <w:r>
        <w:rPr>
          <w:rFonts w:ascii="Times New Roman" w:hAnsi="Times New Roman"/>
          <w:b/>
          <w:sz w:val="24"/>
        </w:rPr>
        <w:t>sample-overlap channel</w:t>
      </w:r>
      <w:r>
        <w:rPr>
          <w:rFonts w:ascii="Times New Roman" w:hAnsi="Times New Roman"/>
          <w:b w:val="0"/>
          <w:sz w:val="24"/>
        </w:rPr>
        <w:t>, in which the mediator and outcome GWAS share participants, inducing a non-zero residual correlation ρ_MY between the two regression errors even when the instrument sets are disjoint. Under a standard IVW data-generating process the covariance decomposes as</w:t>
      </w:r>
    </w:p>
    <w:p>
      <w:pPr>
        <w:spacing w:before="120" w:after="120"/>
        <w:jc w:val="center"/>
      </w:pPr>
      <w:r>
        <w:drawing>
          <wp:inline xmlns:a="http://schemas.openxmlformats.org/drawingml/2006/main" xmlns:pic="http://schemas.openxmlformats.org/drawingml/2006/picture">
            <wp:extent cx="5120640" cy="853440"/>
            <wp:docPr id="2" name="Picture 2"/>
            <wp:cNvGraphicFramePr>
              <a:graphicFrameLocks noChangeAspect="1"/>
            </wp:cNvGraphicFramePr>
            <a:graphic>
              <a:graphicData uri="http://schemas.openxmlformats.org/drawingml/2006/picture">
                <pic:pic>
                  <pic:nvPicPr>
                    <pic:cNvPr id="0" name="eq2.png"/>
                    <pic:cNvPicPr/>
                  </pic:nvPicPr>
                  <pic:blipFill>
                    <a:blip r:embed="rId10"/>
                    <a:stretch>
                      <a:fillRect/>
                    </a:stretch>
                  </pic:blipFill>
                  <pic:spPr>
                    <a:xfrm>
                      <a:off x="0" y="0"/>
                      <a:ext cx="5120640" cy="853440"/>
                    </a:xfrm>
                    <a:prstGeom prst="rect"/>
                  </pic:spPr>
                </pic:pic>
              </a:graphicData>
            </a:graphic>
          </wp:inline>
        </w:drawing>
      </w:r>
    </w:p>
    <w:p>
      <w:pPr>
        <w:ind w:firstLine="480"/>
        <w:jc w:val="both"/>
      </w:pPr>
      <w:r>
        <w:rPr>
          <w:rFonts w:ascii="Times New Roman" w:hAnsi="Times New Roman"/>
          <w:b w:val="0"/>
          <w:sz w:val="24"/>
        </w:rPr>
        <w:t>where Cov_shared captures the contribution of the n_s SNPs that enter both regressions and Cov_overlap captures the ρ_MY channel. The corrected variance of the indirect effect is therefore</w:t>
      </w:r>
    </w:p>
    <w:p>
      <w:pPr>
        <w:spacing w:before="120" w:after="120"/>
        <w:jc w:val="center"/>
      </w:pPr>
      <w:r>
        <w:drawing>
          <wp:inline xmlns:a="http://schemas.openxmlformats.org/drawingml/2006/main" xmlns:pic="http://schemas.openxmlformats.org/drawingml/2006/picture">
            <wp:extent cx="5120640" cy="683052"/>
            <wp:docPr id="3" name="Picture 3"/>
            <wp:cNvGraphicFramePr>
              <a:graphicFrameLocks noChangeAspect="1"/>
            </wp:cNvGraphicFramePr>
            <a:graphic>
              <a:graphicData uri="http://schemas.openxmlformats.org/drawingml/2006/picture">
                <pic:pic>
                  <pic:nvPicPr>
                    <pic:cNvPr id="0" name="eq3.png"/>
                    <pic:cNvPicPr/>
                  </pic:nvPicPr>
                  <pic:blipFill>
                    <a:blip r:embed="rId11"/>
                    <a:stretch>
                      <a:fillRect/>
                    </a:stretch>
                  </pic:blipFill>
                  <pic:spPr>
                    <a:xfrm>
                      <a:off x="0" y="0"/>
                      <a:ext cx="5120640" cy="683052"/>
                    </a:xfrm>
                    <a:prstGeom prst="rect"/>
                  </pic:spPr>
                </pic:pic>
              </a:graphicData>
            </a:graphic>
          </wp:inline>
        </w:drawing>
      </w:r>
    </w:p>
    <w:p>
      <w:pPr>
        <w:ind w:firstLine="480"/>
        <w:jc w:val="both"/>
      </w:pPr>
      <w:r>
        <w:rPr>
          <w:rFonts w:ascii="Times New Roman" w:hAnsi="Times New Roman"/>
          <w:b w:val="0"/>
          <w:sz w:val="24"/>
        </w:rPr>
        <w:t>Because the correction rests on a first-order delta approximation, we also derive a single conservative relative-error bound</w:t>
      </w:r>
    </w:p>
    <w:p>
      <w:pPr>
        <w:spacing w:before="120" w:after="120"/>
        <w:jc w:val="center"/>
      </w:pPr>
      <w:r>
        <w:drawing>
          <wp:inline xmlns:a="http://schemas.openxmlformats.org/drawingml/2006/main" xmlns:pic="http://schemas.openxmlformats.org/drawingml/2006/picture">
            <wp:extent cx="5120640" cy="823953"/>
            <wp:docPr id="4" name="Picture 4"/>
            <wp:cNvGraphicFramePr>
              <a:graphicFrameLocks noChangeAspect="1"/>
            </wp:cNvGraphicFramePr>
            <a:graphic>
              <a:graphicData uri="http://schemas.openxmlformats.org/drawingml/2006/picture">
                <pic:pic>
                  <pic:nvPicPr>
                    <pic:cNvPr id="0" name="eq4.png"/>
                    <pic:cNvPicPr/>
                  </pic:nvPicPr>
                  <pic:blipFill>
                    <a:blip r:embed="rId12"/>
                    <a:stretch>
                      <a:fillRect/>
                    </a:stretch>
                  </pic:blipFill>
                  <pic:spPr>
                    <a:xfrm>
                      <a:off x="0" y="0"/>
                      <a:ext cx="5120640" cy="823953"/>
                    </a:xfrm>
                    <a:prstGeom prst="rect"/>
                  </pic:spPr>
                </pic:pic>
              </a:graphicData>
            </a:graphic>
          </wp:inline>
        </w:drawing>
      </w:r>
    </w:p>
    <w:p>
      <w:pPr>
        <w:ind w:firstLine="480"/>
        <w:jc w:val="both"/>
      </w:pPr>
      <w:r>
        <w:rPr>
          <w:rFonts w:ascii="Times New Roman" w:hAnsi="Times New Roman"/>
          <w:b w:val="0"/>
          <w:sz w:val="24"/>
        </w:rPr>
        <w:t>with a default relative-error budget ε = 0.10. The bound is sufficient: B &lt; ε guarantees reliability, and it is deliberately not tight — across the validation grid the observed relative error is typically 5–20× smaller than B, so B should be read as a safety threshold for triggering the Monte Carlo fallback rather than as an estimate of the actual error. Cells with weak instruments (F &lt; 15) and high shared-instrument proportion (π_shared &gt; 0.5) are flagged for a Monte Carlo cross-check (Supplementary Methods S6.3). The complete algebraic development, variance expressions and bound derivation are in Supplementary Methods S1–S6. The correction ships as the R function estimate_cov_prod_mr() and a TwoSampleMR-compatible wrapper mr_cov_correct(), both deposited in the replication repository.</w:t>
      </w:r>
    </w:p>
    <w:p>
      <w:pPr>
        <w:ind w:firstLine="480"/>
        <w:jc w:val="both"/>
      </w:pPr>
      <w:r>
        <w:rPr>
          <w:rFonts w:ascii="Times New Roman" w:hAnsi="Times New Roman"/>
          <w:b/>
          <w:sz w:val="24"/>
        </w:rPr>
        <w:t>Validation.</w:t>
      </w:r>
      <w:r>
        <w:rPr>
          <w:rFonts w:ascii="Times New Roman" w:hAnsi="Times New Roman"/>
          <w:b w:val="0"/>
          <w:sz w:val="24"/>
        </w:rPr>
        <w:t xml:space="preserve"> The analytical covariance was validated against simulated ground truth on a 180-cell design grid (instrument strength F × ρ_MY × π_shared; 2,000 replications per cell) and a 12-cell targeted sweep at non-degenerate π_shared, benchmarked against a bootstrap reference (Supplementary Methods S6, Supplementary Fig. S1, Table 1 in the Supplement). The independent three-sample expression was recovered exactly when π_shared = ρ_MY = 0.</w:t>
      </w:r>
    </w:p>
    <w:p>
      <w:pPr>
        <w:ind w:firstLine="480"/>
        <w:jc w:val="both"/>
      </w:pPr>
      <w:r>
        <w:rPr>
          <w:rFonts w:ascii="Times New Roman" w:hAnsi="Times New Roman"/>
          <w:b/>
          <w:sz w:val="24"/>
        </w:rPr>
        <w:t>Literature coding.</w:t>
      </w:r>
      <w:r>
        <w:rPr>
          <w:rFonts w:ascii="Times New Roman" w:hAnsi="Times New Roman"/>
          <w:b w:val="0"/>
          <w:sz w:val="24"/>
        </w:rPr>
        <w:t xml:space="preserve"> Nine PubMed query strings (final search 2026-08-31, no language restriction; records indexed in PubMed through that date) were screened to code 695 primary studies on design type and overlap handling; 333 (47.9% [95% CI 44.2–51.6%]) are summary-data two-step MR mediation (PRISMA 2020 flow, Fig. 2). The search was confined to PubMed and did not include Embase or Web of Science, so non-indexed or database-specific records may be missed (see Limitations). The query strings and the full hits→screening trail are in Codebook S1 and the PRISMA 2020 checklist (Supplementary Table S3). Rules are in Codebook S1. Every study with a structured "merged instrument pool" tag was hand-verified (§3.2). A second blinded coding pass re-coded a stratified 50-study sample against a sealed answer key to quantify classification reproducibility (Supplementary Methods S7).</w:t>
      </w:r>
    </w:p>
    <w:p>
      <w:pPr>
        <w:ind w:firstLine="480"/>
        <w:jc w:val="both"/>
      </w:pPr>
      <w:r>
        <w:rPr>
          <w:rFonts w:ascii="Times New Roman" w:hAnsi="Times New Roman"/>
          <w:b/>
          <w:sz w:val="24"/>
        </w:rPr>
        <w:t>Real-data application.</w:t>
      </w:r>
      <w:r>
        <w:rPr>
          <w:rFonts w:ascii="Times New Roman" w:hAnsi="Times New Roman"/>
          <w:b w:val="0"/>
          <w:sz w:val="24"/>
        </w:rPr>
        <w:t xml:space="preserve"> Summary statistics came from IEU OpenGWAS </w:t>
      </w:r>
      <w:r>
        <w:rPr>
          <w:rFonts w:ascii="Times New Roman" w:hAnsi="Times New Roman"/>
          <w:b w:val="0"/>
          <w:sz w:val="24"/>
          <w:vertAlign w:val="superscript"/>
        </w:rPr>
        <w:t>16</w:t>
      </w:r>
      <w:r>
        <w:rPr>
          <w:rFonts w:ascii="Times New Roman" w:hAnsi="Times New Roman"/>
          <w:b w:val="0"/>
          <w:sz w:val="24"/>
        </w:rPr>
        <w:t xml:space="preserve">. Per-study re-estimation used inverse-variance weighting via the TwoSampleMR package (mr_ivw) with clumped instruments </w:t>
      </w:r>
      <w:r>
        <w:rPr>
          <w:rFonts w:ascii="Times New Roman" w:hAnsi="Times New Roman"/>
          <w:b w:val="0"/>
          <w:sz w:val="24"/>
          <w:vertAlign w:val="superscript"/>
        </w:rPr>
        <w:t>17</w:t>
      </w:r>
      <w:r>
        <w:rPr>
          <w:rFonts w:ascii="Times New Roman" w:hAnsi="Times New Roman"/>
          <w:b w:val="0"/>
          <w:sz w:val="24"/>
        </w:rPr>
        <w:t xml:space="preserve">. Weak-instrument robustness was enforced at the F &gt; 10 threshold </w:t>
      </w:r>
      <w:r>
        <w:rPr>
          <w:rFonts w:ascii="Times New Roman" w:hAnsi="Times New Roman"/>
          <w:b w:val="0"/>
          <w:sz w:val="24"/>
          <w:vertAlign w:val="superscript"/>
        </w:rPr>
        <w:t>18</w:t>
      </w:r>
      <w:r>
        <w:rPr>
          <w:rFonts w:ascii="Times New Roman" w:hAnsi="Times New Roman"/>
          <w:b w:val="0"/>
          <w:sz w:val="24"/>
        </w:rPr>
        <w:t xml:space="preserve">, and multivariable extensions follow the weak- and pleiotropy-robust testing of Sanderson et al. </w:t>
      </w:r>
      <w:r>
        <w:rPr>
          <w:rFonts w:ascii="Times New Roman" w:hAnsi="Times New Roman"/>
          <w:b w:val="0"/>
          <w:sz w:val="24"/>
          <w:vertAlign w:val="superscript"/>
        </w:rPr>
        <w:t>19</w:t>
      </w:r>
      <w:r>
        <w:rPr>
          <w:rFonts w:ascii="Times New Roman" w:hAnsi="Times New Roman"/>
          <w:b w:val="0"/>
          <w:sz w:val="24"/>
        </w:rPr>
        <w:t xml:space="preserve">. LD Score regression separates polygenicity from confounding </w:t>
      </w:r>
      <w:r>
        <w:rPr>
          <w:rFonts w:ascii="Times New Roman" w:hAnsi="Times New Roman"/>
          <w:b w:val="0"/>
          <w:sz w:val="24"/>
          <w:vertAlign w:val="superscript"/>
        </w:rPr>
        <w:t>20</w:t>
      </w:r>
      <w:r>
        <w:rPr>
          <w:rFonts w:ascii="Times New Roman" w:hAnsi="Times New Roman"/>
          <w:b w:val="0"/>
          <w:sz w:val="24"/>
        </w:rPr>
        <w:t xml:space="preserve">, and our target estimand follows the causal-estimand framework of Yao et al. </w:t>
      </w:r>
      <w:r>
        <w:rPr>
          <w:rFonts w:ascii="Times New Roman" w:hAnsi="Times New Roman"/>
          <w:b w:val="0"/>
          <w:sz w:val="24"/>
          <w:vertAlign w:val="superscript"/>
        </w:rPr>
        <w:t>21</w:t>
      </w:r>
      <w:r>
        <w:rPr>
          <w:rFonts w:ascii="Times New Roman" w:hAnsi="Times New Roman"/>
          <w:b w:val="0"/>
          <w:sz w:val="24"/>
        </w:rPr>
        <w:t>. The pipeline was validated by reproducing the deposited BMI → waist → CHD ground truth to four decimals before any new candidate was analyzed. ρ_MY was estimated empirically as genetic concordance (Pearson r between mediator and outcome SNP effects) at the instrumental SNPs from harmonized effect sizes already pulled by the pipeline. Because it is computed only on the small set of overlapping or selected instruments (n_s = 1–3 in the overlapping trios), this local ρ_MY is a directional concordance measure at the relevant SNPs, not a genome-wide LD Score regression genetic correlation (r_g); its sampling variance is consequently large when n_s is small, and we report Fisher-z 95% CIs to make that instability explicit (§3.5).</w:t>
      </w:r>
    </w:p>
    <w:p>
      <w:pPr>
        <w:spacing w:before="200" w:after="80"/>
        <w:jc w:val="left"/>
      </w:pPr>
      <w:r>
        <w:rPr>
          <w:rFonts w:ascii="Times New Roman" w:hAnsi="Times New Roman"/>
          <w:b/>
          <w:sz w:val="26"/>
        </w:rPr>
        <w:t>3. Results</w:t>
      </w:r>
    </w:p>
    <w:p>
      <w:pPr>
        <w:spacing w:before="200" w:after="80"/>
        <w:jc w:val="left"/>
      </w:pPr>
      <w:r>
        <w:rPr>
          <w:rFonts w:ascii="Times New Roman" w:hAnsi="Times New Roman"/>
          <w:b/>
          <w:sz w:val="24"/>
        </w:rPr>
        <w:t>3.1 Simulation: coverage and bias under overlap</w:t>
      </w:r>
    </w:p>
    <w:p>
      <w:pPr>
        <w:ind w:firstLine="480"/>
        <w:jc w:val="both"/>
      </w:pPr>
      <w:r>
        <w:rPr>
          <w:rFonts w:ascii="Times New Roman" w:hAnsi="Times New Roman"/>
          <w:b w:val="0"/>
          <w:sz w:val="24"/>
        </w:rPr>
        <w:t>On the 180-cell grid the traditional additive delta method loses nominal coverage as π_shared and ρ_MY increase, whereas the corrected delta method restores it and tracks the bootstrap benchmark; when π_shared = 0 the analytical covariance is algebraically exactly 0, and under π_shared = ρ_MY = 0 it reduces to the published independent-sample expression (Supplementary Methods S6, Supplementary Fig. S1). All 12 cells of the targeted sweep satisfy the conservative reliability bound B; the worst cell (F = 10, π_shared = 0.10) shows 14.1% error against a bound near 30%, and observed errors are 5–20× smaller than B, confirming the coefficient-2 multiplier is conservative, not tight. Supplementary Fig. S2 shows the targeted validation sweep at non-degenerate shared-instrument proportions.</w:t>
      </w:r>
    </w:p>
    <w:p>
      <w:pPr>
        <w:spacing w:before="200" w:after="80"/>
        <w:jc w:val="left"/>
      </w:pPr>
      <w:r>
        <w:rPr>
          <w:rFonts w:ascii="Times New Roman" w:hAnsi="Times New Roman"/>
          <w:b/>
          <w:sz w:val="24"/>
        </w:rPr>
        <w:t>3.1.1 When does the correction change significance? A flip-probability scan</w:t>
      </w:r>
    </w:p>
    <w:p>
      <w:pPr>
        <w:ind w:firstLine="480"/>
        <w:jc w:val="both"/>
      </w:pPr>
      <w:r>
        <w:rPr>
          <w:rFonts w:ascii="Times New Roman" w:hAnsi="Times New Roman"/>
          <w:b w:val="0"/>
          <w:sz w:val="24"/>
        </w:rPr>
        <w:t>Because the sign of Cov(α̂, β̂) is prior-unknown, a reader may ask whether the correction can actually flip a published conclusion. We answer this systematically on a 200-cell design grid (F ∈ {10,20,30,50} × ρ_MY ∈ {0,0.2,0.5,0.8,1} × π_shared ∈ {0.1,0.3,0.5,0.8,1.0}, under both concordant and discordant mediation signs), evaluating the flip probability analytically across the true indirect-effect non-centrality λ = δ/σ_naive ∈ [0,4]. Two regimes emerge. Under concordant mediation the shared-instrument covariance is negative, so the corrected SE is smaller; the correction can therefore only *gain* significance (turn a naively non-significant result significant) and never remove it. The maximum flip probability is 5.7% (at F = 30, ρ_MY = 0, π_shared = 1.0, λ ≈ 2.0); only 3/100 design points exceed 5%. Under discordant mediation or sample overlap the covariance is positive and the corrected SE is larger, so the correction can *lose* significance; the maximum flip probability is 10.4% (at F = 10, ρ_MY = 1.0, π_shared = 1.0, λ ≈ 2.25) and 31/100 design points exceed 5%. In both regimes the flip band straddles the naive 1.96 threshold (roughly λ ∈ [1.7, 2.4]) — only results that are marginally significant under the naive method are ever at risk — and the flip probability rises monotonically with π_shared (Supplementary Fig. S3). Because the realized published trios have small effects far from this boundary (§3.4–3.5), no flip is observed empirically, which is consistent with the simulation rather than a selectivity artefact.</w:t>
      </w:r>
    </w:p>
    <w:p>
      <w:pPr>
        <w:spacing w:before="200" w:after="80"/>
        <w:jc w:val="left"/>
      </w:pPr>
      <w:r>
        <w:rPr>
          <w:rFonts w:ascii="Times New Roman" w:hAnsi="Times New Roman"/>
          <w:b/>
          <w:sz w:val="24"/>
        </w:rPr>
        <w:t>3.2 Empirical prevalence of overlap-prone designs</w:t>
      </w:r>
    </w:p>
    <w:p>
      <w:pPr>
        <w:ind w:firstLine="480"/>
        <w:jc w:val="both"/>
      </w:pPr>
      <w:r>
        <w:rPr>
          <w:rFonts w:ascii="Times New Roman" w:hAnsi="Times New Roman"/>
          <w:b w:val="0"/>
          <w:sz w:val="24"/>
        </w:rPr>
        <w:t xml:space="preserve">Among the 333 two-step MR mediation studies only two carried a structured "merged instrument pool" tag, and both are misclassified: S110 is an MVMR joint-IV design, and S245 is standard sequential selection (a coding error). Thus </w:t>
      </w:r>
      <w:r>
        <w:rPr>
          <w:rFonts w:ascii="Times New Roman" w:hAnsi="Times New Roman"/>
          <w:b/>
          <w:sz w:val="24"/>
        </w:rPr>
        <w:t>no clean published example of the merged-pool design exists in 695 coded studies</w:t>
      </w:r>
      <w:r>
        <w:rPr>
          <w:rFonts w:ascii="Times New Roman" w:hAnsi="Times New Roman"/>
          <w:b w:val="0"/>
          <w:sz w:val="24"/>
        </w:rPr>
        <w:t xml:space="preserve"> — the field does not structurally track the overlap our method corrects. Overlap handling was assessable for 54/333 studies; only 19 (35.2% [95% CI 23.8-48.5%]) reported or adjusted for it. Under the typical classification, </w:t>
      </w:r>
      <w:r>
        <w:rPr>
          <w:rFonts w:ascii="Times New Roman" w:hAnsi="Times New Roman"/>
          <w:b/>
          <w:sz w:val="24"/>
        </w:rPr>
        <w:t>39.3% (95% CI 34.2-44.7%)</w:t>
      </w:r>
      <w:r>
        <w:rPr>
          <w:rFonts w:ascii="Times New Roman" w:hAnsi="Times New Roman"/>
          <w:b w:val="0"/>
          <w:sz w:val="24"/>
        </w:rPr>
        <w:t xml:space="preserve"> of the 333 studies draw instruments from overlapping GWAS pools without disclosing overlap handling and are therefore capable of non-zero Cov(α̂, β̂) (conservative 9.3% [95% CI 6.6-12.9%], structural 41.1% [95% CI 36.0-46.5%]; Fig. 3). Beyond the two mis-tagged cases, 78 of 695 coded reports (11.2% [95% CI 9.1-13.8%]) used an MVMR-variant design whose merged-pool form is the maximal-overlap regime the correction addresses; its closed-form extension is derived in Supplementary Methods S8 and illustrated on the audited S110 design.</w:t>
      </w:r>
    </w:p>
    <w:p>
      <w:pPr>
        <w:ind w:firstLine="480"/>
        <w:jc w:val="both"/>
      </w:pPr>
      <w:r>
        <w:rPr>
          <w:rFonts w:ascii="Times New Roman" w:hAnsi="Times New Roman"/>
          <w:b/>
          <w:sz w:val="24"/>
        </w:rPr>
        <w:t>Reproducibility.</w:t>
      </w:r>
      <w:r>
        <w:rPr>
          <w:rFonts w:ascii="Times New Roman" w:hAnsi="Times New Roman"/>
          <w:b w:val="0"/>
          <w:sz w:val="24"/>
        </w:rPr>
        <w:t xml:space="preserve"> A second blinded coding pass by co-author C. Yan (C.Y.)—independent of the original coder (J.W., excluded) and blind to the sealed answer key—on a stratified 50-study sample gave 100.0% observed agreement on design_type (PABAK 1.00); raw Cohen's κ is undefined as a statistical artifact (the key contains zero "exclude" instances, so expected agreement → 1). On IV_selection_strategy agreement was 74.3% (κ = 0.44, 95% CI 0.17–0.69; PABAK 0.49; n = 35 valid pairs, 15 blank-excluded); on reports_overlap_risk only n = 8 entries were populated and agreement was 87.5% (κ = 0.78, 95% CI 0.43–1.0; PABAK 0.75, unstable). The macro-averaged κ across the two non-artifact fields was 0.61. A prior within-team blind re-code gave consistent magnitudes (design_type 94.0%/PABAK 0.88; IV κ = 0.50; reports κ = 0.50), corroborating these estimates. Full details in Supplementary Methods S7.</w:t>
      </w:r>
    </w:p>
    <w:p>
      <w:pPr>
        <w:spacing w:before="200" w:after="80"/>
        <w:jc w:val="left"/>
      </w:pPr>
      <w:r>
        <w:rPr>
          <w:rFonts w:ascii="Times New Roman" w:hAnsi="Times New Roman"/>
          <w:b/>
          <w:sz w:val="24"/>
        </w:rPr>
        <w:t>3.3 Real-data illustration: BMI → waist → CHD</w:t>
      </w:r>
    </w:p>
    <w:p>
      <w:pPr>
        <w:ind w:firstLine="480"/>
        <w:jc w:val="both"/>
      </w:pPr>
      <w:r>
        <w:rPr>
          <w:rFonts w:ascii="Times New Roman" w:hAnsi="Times New Roman"/>
          <w:b w:val="0"/>
          <w:sz w:val="24"/>
        </w:rPr>
        <w:t>Applied to BMI → waist circumference → CHD (IEU IDs ieu-a-2, ieu-a-61, ieu-a-7) the natural instrument intersection was n_s = 13 SNPs (π_shared = 0.317). After correction the indirect-effect SE narrowed by 2.8%; reusing the 78 BMI instruments in both steps (π_shared = 1.0) narrowed it by 15.5% (Table 2, Fig. 4). The corrected SE is smaller because the shared-instrument covariance is negative, so the naive method is conservative, not anti-conservative; the direction depends on sign(α̂β̂·Cov) and is prior-unknown. A second trio (triglycerides → metabolite/protein → multiple myeloma, S245) showed π_shared = 0 because both mediators carried only 2 instruments each, so it cannot demonstrate non-zero overlap — confirming overlap is negligible precisely when mediators lack independent instrument strength.</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sz w:val="19"/>
              </w:rPr>
              <w:t>design</w:t>
            </w:r>
          </w:p>
        </w:tc>
        <w:tc>
          <w:tcPr>
            <w:tcW w:type="dxa" w:w="960"/>
          </w:tcPr>
          <w:p>
            <w:r/>
            <w:r>
              <w:rPr>
                <w:rFonts w:ascii="Times New Roman" w:hAnsi="Times New Roman"/>
                <w:b/>
                <w:sz w:val="19"/>
              </w:rPr>
              <w:t>ρ_MY</w:t>
            </w:r>
          </w:p>
        </w:tc>
        <w:tc>
          <w:tcPr>
            <w:tcW w:type="dxa" w:w="960"/>
          </w:tcPr>
          <w:p>
            <w:r/>
            <w:r>
              <w:rPr>
                <w:rFonts w:ascii="Times New Roman" w:hAnsi="Times New Roman"/>
                <w:b/>
                <w:sz w:val="19"/>
              </w:rPr>
              <w:t>n_s</w:t>
            </w:r>
          </w:p>
        </w:tc>
        <w:tc>
          <w:tcPr>
            <w:tcW w:type="dxa" w:w="960"/>
          </w:tcPr>
          <w:p>
            <w:r/>
            <w:r>
              <w:rPr>
                <w:rFonts w:ascii="Times New Roman" w:hAnsi="Times New Roman"/>
                <w:b/>
                <w:sz w:val="19"/>
              </w:rPr>
              <w:t>α̂ (SE)</w:t>
            </w:r>
          </w:p>
        </w:tc>
        <w:tc>
          <w:tcPr>
            <w:tcW w:type="dxa" w:w="960"/>
          </w:tcPr>
          <w:p>
            <w:r/>
            <w:r>
              <w:rPr>
                <w:rFonts w:ascii="Times New Roman" w:hAnsi="Times New Roman"/>
                <w:b/>
                <w:sz w:val="19"/>
              </w:rPr>
              <w:t>β̂ (SE)</w:t>
            </w:r>
          </w:p>
        </w:tc>
        <w:tc>
          <w:tcPr>
            <w:tcW w:type="dxa" w:w="960"/>
          </w:tcPr>
          <w:p>
            <w:r/>
            <w:r>
              <w:rPr>
                <w:rFonts w:ascii="Times New Roman" w:hAnsi="Times New Roman"/>
                <w:b/>
                <w:sz w:val="19"/>
              </w:rPr>
              <w:t>indirect</w:t>
            </w:r>
          </w:p>
        </w:tc>
        <w:tc>
          <w:tcPr>
            <w:tcW w:type="dxa" w:w="960"/>
          </w:tcPr>
          <w:p>
            <w:r/>
            <w:r>
              <w:rPr>
                <w:rFonts w:ascii="Times New Roman" w:hAnsi="Times New Roman"/>
                <w:b/>
                <w:sz w:val="19"/>
              </w:rPr>
              <w:t>SE_naive</w:t>
            </w:r>
          </w:p>
        </w:tc>
        <w:tc>
          <w:tcPr>
            <w:tcW w:type="dxa" w:w="960"/>
          </w:tcPr>
          <w:p>
            <w:r/>
            <w:r>
              <w:rPr>
                <w:rFonts w:ascii="Times New Roman" w:hAnsi="Times New Roman"/>
                <w:b/>
                <w:sz w:val="19"/>
              </w:rPr>
              <w:t>SE_corr</w:t>
            </w:r>
          </w:p>
        </w:tc>
        <w:tc>
          <w:tcPr>
            <w:tcW w:type="dxa" w:w="960"/>
          </w:tcPr>
          <w:p>
            <w:r/>
            <w:r>
              <w:rPr>
                <w:rFonts w:ascii="Times New Roman" w:hAnsi="Times New Roman"/>
                <w:b/>
                <w:sz w:val="19"/>
              </w:rPr>
              <w:t>widen_%</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0.0745</w:t>
            </w:r>
          </w:p>
        </w:tc>
        <w:tc>
          <w:tcPr>
            <w:tcW w:type="dxa" w:w="960"/>
          </w:tcPr>
          <w:p>
            <w:r/>
            <w:r>
              <w:rPr>
                <w:rFonts w:ascii="Times New Roman" w:hAnsi="Times New Roman"/>
                <w:sz w:val="19"/>
              </w:rPr>
              <w:t>−2.8</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0.2</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0.0746</w:t>
            </w:r>
          </w:p>
        </w:tc>
        <w:tc>
          <w:tcPr>
            <w:tcW w:type="dxa" w:w="960"/>
          </w:tcPr>
          <w:p>
            <w:r/>
            <w:r>
              <w:rPr>
                <w:rFonts w:ascii="Times New Roman" w:hAnsi="Times New Roman"/>
                <w:sz w:val="19"/>
              </w:rPr>
              <w:t>−2.7</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0.4</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0.0748</w:t>
            </w:r>
          </w:p>
        </w:tc>
        <w:tc>
          <w:tcPr>
            <w:tcW w:type="dxa" w:w="960"/>
          </w:tcPr>
          <w:p>
            <w:r/>
            <w:r>
              <w:rPr>
                <w:rFonts w:ascii="Times New Roman" w:hAnsi="Times New Roman"/>
                <w:sz w:val="19"/>
              </w:rPr>
              <w:t>−2.4</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0.6</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0.0749</w:t>
            </w:r>
          </w:p>
        </w:tc>
        <w:tc>
          <w:tcPr>
            <w:tcW w:type="dxa" w:w="960"/>
          </w:tcPr>
          <w:p>
            <w:r/>
            <w:r>
              <w:rPr>
                <w:rFonts w:ascii="Times New Roman" w:hAnsi="Times New Roman"/>
                <w:sz w:val="19"/>
              </w:rPr>
              <w:t>−2.3</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0.8</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0.0749</w:t>
            </w:r>
          </w:p>
        </w:tc>
        <w:tc>
          <w:tcPr>
            <w:tcW w:type="dxa" w:w="960"/>
          </w:tcPr>
          <w:p>
            <w:r/>
            <w:r>
              <w:rPr>
                <w:rFonts w:ascii="Times New Roman" w:hAnsi="Times New Roman"/>
                <w:sz w:val="19"/>
              </w:rPr>
              <w:t>−2.4</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0.0476</w:t>
            </w:r>
          </w:p>
        </w:tc>
        <w:tc>
          <w:tcPr>
            <w:tcW w:type="dxa" w:w="960"/>
          </w:tcPr>
          <w:p>
            <w:r/>
            <w:r>
              <w:rPr>
                <w:rFonts w:ascii="Times New Roman" w:hAnsi="Times New Roman"/>
                <w:sz w:val="19"/>
              </w:rPr>
              <w:t>−15.5</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0.2</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0.0473</w:t>
            </w:r>
          </w:p>
        </w:tc>
        <w:tc>
          <w:tcPr>
            <w:tcW w:type="dxa" w:w="960"/>
          </w:tcPr>
          <w:p>
            <w:r/>
            <w:r>
              <w:rPr>
                <w:rFonts w:ascii="Times New Roman" w:hAnsi="Times New Roman"/>
                <w:sz w:val="19"/>
              </w:rPr>
              <w:t>−15.9</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0.4</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0.0475</w:t>
            </w:r>
          </w:p>
        </w:tc>
        <w:tc>
          <w:tcPr>
            <w:tcW w:type="dxa" w:w="960"/>
          </w:tcPr>
          <w:p>
            <w:r/>
            <w:r>
              <w:rPr>
                <w:rFonts w:ascii="Times New Roman" w:hAnsi="Times New Roman"/>
                <w:sz w:val="19"/>
              </w:rPr>
              <w:t>−15.7</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0.6</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0.0477</w:t>
            </w:r>
          </w:p>
        </w:tc>
        <w:tc>
          <w:tcPr>
            <w:tcW w:type="dxa" w:w="960"/>
          </w:tcPr>
          <w:p>
            <w:r/>
            <w:r>
              <w:rPr>
                <w:rFonts w:ascii="Times New Roman" w:hAnsi="Times New Roman"/>
                <w:sz w:val="19"/>
              </w:rPr>
              <w:t>−15.4</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0.8</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0.0486</w:t>
            </w:r>
          </w:p>
        </w:tc>
        <w:tc>
          <w:tcPr>
            <w:tcW w:type="dxa" w:w="960"/>
          </w:tcPr>
          <w:p>
            <w:r/>
            <w:r>
              <w:rPr>
                <w:rFonts w:ascii="Times New Roman" w:hAnsi="Times New Roman"/>
                <w:sz w:val="19"/>
              </w:rPr>
              <w:t>−13.7</w:t>
            </w:r>
          </w:p>
        </w:tc>
      </w:tr>
    </w:tbl>
    <w:p>
      <w:pPr>
        <w:jc w:val="left"/>
      </w:pPr>
      <w:r>
        <w:rPr>
          <w:rFonts w:ascii="Times New Roman" w:hAnsi="Times New Roman"/>
          <w:b/>
          <w:i/>
          <w:sz w:val="20"/>
        </w:rPr>
        <w:t>Table 2.</w:t>
      </w:r>
      <w:r>
        <w:rPr>
          <w:rFonts w:ascii="Times New Roman" w:hAnsi="Times New Roman"/>
          <w:b w:val="0"/>
          <w:sz w:val="20"/>
        </w:rPr>
        <w:t xml:space="preserve"> BMI → waist → CHD real-data application. "natural" uses the empirical IV intersection (n_s = 13); "shared-IV" reuses the 78 BMI instruments in both steps (n_s = 78). widen_% is the percentage change in the indirect-effect SE after S10 correction (negative = narrower).</w:t>
      </w:r>
    </w:p>
    <w:p>
      <w:pPr>
        <w:spacing w:before="200" w:after="80"/>
        <w:jc w:val="left"/>
      </w:pPr>
      <w:r>
        <w:rPr>
          <w:rFonts w:ascii="Times New Roman" w:hAnsi="Times New Roman"/>
          <w:b/>
          <w:sz w:val="24"/>
        </w:rPr>
        <w:t>3.4 Empirical batch re-estimation</w:t>
      </w:r>
    </w:p>
    <w:p>
      <w:pPr>
        <w:ind w:firstLine="480"/>
        <w:jc w:val="both"/>
      </w:pPr>
      <w:r>
        <w:rPr>
          <w:rFonts w:ascii="Times New Roman" w:hAnsi="Times New Roman"/>
          <w:b w:val="0"/>
          <w:sz w:val="24"/>
        </w:rPr>
        <w:t xml:space="preserve">To test the correction on realised data at scale, we re-estimated every coded study whose exposure, mediator and outcome all resolved to public GWAS accessions (n = 113) directly from OpenGWAS summary statistics, using an all-Python pipeline (harmonized fixed-effects IVW plus the S10 correction) that does not depend on the TwoSampleMR harmonisation which earlier failed on two FinnGen outcomes. Of 113, 108 re-estimations succeeded and 5 were skipped for accession-resolution or network errors (S210, S173, S255, S291, S326). </w:t>
      </w:r>
      <w:r>
        <w:rPr>
          <w:rFonts w:ascii="Times New Roman" w:hAnsi="Times New Roman"/>
          <w:b/>
          <w:sz w:val="24"/>
        </w:rPr>
        <w:t>Seven (6.5% [95% CI 3.2–12.8%]) of the 108 showed genuine instrument overlap (n_s = 1–3, π_shared = 0.019–1.0).</w:t>
      </w:r>
      <w:r>
        <w:rPr>
          <w:rFonts w:ascii="Times New Roman" w:hAnsi="Times New Roman"/>
          <w:b w:val="0"/>
          <w:sz w:val="24"/>
        </w:rPr>
        <w:t xml:space="preserve"> Every overlapping trio was same-sign, so the correction narrowed every CI (−0.2% to −16.0% among the non-degenerate trios, −32.8% including the degenerate S293). Two of the seven (S320, S293) are methodologically degenerate: their exposure and mediator resolve to the *same* GWAS accession, giving α̂ = 1.0 exactly and π_shared = 1.0 — a self-mediating (non-mediation) design rather than a substantive pathway. Among the remaining </w:t>
      </w:r>
      <w:r>
        <w:rPr>
          <w:rFonts w:ascii="Times New Roman" w:hAnsi="Times New Roman"/>
          <w:b/>
          <w:sz w:val="24"/>
        </w:rPr>
        <w:t>five non-degenerate overlapping trios, zero changed significance (0/5 flips)</w:t>
      </w:r>
      <w:r>
        <w:rPr>
          <w:rFonts w:ascii="Times New Roman" w:hAnsi="Times New Roman"/>
          <w:b w:val="0"/>
          <w:sz w:val="24"/>
        </w:rPr>
        <w:t xml:space="preserve"> and all corrections narrowed the CI. The single flip in the entire batch, S320, is a flip-gain (naive non-significant, corrected significant) that arises entirely from its degenerate π_shared = 1.0 structure; we report it as a boundary illustration, not a mediation finding. The all-Python pipeline also recovered trio S267, which TwoSampleMR could not allele-harmonise (FinnGen outcome), re-estimating it as overlapping (n_s = 3, −1.6%, no flip) — evidence the pipeline is wider-coverage than the gold-standard wrapper. Supplementary Fig. S4 shows the SE-change forest across the overlapping trios.</w:t>
      </w:r>
    </w:p>
    <w:tbl>
      <w:tblPr>
        <w:tblStyle w:val="TableGrid"/>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
              <w:rPr>
                <w:rFonts w:ascii="Times New Roman" w:hAnsi="Times New Roman"/>
                <w:b/>
                <w:sz w:val="19"/>
              </w:rPr>
              <w:t>Study</w:t>
            </w:r>
          </w:p>
        </w:tc>
        <w:tc>
          <w:tcPr>
            <w:tcW w:type="dxa" w:w="576"/>
          </w:tcPr>
          <w:p>
            <w:r/>
            <w:r>
              <w:rPr>
                <w:rFonts w:ascii="Times New Roman" w:hAnsi="Times New Roman"/>
                <w:b/>
                <w:sz w:val="19"/>
              </w:rPr>
              <w:t>Pathway (X → M → Y)</w:t>
            </w:r>
          </w:p>
        </w:tc>
        <w:tc>
          <w:tcPr>
            <w:tcW w:type="dxa" w:w="576"/>
          </w:tcPr>
          <w:p>
            <w:r/>
            <w:r>
              <w:rPr>
                <w:rFonts w:ascii="Times New Roman" w:hAnsi="Times New Roman"/>
                <w:b/>
                <w:sz w:val="19"/>
              </w:rPr>
              <w:t>n_X</w:t>
            </w:r>
          </w:p>
        </w:tc>
        <w:tc>
          <w:tcPr>
            <w:tcW w:type="dxa" w:w="576"/>
          </w:tcPr>
          <w:p>
            <w:r/>
            <w:r>
              <w:rPr>
                <w:rFonts w:ascii="Times New Roman" w:hAnsi="Times New Roman"/>
                <w:b/>
                <w:sz w:val="19"/>
              </w:rPr>
              <w:t>n_M</w:t>
            </w:r>
          </w:p>
        </w:tc>
        <w:tc>
          <w:tcPr>
            <w:tcW w:type="dxa" w:w="576"/>
          </w:tcPr>
          <w:p>
            <w:r/>
            <w:r>
              <w:rPr>
                <w:rFonts w:ascii="Times New Roman" w:hAnsi="Times New Roman"/>
                <w:b/>
                <w:sz w:val="19"/>
              </w:rPr>
              <w:t>n_s</w:t>
            </w:r>
          </w:p>
        </w:tc>
        <w:tc>
          <w:tcPr>
            <w:tcW w:type="dxa" w:w="576"/>
          </w:tcPr>
          <w:p>
            <w:r/>
            <w:r>
              <w:rPr>
                <w:rFonts w:ascii="Times New Roman" w:hAnsi="Times New Roman"/>
                <w:b/>
                <w:sz w:val="19"/>
              </w:rPr>
              <w:t>π_shared</w:t>
            </w:r>
          </w:p>
        </w:tc>
        <w:tc>
          <w:tcPr>
            <w:tcW w:type="dxa" w:w="576"/>
          </w:tcPr>
          <w:p>
            <w:r/>
            <w:r>
              <w:rPr>
                <w:rFonts w:ascii="Times New Roman" w:hAnsi="Times New Roman"/>
                <w:b/>
                <w:sz w:val="19"/>
              </w:rPr>
              <w:t>α̂ (SE_α)</w:t>
            </w:r>
          </w:p>
        </w:tc>
        <w:tc>
          <w:tcPr>
            <w:tcW w:type="dxa" w:w="576"/>
          </w:tcPr>
          <w:p>
            <w:r/>
            <w:r>
              <w:rPr>
                <w:rFonts w:ascii="Times New Roman" w:hAnsi="Times New Roman"/>
                <w:b/>
                <w:sz w:val="19"/>
              </w:rPr>
              <w:t>β̂ (SE_β)</w:t>
            </w:r>
          </w:p>
        </w:tc>
        <w:tc>
          <w:tcPr>
            <w:tcW w:type="dxa" w:w="576"/>
          </w:tcPr>
          <w:p>
            <w:r/>
            <w:r>
              <w:rPr>
                <w:rFonts w:ascii="Times New Roman" w:hAnsi="Times New Roman"/>
                <w:b/>
                <w:sz w:val="19"/>
              </w:rPr>
              <w:t>indirect</w:t>
            </w:r>
          </w:p>
        </w:tc>
        <w:tc>
          <w:tcPr>
            <w:tcW w:type="dxa" w:w="576"/>
          </w:tcPr>
          <w:p>
            <w:r/>
            <w:r>
              <w:rPr>
                <w:rFonts w:ascii="Times New Roman" w:hAnsi="Times New Roman"/>
                <w:b/>
                <w:sz w:val="19"/>
              </w:rPr>
              <w:t>SE_naive</w:t>
            </w:r>
          </w:p>
        </w:tc>
        <w:tc>
          <w:tcPr>
            <w:tcW w:type="dxa" w:w="576"/>
          </w:tcPr>
          <w:p>
            <w:r/>
            <w:r>
              <w:rPr>
                <w:rFonts w:ascii="Times New Roman" w:hAnsi="Times New Roman"/>
                <w:b/>
                <w:sz w:val="19"/>
              </w:rPr>
              <w:t>SE_corr</w:t>
            </w:r>
          </w:p>
        </w:tc>
        <w:tc>
          <w:tcPr>
            <w:tcW w:type="dxa" w:w="576"/>
          </w:tcPr>
          <w:p>
            <w:r/>
            <w:r>
              <w:rPr>
                <w:rFonts w:ascii="Times New Roman" w:hAnsi="Times New Roman"/>
                <w:b/>
                <w:sz w:val="19"/>
              </w:rPr>
              <w:t>widen_%</w:t>
            </w:r>
          </w:p>
        </w:tc>
        <w:tc>
          <w:tcPr>
            <w:tcW w:type="dxa" w:w="576"/>
          </w:tcPr>
          <w:p>
            <w:r/>
            <w:r>
              <w:rPr>
                <w:rFonts w:ascii="Times New Roman" w:hAnsi="Times New Roman"/>
                <w:b/>
                <w:sz w:val="19"/>
              </w:rPr>
              <w:t>Naive sig</w:t>
            </w:r>
          </w:p>
        </w:tc>
        <w:tc>
          <w:tcPr>
            <w:tcW w:type="dxa" w:w="576"/>
          </w:tcPr>
          <w:p>
            <w:r/>
            <w:r>
              <w:rPr>
                <w:rFonts w:ascii="Times New Roman" w:hAnsi="Times New Roman"/>
                <w:b/>
                <w:sz w:val="19"/>
              </w:rPr>
              <w:t>Corr. sig</w:t>
            </w:r>
          </w:p>
        </w:tc>
        <w:tc>
          <w:tcPr>
            <w:tcW w:type="dxa" w:w="576"/>
          </w:tcPr>
          <w:p>
            <w:r/>
            <w:r>
              <w:rPr>
                <w:rFonts w:ascii="Times New Roman" w:hAnsi="Times New Roman"/>
                <w:b/>
                <w:sz w:val="19"/>
              </w:rPr>
              <w:t>Flip</w:t>
            </w:r>
          </w:p>
        </w:tc>
      </w:tr>
      <w:tr>
        <w:tc>
          <w:tcPr>
            <w:tcW w:type="dxa" w:w="576"/>
          </w:tcPr>
          <w:p>
            <w:r/>
            <w:r>
              <w:rPr>
                <w:rFonts w:ascii="Times New Roman" w:hAnsi="Times New Roman"/>
                <w:sz w:val="19"/>
              </w:rPr>
              <w:t>S014</w:t>
            </w:r>
          </w:p>
        </w:tc>
        <w:tc>
          <w:tcPr>
            <w:tcW w:type="dxa" w:w="576"/>
          </w:tcPr>
          <w:p>
            <w:r/>
            <w:r>
              <w:rPr>
                <w:rFonts w:ascii="Times New Roman" w:hAnsi="Times New Roman"/>
                <w:sz w:val="19"/>
              </w:rPr>
              <w:t>T1DM → hypertension → atherosclerosis (PAS/CAS)</w:t>
            </w:r>
          </w:p>
        </w:tc>
        <w:tc>
          <w:tcPr>
            <w:tcW w:type="dxa" w:w="576"/>
          </w:tcPr>
          <w:p>
            <w:r/>
            <w:r>
              <w:rPr>
                <w:rFonts w:ascii="Times New Roman" w:hAnsi="Times New Roman"/>
                <w:sz w:val="19"/>
              </w:rPr>
              <w:t>18</w:t>
            </w:r>
          </w:p>
        </w:tc>
        <w:tc>
          <w:tcPr>
            <w:tcW w:type="dxa" w:w="576"/>
          </w:tcPr>
          <w:p>
            <w:r/>
            <w:r>
              <w:rPr>
                <w:rFonts w:ascii="Times New Roman" w:hAnsi="Times New Roman"/>
                <w:sz w:val="19"/>
              </w:rPr>
              <w:t>209</w:t>
            </w:r>
          </w:p>
        </w:tc>
        <w:tc>
          <w:tcPr>
            <w:tcW w:type="dxa" w:w="576"/>
          </w:tcPr>
          <w:p>
            <w:r/>
            <w:r>
              <w:rPr>
                <w:rFonts w:ascii="Times New Roman" w:hAnsi="Times New Roman"/>
                <w:sz w:val="19"/>
              </w:rPr>
              <w:t>1</w:t>
            </w:r>
          </w:p>
        </w:tc>
        <w:tc>
          <w:tcPr>
            <w:tcW w:type="dxa" w:w="576"/>
          </w:tcPr>
          <w:p>
            <w:r/>
            <w:r>
              <w:rPr>
                <w:rFonts w:ascii="Times New Roman" w:hAnsi="Times New Roman"/>
                <w:sz w:val="19"/>
              </w:rPr>
              <w:t>0.0556</w:t>
            </w:r>
          </w:p>
        </w:tc>
        <w:tc>
          <w:tcPr>
            <w:tcW w:type="dxa" w:w="576"/>
          </w:tcPr>
          <w:p>
            <w:r/>
            <w:r>
              <w:rPr>
                <w:rFonts w:ascii="Times New Roman" w:hAnsi="Times New Roman"/>
                <w:sz w:val="19"/>
              </w:rPr>
              <w:t>0.00378 (0.00096)</w:t>
            </w:r>
          </w:p>
        </w:tc>
        <w:tc>
          <w:tcPr>
            <w:tcW w:type="dxa" w:w="576"/>
          </w:tcPr>
          <w:p>
            <w:r/>
            <w:r>
              <w:rPr>
                <w:rFonts w:ascii="Times New Roman" w:hAnsi="Times New Roman"/>
                <w:sz w:val="19"/>
              </w:rPr>
              <w:t>0.12832 (0.00494)</w:t>
            </w:r>
          </w:p>
        </w:tc>
        <w:tc>
          <w:tcPr>
            <w:tcW w:type="dxa" w:w="576"/>
          </w:tcPr>
          <w:p>
            <w:r/>
            <w:r>
              <w:rPr>
                <w:rFonts w:ascii="Times New Roman" w:hAnsi="Times New Roman"/>
                <w:sz w:val="19"/>
              </w:rPr>
              <w:t>4.9e-04</w:t>
            </w:r>
          </w:p>
        </w:tc>
        <w:tc>
          <w:tcPr>
            <w:tcW w:type="dxa" w:w="576"/>
          </w:tcPr>
          <w:p>
            <w:r/>
            <w:r>
              <w:rPr>
                <w:rFonts w:ascii="Times New Roman" w:hAnsi="Times New Roman"/>
                <w:sz w:val="19"/>
              </w:rPr>
              <w:t>1.3e-04</w:t>
            </w:r>
          </w:p>
        </w:tc>
        <w:tc>
          <w:tcPr>
            <w:tcW w:type="dxa" w:w="576"/>
          </w:tcPr>
          <w:p>
            <w:r/>
            <w:r>
              <w:rPr>
                <w:rFonts w:ascii="Times New Roman" w:hAnsi="Times New Roman"/>
                <w:sz w:val="19"/>
              </w:rPr>
              <w:t>1.1e-04</w:t>
            </w:r>
          </w:p>
        </w:tc>
        <w:tc>
          <w:tcPr>
            <w:tcW w:type="dxa" w:w="576"/>
          </w:tcPr>
          <w:p>
            <w:r/>
            <w:r>
              <w:rPr>
                <w:rFonts w:ascii="Times New Roman" w:hAnsi="Times New Roman"/>
                <w:sz w:val="19"/>
              </w:rPr>
              <w:t>−16.0</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r>
        <w:tc>
          <w:tcPr>
            <w:tcW w:type="dxa" w:w="576"/>
          </w:tcPr>
          <w:p>
            <w:r/>
            <w:r>
              <w:rPr>
                <w:rFonts w:ascii="Times New Roman" w:hAnsi="Times New Roman"/>
                <w:sz w:val="19"/>
              </w:rPr>
              <w:t>S137</w:t>
            </w:r>
          </w:p>
        </w:tc>
        <w:tc>
          <w:tcPr>
            <w:tcW w:type="dxa" w:w="576"/>
          </w:tcPr>
          <w:p>
            <w:r/>
            <w:r>
              <w:rPr>
                <w:rFonts w:ascii="Times New Roman" w:hAnsi="Times New Roman"/>
                <w:sz w:val="19"/>
              </w:rPr>
              <w:t>25(OH)D → serum calcium → migraine</w:t>
            </w:r>
          </w:p>
        </w:tc>
        <w:tc>
          <w:tcPr>
            <w:tcW w:type="dxa" w:w="576"/>
          </w:tcPr>
          <w:p>
            <w:r/>
            <w:r>
              <w:rPr>
                <w:rFonts w:ascii="Times New Roman" w:hAnsi="Times New Roman"/>
                <w:sz w:val="19"/>
              </w:rPr>
              <w:t>105</w:t>
            </w:r>
          </w:p>
        </w:tc>
        <w:tc>
          <w:tcPr>
            <w:tcW w:type="dxa" w:w="576"/>
          </w:tcPr>
          <w:p>
            <w:r/>
            <w:r>
              <w:rPr>
                <w:rFonts w:ascii="Times New Roman" w:hAnsi="Times New Roman"/>
                <w:sz w:val="19"/>
              </w:rPr>
              <w:t>220</w:t>
            </w:r>
          </w:p>
        </w:tc>
        <w:tc>
          <w:tcPr>
            <w:tcW w:type="dxa" w:w="576"/>
          </w:tcPr>
          <w:p>
            <w:r/>
            <w:r>
              <w:rPr>
                <w:rFonts w:ascii="Times New Roman" w:hAnsi="Times New Roman"/>
                <w:sz w:val="19"/>
              </w:rPr>
              <w:t>2</w:t>
            </w:r>
          </w:p>
        </w:tc>
        <w:tc>
          <w:tcPr>
            <w:tcW w:type="dxa" w:w="576"/>
          </w:tcPr>
          <w:p>
            <w:r/>
            <w:r>
              <w:rPr>
                <w:rFonts w:ascii="Times New Roman" w:hAnsi="Times New Roman"/>
                <w:sz w:val="19"/>
              </w:rPr>
              <w:t>0.019</w:t>
            </w:r>
          </w:p>
        </w:tc>
        <w:tc>
          <w:tcPr>
            <w:tcW w:type="dxa" w:w="576"/>
          </w:tcPr>
          <w:p>
            <w:r/>
            <w:r>
              <w:rPr>
                <w:rFonts w:ascii="Times New Roman" w:hAnsi="Times New Roman"/>
                <w:sz w:val="19"/>
              </w:rPr>
              <w:t>0.04031 (0.01441)</w:t>
            </w:r>
          </w:p>
        </w:tc>
        <w:tc>
          <w:tcPr>
            <w:tcW w:type="dxa" w:w="576"/>
          </w:tcPr>
          <w:p>
            <w:r/>
            <w:r>
              <w:rPr>
                <w:rFonts w:ascii="Times New Roman" w:hAnsi="Times New Roman"/>
                <w:sz w:val="19"/>
              </w:rPr>
              <w:t>0.00178 (0.00106)</w:t>
            </w:r>
          </w:p>
        </w:tc>
        <w:tc>
          <w:tcPr>
            <w:tcW w:type="dxa" w:w="576"/>
          </w:tcPr>
          <w:p>
            <w:r/>
            <w:r>
              <w:rPr>
                <w:rFonts w:ascii="Times New Roman" w:hAnsi="Times New Roman"/>
                <w:sz w:val="19"/>
              </w:rPr>
              <w:t>7.0e-05</w:t>
            </w:r>
          </w:p>
        </w:tc>
        <w:tc>
          <w:tcPr>
            <w:tcW w:type="dxa" w:w="576"/>
          </w:tcPr>
          <w:p>
            <w:r/>
            <w:r>
              <w:rPr>
                <w:rFonts w:ascii="Times New Roman" w:hAnsi="Times New Roman"/>
                <w:sz w:val="19"/>
              </w:rPr>
              <w:t>5.0e-05</w:t>
            </w:r>
          </w:p>
        </w:tc>
        <w:tc>
          <w:tcPr>
            <w:tcW w:type="dxa" w:w="576"/>
          </w:tcPr>
          <w:p>
            <w:r/>
            <w:r>
              <w:rPr>
                <w:rFonts w:ascii="Times New Roman" w:hAnsi="Times New Roman"/>
                <w:sz w:val="19"/>
              </w:rPr>
              <w:t>4.0e-05</w:t>
            </w:r>
          </w:p>
        </w:tc>
        <w:tc>
          <w:tcPr>
            <w:tcW w:type="dxa" w:w="576"/>
          </w:tcPr>
          <w:p>
            <w:r/>
            <w:r>
              <w:rPr>
                <w:rFonts w:ascii="Times New Roman" w:hAnsi="Times New Roman"/>
                <w:sz w:val="19"/>
              </w:rPr>
              <w:t>−14.2</w:t>
            </w:r>
          </w:p>
        </w:tc>
        <w:tc>
          <w:tcPr>
            <w:tcW w:type="dxa" w:w="576"/>
          </w:tcPr>
          <w:p>
            <w:r/>
            <w:r>
              <w:rPr>
                <w:rFonts w:ascii="Times New Roman" w:hAnsi="Times New Roman"/>
                <w:sz w:val="19"/>
              </w:rPr>
              <w:t>no</w:t>
            </w:r>
          </w:p>
        </w:tc>
        <w:tc>
          <w:tcPr>
            <w:tcW w:type="dxa" w:w="576"/>
          </w:tcPr>
          <w:p>
            <w:r/>
            <w:r>
              <w:rPr>
                <w:rFonts w:ascii="Times New Roman" w:hAnsi="Times New Roman"/>
                <w:sz w:val="19"/>
              </w:rPr>
              <w:t>no</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S217</w:t>
            </w:r>
          </w:p>
        </w:tc>
        <w:tc>
          <w:tcPr>
            <w:tcW w:type="dxa" w:w="576"/>
          </w:tcPr>
          <w:p>
            <w:r/>
            <w:r>
              <w:rPr>
                <w:rFonts w:ascii="Times New Roman" w:hAnsi="Times New Roman"/>
                <w:sz w:val="19"/>
              </w:rPr>
              <w:t>RA → immunosuppressants → bronchiectasis</w:t>
            </w:r>
          </w:p>
        </w:tc>
        <w:tc>
          <w:tcPr>
            <w:tcW w:type="dxa" w:w="576"/>
          </w:tcPr>
          <w:p>
            <w:r/>
            <w:r>
              <w:rPr>
                <w:rFonts w:ascii="Times New Roman" w:hAnsi="Times New Roman"/>
                <w:sz w:val="19"/>
              </w:rPr>
              <w:t>9</w:t>
            </w:r>
          </w:p>
        </w:tc>
        <w:tc>
          <w:tcPr>
            <w:tcW w:type="dxa" w:w="576"/>
          </w:tcPr>
          <w:p>
            <w:r/>
            <w:r>
              <w:rPr>
                <w:rFonts w:ascii="Times New Roman" w:hAnsi="Times New Roman"/>
                <w:sz w:val="19"/>
              </w:rPr>
              <w:t>10</w:t>
            </w:r>
          </w:p>
        </w:tc>
        <w:tc>
          <w:tcPr>
            <w:tcW w:type="dxa" w:w="576"/>
          </w:tcPr>
          <w:p>
            <w:r/>
            <w:r>
              <w:rPr>
                <w:rFonts w:ascii="Times New Roman" w:hAnsi="Times New Roman"/>
                <w:sz w:val="19"/>
              </w:rPr>
              <w:t>1</w:t>
            </w:r>
          </w:p>
        </w:tc>
        <w:tc>
          <w:tcPr>
            <w:tcW w:type="dxa" w:w="576"/>
          </w:tcPr>
          <w:p>
            <w:r/>
            <w:r>
              <w:rPr>
                <w:rFonts w:ascii="Times New Roman" w:hAnsi="Times New Roman"/>
                <w:sz w:val="19"/>
              </w:rPr>
              <w:t>0.1111</w:t>
            </w:r>
          </w:p>
        </w:tc>
        <w:tc>
          <w:tcPr>
            <w:tcW w:type="dxa" w:w="576"/>
          </w:tcPr>
          <w:p>
            <w:r/>
            <w:r>
              <w:rPr>
                <w:rFonts w:ascii="Times New Roman" w:hAnsi="Times New Roman"/>
                <w:sz w:val="19"/>
              </w:rPr>
              <w:t>40.09082 (2.69133)</w:t>
            </w:r>
          </w:p>
        </w:tc>
        <w:tc>
          <w:tcPr>
            <w:tcW w:type="dxa" w:w="576"/>
          </w:tcPr>
          <w:p>
            <w:r/>
            <w:r>
              <w:rPr>
                <w:rFonts w:ascii="Times New Roman" w:hAnsi="Times New Roman"/>
                <w:sz w:val="19"/>
              </w:rPr>
              <w:t>0.17607 (0.03778)</w:t>
            </w:r>
          </w:p>
        </w:tc>
        <w:tc>
          <w:tcPr>
            <w:tcW w:type="dxa" w:w="576"/>
          </w:tcPr>
          <w:p>
            <w:r/>
            <w:r>
              <w:rPr>
                <w:rFonts w:ascii="Times New Roman" w:hAnsi="Times New Roman"/>
                <w:sz w:val="19"/>
              </w:rPr>
              <w:t>7.05891</w:t>
            </w:r>
          </w:p>
        </w:tc>
        <w:tc>
          <w:tcPr>
            <w:tcW w:type="dxa" w:w="576"/>
          </w:tcPr>
          <w:p>
            <w:r/>
            <w:r>
              <w:rPr>
                <w:rFonts w:ascii="Times New Roman" w:hAnsi="Times New Roman"/>
                <w:sz w:val="19"/>
              </w:rPr>
              <w:t>1.58715</w:t>
            </w:r>
          </w:p>
        </w:tc>
        <w:tc>
          <w:tcPr>
            <w:tcW w:type="dxa" w:w="576"/>
          </w:tcPr>
          <w:p>
            <w:r/>
            <w:r>
              <w:rPr>
                <w:rFonts w:ascii="Times New Roman" w:hAnsi="Times New Roman"/>
                <w:sz w:val="19"/>
              </w:rPr>
              <w:t>1.58342</w:t>
            </w:r>
          </w:p>
        </w:tc>
        <w:tc>
          <w:tcPr>
            <w:tcW w:type="dxa" w:w="576"/>
          </w:tcPr>
          <w:p>
            <w:r/>
            <w:r>
              <w:rPr>
                <w:rFonts w:ascii="Times New Roman" w:hAnsi="Times New Roman"/>
                <w:sz w:val="19"/>
              </w:rPr>
              <w:t>−0.2</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S273</w:t>
            </w:r>
          </w:p>
        </w:tc>
        <w:tc>
          <w:tcPr>
            <w:tcW w:type="dxa" w:w="576"/>
          </w:tcPr>
          <w:p>
            <w:r/>
            <w:r>
              <w:rPr>
                <w:rFonts w:ascii="Times New Roman" w:hAnsi="Times New Roman"/>
                <w:sz w:val="19"/>
              </w:rPr>
              <w:t>inflam./gut/immune → immune traits → IgAN</w:t>
            </w:r>
          </w:p>
        </w:tc>
        <w:tc>
          <w:tcPr>
            <w:tcW w:type="dxa" w:w="576"/>
          </w:tcPr>
          <w:p>
            <w:r/>
            <w:r>
              <w:rPr>
                <w:rFonts w:ascii="Times New Roman" w:hAnsi="Times New Roman"/>
                <w:sz w:val="19"/>
              </w:rPr>
              <w:t>440</w:t>
            </w:r>
          </w:p>
        </w:tc>
        <w:tc>
          <w:tcPr>
            <w:tcW w:type="dxa" w:w="576"/>
          </w:tcPr>
          <w:p>
            <w:r/>
            <w:r>
              <w:rPr>
                <w:rFonts w:ascii="Times New Roman" w:hAnsi="Times New Roman"/>
                <w:sz w:val="19"/>
              </w:rPr>
              <w:t>13</w:t>
            </w:r>
          </w:p>
        </w:tc>
        <w:tc>
          <w:tcPr>
            <w:tcW w:type="dxa" w:w="576"/>
          </w:tcPr>
          <w:p>
            <w:r/>
            <w:r>
              <w:rPr>
                <w:rFonts w:ascii="Times New Roman" w:hAnsi="Times New Roman"/>
                <w:sz w:val="19"/>
              </w:rPr>
              <w:t>2</w:t>
            </w:r>
          </w:p>
        </w:tc>
        <w:tc>
          <w:tcPr>
            <w:tcW w:type="dxa" w:w="576"/>
          </w:tcPr>
          <w:p>
            <w:r/>
            <w:r>
              <w:rPr>
                <w:rFonts w:ascii="Times New Roman" w:hAnsi="Times New Roman"/>
                <w:sz w:val="19"/>
              </w:rPr>
              <w:t>0.1538</w:t>
            </w:r>
          </w:p>
        </w:tc>
        <w:tc>
          <w:tcPr>
            <w:tcW w:type="dxa" w:w="576"/>
          </w:tcPr>
          <w:p>
            <w:r/>
            <w:r>
              <w:rPr>
                <w:rFonts w:ascii="Times New Roman" w:hAnsi="Times New Roman"/>
                <w:sz w:val="19"/>
              </w:rPr>
              <w:t>0.00721 (0.00081)</w:t>
            </w:r>
          </w:p>
        </w:tc>
        <w:tc>
          <w:tcPr>
            <w:tcW w:type="dxa" w:w="576"/>
          </w:tcPr>
          <w:p>
            <w:r/>
            <w:r>
              <w:rPr>
                <w:rFonts w:ascii="Times New Roman" w:hAnsi="Times New Roman"/>
                <w:sz w:val="19"/>
              </w:rPr>
              <w:t>3.12071 (0.95001)</w:t>
            </w:r>
          </w:p>
        </w:tc>
        <w:tc>
          <w:tcPr>
            <w:tcW w:type="dxa" w:w="576"/>
          </w:tcPr>
          <w:p>
            <w:r/>
            <w:r>
              <w:rPr>
                <w:rFonts w:ascii="Times New Roman" w:hAnsi="Times New Roman"/>
                <w:sz w:val="19"/>
              </w:rPr>
              <w:t>0.02248</w:t>
            </w:r>
          </w:p>
        </w:tc>
        <w:tc>
          <w:tcPr>
            <w:tcW w:type="dxa" w:w="576"/>
          </w:tcPr>
          <w:p>
            <w:r/>
            <w:r>
              <w:rPr>
                <w:rFonts w:ascii="Times New Roman" w:hAnsi="Times New Roman"/>
                <w:sz w:val="19"/>
              </w:rPr>
              <w:t>0.00730</w:t>
            </w:r>
          </w:p>
        </w:tc>
        <w:tc>
          <w:tcPr>
            <w:tcW w:type="dxa" w:w="576"/>
          </w:tcPr>
          <w:p>
            <w:r/>
            <w:r>
              <w:rPr>
                <w:rFonts w:ascii="Times New Roman" w:hAnsi="Times New Roman"/>
                <w:sz w:val="19"/>
              </w:rPr>
              <w:t>0.00721</w:t>
            </w:r>
          </w:p>
        </w:tc>
        <w:tc>
          <w:tcPr>
            <w:tcW w:type="dxa" w:w="576"/>
          </w:tcPr>
          <w:p>
            <w:r/>
            <w:r>
              <w:rPr>
                <w:rFonts w:ascii="Times New Roman" w:hAnsi="Times New Roman"/>
                <w:sz w:val="19"/>
              </w:rPr>
              <w:t>−1.1</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S267</w:t>
            </w:r>
          </w:p>
        </w:tc>
        <w:tc>
          <w:tcPr>
            <w:tcW w:type="dxa" w:w="576"/>
          </w:tcPr>
          <w:p>
            <w:r/>
            <w:r>
              <w:rPr>
                <w:rFonts w:ascii="Times New Roman" w:hAnsi="Times New Roman"/>
                <w:sz w:val="19"/>
              </w:rPr>
              <w:t>vitamin D → lipids → ocular disorders</w:t>
            </w:r>
          </w:p>
        </w:tc>
        <w:tc>
          <w:tcPr>
            <w:tcW w:type="dxa" w:w="576"/>
          </w:tcPr>
          <w:p>
            <w:r/>
            <w:r>
              <w:rPr>
                <w:rFonts w:ascii="Times New Roman" w:hAnsi="Times New Roman"/>
                <w:sz w:val="19"/>
              </w:rPr>
              <w:t>88</w:t>
            </w:r>
          </w:p>
        </w:tc>
        <w:tc>
          <w:tcPr>
            <w:tcW w:type="dxa" w:w="576"/>
          </w:tcPr>
          <w:p>
            <w:r/>
            <w:r>
              <w:rPr>
                <w:rFonts w:ascii="Times New Roman" w:hAnsi="Times New Roman"/>
                <w:sz w:val="19"/>
              </w:rPr>
              <w:t>53</w:t>
            </w:r>
          </w:p>
        </w:tc>
        <w:tc>
          <w:tcPr>
            <w:tcW w:type="dxa" w:w="576"/>
          </w:tcPr>
          <w:p>
            <w:r/>
            <w:r>
              <w:rPr>
                <w:rFonts w:ascii="Times New Roman" w:hAnsi="Times New Roman"/>
                <w:sz w:val="19"/>
              </w:rPr>
              <w:t>3</w:t>
            </w:r>
          </w:p>
        </w:tc>
        <w:tc>
          <w:tcPr>
            <w:tcW w:type="dxa" w:w="576"/>
          </w:tcPr>
          <w:p>
            <w:r/>
            <w:r>
              <w:rPr>
                <w:rFonts w:ascii="Times New Roman" w:hAnsi="Times New Roman"/>
                <w:sz w:val="19"/>
              </w:rPr>
              <w:t>0.0566</w:t>
            </w:r>
          </w:p>
        </w:tc>
        <w:tc>
          <w:tcPr>
            <w:tcW w:type="dxa" w:w="576"/>
          </w:tcPr>
          <w:p>
            <w:r/>
            <w:r>
              <w:rPr>
                <w:rFonts w:ascii="Times New Roman" w:hAnsi="Times New Roman"/>
                <w:sz w:val="19"/>
              </w:rPr>
              <w:t>−0.01081 (0.01407)</w:t>
            </w:r>
          </w:p>
        </w:tc>
        <w:tc>
          <w:tcPr>
            <w:tcW w:type="dxa" w:w="576"/>
          </w:tcPr>
          <w:p>
            <w:r/>
            <w:r>
              <w:rPr>
                <w:rFonts w:ascii="Times New Roman" w:hAnsi="Times New Roman"/>
                <w:sz w:val="19"/>
              </w:rPr>
              <w:t>−0.169 (0.05426)</w:t>
            </w:r>
          </w:p>
        </w:tc>
        <w:tc>
          <w:tcPr>
            <w:tcW w:type="dxa" w:w="576"/>
          </w:tcPr>
          <w:p>
            <w:r/>
            <w:r>
              <w:rPr>
                <w:rFonts w:ascii="Times New Roman" w:hAnsi="Times New Roman"/>
                <w:sz w:val="19"/>
              </w:rPr>
              <w:t>0.00183</w:t>
            </w:r>
          </w:p>
        </w:tc>
        <w:tc>
          <w:tcPr>
            <w:tcW w:type="dxa" w:w="576"/>
          </w:tcPr>
          <w:p>
            <w:r/>
            <w:r>
              <w:rPr>
                <w:rFonts w:ascii="Times New Roman" w:hAnsi="Times New Roman"/>
                <w:sz w:val="19"/>
              </w:rPr>
              <w:t>0.00245</w:t>
            </w:r>
          </w:p>
        </w:tc>
        <w:tc>
          <w:tcPr>
            <w:tcW w:type="dxa" w:w="576"/>
          </w:tcPr>
          <w:p>
            <w:r/>
            <w:r>
              <w:rPr>
                <w:rFonts w:ascii="Times New Roman" w:hAnsi="Times New Roman"/>
                <w:sz w:val="19"/>
              </w:rPr>
              <w:t>0.00241</w:t>
            </w:r>
          </w:p>
        </w:tc>
        <w:tc>
          <w:tcPr>
            <w:tcW w:type="dxa" w:w="576"/>
          </w:tcPr>
          <w:p>
            <w:r/>
            <w:r>
              <w:rPr>
                <w:rFonts w:ascii="Times New Roman" w:hAnsi="Times New Roman"/>
                <w:sz w:val="19"/>
              </w:rPr>
              <w:t>−1.6</w:t>
            </w:r>
          </w:p>
        </w:tc>
        <w:tc>
          <w:tcPr>
            <w:tcW w:type="dxa" w:w="576"/>
          </w:tcPr>
          <w:p>
            <w:r/>
            <w:r>
              <w:rPr>
                <w:rFonts w:ascii="Times New Roman" w:hAnsi="Times New Roman"/>
                <w:sz w:val="19"/>
              </w:rPr>
              <w:t>no</w:t>
            </w:r>
          </w:p>
        </w:tc>
        <w:tc>
          <w:tcPr>
            <w:tcW w:type="dxa" w:w="576"/>
          </w:tcPr>
          <w:p>
            <w:r/>
            <w:r>
              <w:rPr>
                <w:rFonts w:ascii="Times New Roman" w:hAnsi="Times New Roman"/>
                <w:sz w:val="19"/>
              </w:rPr>
              <w:t>no</w:t>
            </w:r>
          </w:p>
        </w:tc>
        <w:tc>
          <w:tcPr>
            <w:tcW w:type="dxa" w:w="576"/>
          </w:tcPr>
          <w:p>
            <w:r/>
            <w:r>
              <w:rPr>
                <w:rFonts w:ascii="Times New Roman" w:hAnsi="Times New Roman"/>
                <w:sz w:val="19"/>
              </w:rPr>
              <w:t>none</w:t>
            </w:r>
          </w:p>
        </w:tc>
      </w:tr>
      <w:tr>
        <w:tc>
          <w:tcPr>
            <w:tcW w:type="dxa" w:w="576"/>
          </w:tcPr>
          <w:p>
            <w:r/>
            <w:r>
              <w:rPr>
                <w:rFonts w:ascii="Times New Roman" w:hAnsi="Times New Roman"/>
                <w:sz w:val="19"/>
              </w:rPr>
              <w:t>S320*</w:t>
            </w:r>
          </w:p>
        </w:tc>
        <w:tc>
          <w:tcPr>
            <w:tcW w:type="dxa" w:w="576"/>
          </w:tcPr>
          <w:p>
            <w:r/>
            <w:r>
              <w:rPr>
                <w:rFonts w:ascii="Times New Roman" w:hAnsi="Times New Roman"/>
                <w:sz w:val="19"/>
              </w:rPr>
              <w:t>genes (eQTL/pQTL) → circulating metabolites → sepsis</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1.000</w:t>
            </w:r>
          </w:p>
        </w:tc>
        <w:tc>
          <w:tcPr>
            <w:tcW w:type="dxa" w:w="576"/>
          </w:tcPr>
          <w:p>
            <w:r/>
            <w:r>
              <w:rPr>
                <w:rFonts w:ascii="Times New Roman" w:hAnsi="Times New Roman"/>
                <w:sz w:val="19"/>
              </w:rPr>
              <w:t>1.000 (0.12449)</w:t>
            </w:r>
          </w:p>
        </w:tc>
        <w:tc>
          <w:tcPr>
            <w:tcW w:type="dxa" w:w="576"/>
          </w:tcPr>
          <w:p>
            <w:r/>
            <w:r>
              <w:rPr>
                <w:rFonts w:ascii="Times New Roman" w:hAnsi="Times New Roman"/>
                <w:sz w:val="19"/>
              </w:rPr>
              <w:t>3.39987 (1.79212)</w:t>
            </w:r>
          </w:p>
        </w:tc>
        <w:tc>
          <w:tcPr>
            <w:tcW w:type="dxa" w:w="576"/>
          </w:tcPr>
          <w:p>
            <w:r/>
            <w:r>
              <w:rPr>
                <w:rFonts w:ascii="Times New Roman" w:hAnsi="Times New Roman"/>
                <w:sz w:val="19"/>
              </w:rPr>
              <w:t>3.39987</w:t>
            </w:r>
          </w:p>
        </w:tc>
        <w:tc>
          <w:tcPr>
            <w:tcW w:type="dxa" w:w="576"/>
          </w:tcPr>
          <w:p>
            <w:r/>
            <w:r>
              <w:rPr>
                <w:rFonts w:ascii="Times New Roman" w:hAnsi="Times New Roman"/>
                <w:sz w:val="19"/>
              </w:rPr>
              <w:t>1.84142</w:t>
            </w:r>
          </w:p>
        </w:tc>
        <w:tc>
          <w:tcPr>
            <w:tcW w:type="dxa" w:w="576"/>
          </w:tcPr>
          <w:p>
            <w:r/>
            <w:r>
              <w:rPr>
                <w:rFonts w:ascii="Times New Roman" w:hAnsi="Times New Roman"/>
                <w:sz w:val="19"/>
              </w:rPr>
              <w:t>1.72112</w:t>
            </w:r>
          </w:p>
        </w:tc>
        <w:tc>
          <w:tcPr>
            <w:tcW w:type="dxa" w:w="576"/>
          </w:tcPr>
          <w:p>
            <w:r/>
            <w:r>
              <w:rPr>
                <w:rFonts w:ascii="Times New Roman" w:hAnsi="Times New Roman"/>
                <w:sz w:val="19"/>
              </w:rPr>
              <w:t>−6.5</w:t>
            </w:r>
          </w:p>
        </w:tc>
        <w:tc>
          <w:tcPr>
            <w:tcW w:type="dxa" w:w="576"/>
          </w:tcPr>
          <w:p>
            <w:r/>
            <w:r>
              <w:rPr>
                <w:rFonts w:ascii="Times New Roman" w:hAnsi="Times New Roman"/>
                <w:sz w:val="19"/>
              </w:rPr>
              <w:t>no</w:t>
            </w:r>
          </w:p>
        </w:tc>
        <w:tc>
          <w:tcPr>
            <w:tcW w:type="dxa" w:w="576"/>
          </w:tcPr>
          <w:p>
            <w:r/>
            <w:r>
              <w:rPr>
                <w:rFonts w:ascii="Times New Roman" w:hAnsi="Times New Roman"/>
                <w:sz w:val="19"/>
              </w:rPr>
              <w:t>yes</w:t>
            </w:r>
          </w:p>
        </w:tc>
        <w:tc>
          <w:tcPr>
            <w:tcW w:type="dxa" w:w="576"/>
          </w:tcPr>
          <w:p>
            <w:r/>
            <w:r>
              <w:rPr>
                <w:rFonts w:ascii="Times New Roman" w:hAnsi="Times New Roman"/>
                <w:sz w:val="19"/>
              </w:rPr>
              <w:t>gain*</w:t>
            </w:r>
          </w:p>
        </w:tc>
      </w:tr>
      <w:tr>
        <w:tc>
          <w:tcPr>
            <w:tcW w:type="dxa" w:w="576"/>
          </w:tcPr>
          <w:p>
            <w:r/>
            <w:r>
              <w:rPr>
                <w:rFonts w:ascii="Times New Roman" w:hAnsi="Times New Roman"/>
                <w:sz w:val="19"/>
              </w:rPr>
              <w:t>S293*</w:t>
            </w:r>
          </w:p>
        </w:tc>
        <w:tc>
          <w:tcPr>
            <w:tcW w:type="dxa" w:w="576"/>
          </w:tcPr>
          <w:p>
            <w:r/>
            <w:r>
              <w:rPr>
                <w:rFonts w:ascii="Times New Roman" w:hAnsi="Times New Roman"/>
                <w:sz w:val="19"/>
              </w:rPr>
              <w:t>BMI → 4907 plasma proteins → cardiometabolic</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1.000</w:t>
            </w:r>
          </w:p>
        </w:tc>
        <w:tc>
          <w:tcPr>
            <w:tcW w:type="dxa" w:w="576"/>
          </w:tcPr>
          <w:p>
            <w:r/>
            <w:r>
              <w:rPr>
                <w:rFonts w:ascii="Times New Roman" w:hAnsi="Times New Roman"/>
                <w:sz w:val="19"/>
              </w:rPr>
              <w:t>1.000 (0.10665)</w:t>
            </w:r>
          </w:p>
        </w:tc>
        <w:tc>
          <w:tcPr>
            <w:tcW w:type="dxa" w:w="576"/>
          </w:tcPr>
          <w:p>
            <w:r/>
            <w:r>
              <w:rPr>
                <w:rFonts w:ascii="Times New Roman" w:hAnsi="Times New Roman"/>
                <w:sz w:val="19"/>
              </w:rPr>
              <w:t>0.00415 (0.00148)</w:t>
            </w:r>
          </w:p>
        </w:tc>
        <w:tc>
          <w:tcPr>
            <w:tcW w:type="dxa" w:w="576"/>
          </w:tcPr>
          <w:p>
            <w:r/>
            <w:r>
              <w:rPr>
                <w:rFonts w:ascii="Times New Roman" w:hAnsi="Times New Roman"/>
                <w:sz w:val="19"/>
              </w:rPr>
              <w:t>0.00415</w:t>
            </w:r>
          </w:p>
        </w:tc>
        <w:tc>
          <w:tcPr>
            <w:tcW w:type="dxa" w:w="576"/>
          </w:tcPr>
          <w:p>
            <w:r/>
            <w:r>
              <w:rPr>
                <w:rFonts w:ascii="Times New Roman" w:hAnsi="Times New Roman"/>
                <w:sz w:val="19"/>
              </w:rPr>
              <w:t>0.00154</w:t>
            </w:r>
          </w:p>
        </w:tc>
        <w:tc>
          <w:tcPr>
            <w:tcW w:type="dxa" w:w="576"/>
          </w:tcPr>
          <w:p>
            <w:r/>
            <w:r>
              <w:rPr>
                <w:rFonts w:ascii="Times New Roman" w:hAnsi="Times New Roman"/>
                <w:sz w:val="19"/>
              </w:rPr>
              <w:t>0.00104</w:t>
            </w:r>
          </w:p>
        </w:tc>
        <w:tc>
          <w:tcPr>
            <w:tcW w:type="dxa" w:w="576"/>
          </w:tcPr>
          <w:p>
            <w:r/>
            <w:r>
              <w:rPr>
                <w:rFonts w:ascii="Times New Roman" w:hAnsi="Times New Roman"/>
                <w:sz w:val="19"/>
              </w:rPr>
              <w:t>−32.8</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bl>
    <w:p>
      <w:pPr>
        <w:jc w:val="left"/>
      </w:pPr>
      <w:r>
        <w:rPr>
          <w:rFonts w:ascii="Times New Roman" w:hAnsi="Times New Roman"/>
          <w:b/>
          <w:i/>
          <w:sz w:val="20"/>
        </w:rPr>
        <w:t>Table 3.</w:t>
      </w:r>
      <w:r>
        <w:rPr>
          <w:rFonts w:ascii="Times New Roman" w:hAnsi="Times New Roman"/>
          <w:b w:val="0"/>
          <w:sz w:val="20"/>
        </w:rPr>
        <w:t xml:space="preserve"> All-Python batch re-estimation of the seven published two-step MR mediation trios (of 108 re-estimated) with genuine instrument overlap, resolved directly from OpenGWAS summary statistics. π_shared and n_s are exact (extracted clumped instrument sets); α̂, β̂ and their SEs are re-estimated with harmonized fixed-effects IVW; widen_% is the S10 correction at ρ_MY = 0; negative = narrower. Significance two-sided at α = 0.05. *S320 and S293 are degenerate self-mediating designs (exposure ≡ mediator accession, α̂ = 1.0, π_shared = 1.0), flagged and not counted as substantive mediation evidence; S320's flip-gain is a boundary illustration of the §3.1.1 prediction, not a finding.</w:t>
      </w:r>
    </w:p>
    <w:p>
      <w:pPr>
        <w:ind w:firstLine="480"/>
        <w:jc w:val="both"/>
      </w:pPr>
      <w:r>
        <w:rPr>
          <w:rFonts w:ascii="Times New Roman" w:hAnsi="Times New Roman"/>
          <w:b w:val="0"/>
          <w:sz w:val="24"/>
        </w:rPr>
        <w:t>*Note (full):* S320 (ukb-d-1468_2 → ukb-d-1468_2 → ieu-b-69) and S293 (ebi-a-GCST90103751 → ebi-a-GCST90103751 → ebi-a-GCST90038634) are degenerate: exposure and mediator resolve to the identical GWAS accession, so α̂ = 1.0 exactly and π_shared = 1.0; they represent self-mediating (non-mediation) designs and are flagged, not counted as substantive mediation evidence. S320's flip-gain is reported as a boundary illustration of the §3.1.1 prediction (same-sign, π_shared = 1.0 → flip-gain), not as a finding. S267 was not estimable through TwoSampleMR (FinnGen harmonisation failure) but succeeded here. Five trios (S210, S173, S255, S291, S326) were skipped for accession-resolution or network errors.</w:t>
      </w:r>
    </w:p>
    <w:p>
      <w:pPr>
        <w:spacing w:before="200" w:after="80"/>
        <w:jc w:val="left"/>
      </w:pPr>
      <w:r>
        <w:rPr>
          <w:rFonts w:ascii="Times New Roman" w:hAnsi="Times New Roman"/>
          <w:b/>
          <w:sz w:val="24"/>
        </w:rPr>
        <w:t>3.4.1 Horizontal pleiotropy sensitivity</w:t>
      </w:r>
    </w:p>
    <w:p>
      <w:pPr>
        <w:ind w:firstLine="480"/>
        <w:jc w:val="both"/>
      </w:pPr>
      <w:r>
        <w:rPr>
          <w:rFonts w:ascii="Times New Roman" w:hAnsi="Times New Roman"/>
          <w:b w:val="0"/>
          <w:sz w:val="24"/>
        </w:rPr>
        <w:t>Because the Introduction advertises Egger regression and weighted-median estimation as pleiotropy-robust MR tools, we verified that horizontal pleiotropy does not distort the re-estimated α̂ or β̂ on which the covariance correction rests. For each of the five non-degenerate overlapping trios we ran, on both steps (X→M and M→Y), an MR-Egger intercept test (Bowden et al., 2017) and a weighted-median (WM) cross-check, using the clumped instruments already extracted for the re-estimation and harmonized effect sizes from OpenGWAS (script M4c, deposited). The covariance correction is a variance adjustment conditional on the point estimates; if pleiotropy reversed the sign of α̂ or β̂, the direction of Cov(α̂, β̂) — and therefore whether the correction narrows or widens — could change, so this is the relevant robustness check.</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9"/>
              </w:rPr>
              <w:t>Study</w:t>
            </w:r>
          </w:p>
        </w:tc>
        <w:tc>
          <w:tcPr>
            <w:tcW w:type="dxa" w:w="1234"/>
          </w:tcPr>
          <w:p>
            <w:r/>
            <w:r>
              <w:rPr>
                <w:rFonts w:ascii="Times New Roman" w:hAnsi="Times New Roman"/>
                <w:b/>
                <w:sz w:val="19"/>
              </w:rPr>
              <w:t>Step</w:t>
            </w:r>
          </w:p>
        </w:tc>
        <w:tc>
          <w:tcPr>
            <w:tcW w:type="dxa" w:w="1234"/>
          </w:tcPr>
          <w:p>
            <w:r/>
            <w:r>
              <w:rPr>
                <w:rFonts w:ascii="Times New Roman" w:hAnsi="Times New Roman"/>
                <w:b/>
                <w:sz w:val="19"/>
              </w:rPr>
              <w:t>n_IV</w:t>
            </w:r>
          </w:p>
        </w:tc>
        <w:tc>
          <w:tcPr>
            <w:tcW w:type="dxa" w:w="1234"/>
          </w:tcPr>
          <w:p>
            <w:r/>
            <w:r>
              <w:rPr>
                <w:rFonts w:ascii="Times New Roman" w:hAnsi="Times New Roman"/>
                <w:b/>
                <w:sz w:val="19"/>
              </w:rPr>
              <w:t>Egger β₀</w:t>
            </w:r>
          </w:p>
        </w:tc>
        <w:tc>
          <w:tcPr>
            <w:tcW w:type="dxa" w:w="1234"/>
          </w:tcPr>
          <w:p>
            <w:r/>
            <w:r>
              <w:rPr>
                <w:rFonts w:ascii="Times New Roman" w:hAnsi="Times New Roman"/>
                <w:b/>
                <w:sz w:val="19"/>
              </w:rPr>
              <w:t>p</w:t>
            </w:r>
          </w:p>
        </w:tc>
        <w:tc>
          <w:tcPr>
            <w:tcW w:type="dxa" w:w="1234"/>
          </w:tcPr>
          <w:p>
            <w:r/>
            <w:r>
              <w:rPr>
                <w:rFonts w:ascii="Times New Roman" w:hAnsi="Times New Roman"/>
                <w:b/>
                <w:sz w:val="19"/>
              </w:rPr>
              <w:t>WM slope</w:t>
            </w:r>
          </w:p>
        </w:tc>
        <w:tc>
          <w:tcPr>
            <w:tcW w:type="dxa" w:w="1234"/>
          </w:tcPr>
          <w:p>
            <w:r/>
            <w:r>
              <w:rPr>
                <w:rFonts w:ascii="Times New Roman" w:hAnsi="Times New Roman"/>
                <w:b/>
                <w:sz w:val="19"/>
              </w:rPr>
              <w:t>Sign agrees</w:t>
            </w:r>
          </w:p>
        </w:tc>
      </w:tr>
      <w:tr>
        <w:tc>
          <w:tcPr>
            <w:tcW w:type="dxa" w:w="1234"/>
          </w:tcPr>
          <w:p>
            <w:r/>
            <w:r>
              <w:rPr>
                <w:rFonts w:ascii="Times New Roman" w:hAnsi="Times New Roman"/>
                <w:sz w:val="19"/>
              </w:rPr>
              <w:t>S014</w:t>
            </w:r>
          </w:p>
        </w:tc>
        <w:tc>
          <w:tcPr>
            <w:tcW w:type="dxa" w:w="1234"/>
          </w:tcPr>
          <w:p>
            <w:r/>
            <w:r>
              <w:rPr>
                <w:rFonts w:ascii="Times New Roman" w:hAnsi="Times New Roman"/>
                <w:sz w:val="19"/>
              </w:rPr>
              <w:t>X→M</w:t>
            </w:r>
          </w:p>
        </w:tc>
        <w:tc>
          <w:tcPr>
            <w:tcW w:type="dxa" w:w="1234"/>
          </w:tcPr>
          <w:p>
            <w:r/>
            <w:r>
              <w:rPr>
                <w:rFonts w:ascii="Times New Roman" w:hAnsi="Times New Roman"/>
                <w:sz w:val="19"/>
              </w:rPr>
              <w:t>17</w:t>
            </w:r>
          </w:p>
        </w:tc>
        <w:tc>
          <w:tcPr>
            <w:tcW w:type="dxa" w:w="1234"/>
          </w:tcPr>
          <w:p>
            <w:r/>
            <w:r>
              <w:rPr>
                <w:rFonts w:ascii="Times New Roman" w:hAnsi="Times New Roman"/>
                <w:sz w:val="19"/>
              </w:rPr>
              <w:t>−0.0004</w:t>
            </w:r>
          </w:p>
        </w:tc>
        <w:tc>
          <w:tcPr>
            <w:tcW w:type="dxa" w:w="1234"/>
          </w:tcPr>
          <w:p>
            <w:r/>
            <w:r>
              <w:rPr>
                <w:rFonts w:ascii="Times New Roman" w:hAnsi="Times New Roman"/>
                <w:sz w:val="19"/>
              </w:rPr>
              <w:t>0.73</w:t>
            </w:r>
          </w:p>
        </w:tc>
        <w:tc>
          <w:tcPr>
            <w:tcW w:type="dxa" w:w="1234"/>
          </w:tcPr>
          <w:p>
            <w:r/>
            <w:r>
              <w:rPr>
                <w:rFonts w:ascii="Times New Roman" w:hAnsi="Times New Roman"/>
                <w:sz w:val="19"/>
              </w:rPr>
              <w:t>−0.0021</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S014</w:t>
            </w:r>
          </w:p>
        </w:tc>
        <w:tc>
          <w:tcPr>
            <w:tcW w:type="dxa" w:w="1234"/>
          </w:tcPr>
          <w:p>
            <w:r/>
            <w:r>
              <w:rPr>
                <w:rFonts w:ascii="Times New Roman" w:hAnsi="Times New Roman"/>
                <w:sz w:val="19"/>
              </w:rPr>
              <w:t>M→Y</w:t>
            </w:r>
          </w:p>
        </w:tc>
        <w:tc>
          <w:tcPr>
            <w:tcW w:type="dxa" w:w="1234"/>
          </w:tcPr>
          <w:p>
            <w:r/>
            <w:r>
              <w:rPr>
                <w:rFonts w:ascii="Times New Roman" w:hAnsi="Times New Roman"/>
                <w:sz w:val="19"/>
              </w:rPr>
              <w:t>203</w:t>
            </w:r>
          </w:p>
        </w:tc>
        <w:tc>
          <w:tcPr>
            <w:tcW w:type="dxa" w:w="1234"/>
          </w:tcPr>
          <w:p>
            <w:r/>
            <w:r>
              <w:rPr>
                <w:rFonts w:ascii="Times New Roman" w:hAnsi="Times New Roman"/>
                <w:sz w:val="19"/>
              </w:rPr>
              <w:t>0.0001</w:t>
            </w:r>
          </w:p>
        </w:tc>
        <w:tc>
          <w:tcPr>
            <w:tcW w:type="dxa" w:w="1234"/>
          </w:tcPr>
          <w:p>
            <w:r/>
            <w:r>
              <w:rPr>
                <w:rFonts w:ascii="Times New Roman" w:hAnsi="Times New Roman"/>
                <w:sz w:val="19"/>
              </w:rPr>
              <w:t>1.0e-3</w:t>
            </w:r>
          </w:p>
        </w:tc>
        <w:tc>
          <w:tcPr>
            <w:tcW w:type="dxa" w:w="1234"/>
          </w:tcPr>
          <w:p>
            <w:r/>
            <w:r>
              <w:rPr>
                <w:rFonts w:ascii="Times New Roman" w:hAnsi="Times New Roman"/>
                <w:sz w:val="19"/>
              </w:rPr>
              <w:t>0.2856</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S137</w:t>
            </w:r>
          </w:p>
        </w:tc>
        <w:tc>
          <w:tcPr>
            <w:tcW w:type="dxa" w:w="1234"/>
          </w:tcPr>
          <w:p>
            <w:r/>
            <w:r>
              <w:rPr>
                <w:rFonts w:ascii="Times New Roman" w:hAnsi="Times New Roman"/>
                <w:sz w:val="19"/>
              </w:rPr>
              <w:t>X→M</w:t>
            </w:r>
          </w:p>
        </w:tc>
        <w:tc>
          <w:tcPr>
            <w:tcW w:type="dxa" w:w="1234"/>
          </w:tcPr>
          <w:p>
            <w:r/>
            <w:r>
              <w:rPr>
                <w:rFonts w:ascii="Times New Roman" w:hAnsi="Times New Roman"/>
                <w:sz w:val="19"/>
              </w:rPr>
              <w:t>27</w:t>
            </w:r>
          </w:p>
        </w:tc>
        <w:tc>
          <w:tcPr>
            <w:tcW w:type="dxa" w:w="1234"/>
          </w:tcPr>
          <w:p>
            <w:r/>
            <w:r>
              <w:rPr>
                <w:rFonts w:ascii="Times New Roman" w:hAnsi="Times New Roman"/>
                <w:sz w:val="19"/>
              </w:rPr>
              <w:t>−0.0011</w:t>
            </w:r>
          </w:p>
        </w:tc>
        <w:tc>
          <w:tcPr>
            <w:tcW w:type="dxa" w:w="1234"/>
          </w:tcPr>
          <w:p>
            <w:r/>
            <w:r>
              <w:rPr>
                <w:rFonts w:ascii="Times New Roman" w:hAnsi="Times New Roman"/>
                <w:sz w:val="19"/>
              </w:rPr>
              <w:t>0.58</w:t>
            </w:r>
          </w:p>
        </w:tc>
        <w:tc>
          <w:tcPr>
            <w:tcW w:type="dxa" w:w="1234"/>
          </w:tcPr>
          <w:p>
            <w:r/>
            <w:r>
              <w:rPr>
                <w:rFonts w:ascii="Times New Roman" w:hAnsi="Times New Roman"/>
                <w:sz w:val="19"/>
              </w:rPr>
              <w:t>0.0524</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S137</w:t>
            </w:r>
          </w:p>
        </w:tc>
        <w:tc>
          <w:tcPr>
            <w:tcW w:type="dxa" w:w="1234"/>
          </w:tcPr>
          <w:p>
            <w:r/>
            <w:r>
              <w:rPr>
                <w:rFonts w:ascii="Times New Roman" w:hAnsi="Times New Roman"/>
                <w:sz w:val="19"/>
              </w:rPr>
              <w:t>M→Y</w:t>
            </w:r>
          </w:p>
        </w:tc>
        <w:tc>
          <w:tcPr>
            <w:tcW w:type="dxa" w:w="1234"/>
          </w:tcPr>
          <w:p>
            <w:r/>
            <w:r>
              <w:rPr>
                <w:rFonts w:ascii="Times New Roman" w:hAnsi="Times New Roman"/>
                <w:sz w:val="19"/>
              </w:rPr>
              <w:t>220</w:t>
            </w:r>
          </w:p>
        </w:tc>
        <w:tc>
          <w:tcPr>
            <w:tcW w:type="dxa" w:w="1234"/>
          </w:tcPr>
          <w:p>
            <w:r/>
            <w:r>
              <w:rPr>
                <w:rFonts w:ascii="Times New Roman" w:hAnsi="Times New Roman"/>
                <w:sz w:val="19"/>
              </w:rPr>
              <w:t>0.0000</w:t>
            </w:r>
          </w:p>
        </w:tc>
        <w:tc>
          <w:tcPr>
            <w:tcW w:type="dxa" w:w="1234"/>
          </w:tcPr>
          <w:p>
            <w:r/>
            <w:r>
              <w:rPr>
                <w:rFonts w:ascii="Times New Roman" w:hAnsi="Times New Roman"/>
                <w:sz w:val="19"/>
              </w:rPr>
              <w:t>0.58</w:t>
            </w:r>
          </w:p>
        </w:tc>
        <w:tc>
          <w:tcPr>
            <w:tcW w:type="dxa" w:w="1234"/>
          </w:tcPr>
          <w:p>
            <w:r/>
            <w:r>
              <w:rPr>
                <w:rFonts w:ascii="Times New Roman" w:hAnsi="Times New Roman"/>
                <w:sz w:val="19"/>
              </w:rPr>
              <w:t>−0.0143</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S217</w:t>
            </w:r>
          </w:p>
        </w:tc>
        <w:tc>
          <w:tcPr>
            <w:tcW w:type="dxa" w:w="1234"/>
          </w:tcPr>
          <w:p>
            <w:r/>
            <w:r>
              <w:rPr>
                <w:rFonts w:ascii="Times New Roman" w:hAnsi="Times New Roman"/>
                <w:sz w:val="19"/>
              </w:rPr>
              <w:t>X→M</w:t>
            </w:r>
          </w:p>
        </w:tc>
        <w:tc>
          <w:tcPr>
            <w:tcW w:type="dxa" w:w="1234"/>
          </w:tcPr>
          <w:p>
            <w:r/>
            <w:r>
              <w:rPr>
                <w:rFonts w:ascii="Times New Roman" w:hAnsi="Times New Roman"/>
                <w:sz w:val="19"/>
              </w:rPr>
              <w:t>6</w:t>
            </w:r>
          </w:p>
        </w:tc>
        <w:tc>
          <w:tcPr>
            <w:tcW w:type="dxa" w:w="1234"/>
          </w:tcPr>
          <w:p>
            <w:r/>
            <w:r>
              <w:rPr>
                <w:rFonts w:ascii="Times New Roman" w:hAnsi="Times New Roman"/>
                <w:sz w:val="19"/>
              </w:rPr>
              <w:t>0.0039</w:t>
            </w:r>
          </w:p>
        </w:tc>
        <w:tc>
          <w:tcPr>
            <w:tcW w:type="dxa" w:w="1234"/>
          </w:tcPr>
          <w:p>
            <w:r/>
            <w:r>
              <w:rPr>
                <w:rFonts w:ascii="Times New Roman" w:hAnsi="Times New Roman"/>
                <w:sz w:val="19"/>
              </w:rPr>
              <w:t>0.93</w:t>
            </w:r>
          </w:p>
        </w:tc>
        <w:tc>
          <w:tcPr>
            <w:tcW w:type="dxa" w:w="1234"/>
          </w:tcPr>
          <w:p>
            <w:r/>
            <w:r>
              <w:rPr>
                <w:rFonts w:ascii="Times New Roman" w:hAnsi="Times New Roman"/>
                <w:sz w:val="19"/>
              </w:rPr>
              <w:t>60.8063</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S217</w:t>
            </w:r>
          </w:p>
        </w:tc>
        <w:tc>
          <w:tcPr>
            <w:tcW w:type="dxa" w:w="1234"/>
          </w:tcPr>
          <w:p>
            <w:r/>
            <w:r>
              <w:rPr>
                <w:rFonts w:ascii="Times New Roman" w:hAnsi="Times New Roman"/>
                <w:sz w:val="19"/>
              </w:rPr>
              <w:t>M→Y</w:t>
            </w:r>
          </w:p>
        </w:tc>
        <w:tc>
          <w:tcPr>
            <w:tcW w:type="dxa" w:w="1234"/>
          </w:tcPr>
          <w:p>
            <w:r/>
            <w:r>
              <w:rPr>
                <w:rFonts w:ascii="Times New Roman" w:hAnsi="Times New Roman"/>
                <w:sz w:val="19"/>
              </w:rPr>
              <w:t>10</w:t>
            </w:r>
          </w:p>
        </w:tc>
        <w:tc>
          <w:tcPr>
            <w:tcW w:type="dxa" w:w="1234"/>
          </w:tcPr>
          <w:p>
            <w:r/>
            <w:r>
              <w:rPr>
                <w:rFonts w:ascii="Times New Roman" w:hAnsi="Times New Roman"/>
                <w:sz w:val="19"/>
              </w:rPr>
              <w:t>−0.0170</w:t>
            </w:r>
          </w:p>
        </w:tc>
        <w:tc>
          <w:tcPr>
            <w:tcW w:type="dxa" w:w="1234"/>
          </w:tcPr>
          <w:p>
            <w:r/>
            <w:r>
              <w:rPr>
                <w:rFonts w:ascii="Times New Roman" w:hAnsi="Times New Roman"/>
                <w:sz w:val="19"/>
              </w:rPr>
              <w:t>2.7e-4</w:t>
            </w:r>
          </w:p>
        </w:tc>
        <w:tc>
          <w:tcPr>
            <w:tcW w:type="dxa" w:w="1234"/>
          </w:tcPr>
          <w:p>
            <w:r/>
            <w:r>
              <w:rPr>
                <w:rFonts w:ascii="Times New Roman" w:hAnsi="Times New Roman"/>
                <w:sz w:val="19"/>
              </w:rPr>
              <w:t>0.3345</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S273</w:t>
            </w:r>
          </w:p>
        </w:tc>
        <w:tc>
          <w:tcPr>
            <w:tcW w:type="dxa" w:w="1234"/>
          </w:tcPr>
          <w:p>
            <w:r/>
            <w:r>
              <w:rPr>
                <w:rFonts w:ascii="Times New Roman" w:hAnsi="Times New Roman"/>
                <w:sz w:val="19"/>
              </w:rPr>
              <w:t>X→M</w:t>
            </w:r>
          </w:p>
        </w:tc>
        <w:tc>
          <w:tcPr>
            <w:tcW w:type="dxa" w:w="1234"/>
          </w:tcPr>
          <w:p>
            <w:r/>
            <w:r>
              <w:rPr>
                <w:rFonts w:ascii="Times New Roman" w:hAnsi="Times New Roman"/>
                <w:sz w:val="19"/>
              </w:rPr>
              <w:t>439</w:t>
            </w:r>
          </w:p>
        </w:tc>
        <w:tc>
          <w:tcPr>
            <w:tcW w:type="dxa" w:w="1234"/>
          </w:tcPr>
          <w:p>
            <w:r/>
            <w:r>
              <w:rPr>
                <w:rFonts w:ascii="Times New Roman" w:hAnsi="Times New Roman"/>
                <w:sz w:val="19"/>
              </w:rPr>
              <w:t>0.0000</w:t>
            </w:r>
          </w:p>
        </w:tc>
        <w:tc>
          <w:tcPr>
            <w:tcW w:type="dxa" w:w="1234"/>
          </w:tcPr>
          <w:p>
            <w:r/>
            <w:r>
              <w:rPr>
                <w:rFonts w:ascii="Times New Roman" w:hAnsi="Times New Roman"/>
                <w:sz w:val="19"/>
              </w:rPr>
              <w:t>4.2e-3</w:t>
            </w:r>
          </w:p>
        </w:tc>
        <w:tc>
          <w:tcPr>
            <w:tcW w:type="dxa" w:w="1234"/>
          </w:tcPr>
          <w:p>
            <w:r/>
            <w:r>
              <w:rPr>
                <w:rFonts w:ascii="Times New Roman" w:hAnsi="Times New Roman"/>
                <w:sz w:val="19"/>
              </w:rPr>
              <w:t>−0.0258</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S273</w:t>
            </w:r>
          </w:p>
        </w:tc>
        <w:tc>
          <w:tcPr>
            <w:tcW w:type="dxa" w:w="1234"/>
          </w:tcPr>
          <w:p>
            <w:r/>
            <w:r>
              <w:rPr>
                <w:rFonts w:ascii="Times New Roman" w:hAnsi="Times New Roman"/>
                <w:sz w:val="19"/>
              </w:rPr>
              <w:t>M→Y</w:t>
            </w:r>
          </w:p>
        </w:tc>
        <w:tc>
          <w:tcPr>
            <w:tcW w:type="dxa" w:w="1234"/>
          </w:tcPr>
          <w:p>
            <w:r/>
            <w:r>
              <w:rPr>
                <w:rFonts w:ascii="Times New Roman" w:hAnsi="Times New Roman"/>
                <w:sz w:val="19"/>
              </w:rPr>
              <w:t>13</w:t>
            </w:r>
          </w:p>
        </w:tc>
        <w:tc>
          <w:tcPr>
            <w:tcW w:type="dxa" w:w="1234"/>
          </w:tcPr>
          <w:p>
            <w:r/>
            <w:r>
              <w:rPr>
                <w:rFonts w:ascii="Times New Roman" w:hAnsi="Times New Roman"/>
                <w:sz w:val="19"/>
              </w:rPr>
              <w:t>−0.0012</w:t>
            </w:r>
          </w:p>
        </w:tc>
        <w:tc>
          <w:tcPr>
            <w:tcW w:type="dxa" w:w="1234"/>
          </w:tcPr>
          <w:p>
            <w:r/>
            <w:r>
              <w:rPr>
                <w:rFonts w:ascii="Times New Roman" w:hAnsi="Times New Roman"/>
                <w:sz w:val="19"/>
              </w:rPr>
              <w:t>0.87</w:t>
            </w:r>
          </w:p>
        </w:tc>
        <w:tc>
          <w:tcPr>
            <w:tcW w:type="dxa" w:w="1234"/>
          </w:tcPr>
          <w:p>
            <w:r/>
            <w:r>
              <w:rPr>
                <w:rFonts w:ascii="Times New Roman" w:hAnsi="Times New Roman"/>
                <w:sz w:val="19"/>
              </w:rPr>
              <w:t>2.4023</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S267</w:t>
            </w:r>
          </w:p>
        </w:tc>
        <w:tc>
          <w:tcPr>
            <w:tcW w:type="dxa" w:w="1234"/>
          </w:tcPr>
          <w:p>
            <w:r/>
            <w:r>
              <w:rPr>
                <w:rFonts w:ascii="Times New Roman" w:hAnsi="Times New Roman"/>
                <w:sz w:val="19"/>
              </w:rPr>
              <w:t>X→M</w:t>
            </w:r>
          </w:p>
        </w:tc>
        <w:tc>
          <w:tcPr>
            <w:tcW w:type="dxa" w:w="1234"/>
          </w:tcPr>
          <w:p>
            <w:r/>
            <w:r>
              <w:rPr>
                <w:rFonts w:ascii="Times New Roman" w:hAnsi="Times New Roman"/>
                <w:sz w:val="19"/>
              </w:rPr>
              <w:t>88</w:t>
            </w:r>
          </w:p>
        </w:tc>
        <w:tc>
          <w:tcPr>
            <w:tcW w:type="dxa" w:w="1234"/>
          </w:tcPr>
          <w:p>
            <w:r/>
            <w:r>
              <w:rPr>
                <w:rFonts w:ascii="Times New Roman" w:hAnsi="Times New Roman"/>
                <w:sz w:val="19"/>
              </w:rPr>
              <w:t>−0.0012</w:t>
            </w:r>
          </w:p>
        </w:tc>
        <w:tc>
          <w:tcPr>
            <w:tcW w:type="dxa" w:w="1234"/>
          </w:tcPr>
          <w:p>
            <w:r/>
            <w:r>
              <w:rPr>
                <w:rFonts w:ascii="Times New Roman" w:hAnsi="Times New Roman"/>
                <w:sz w:val="19"/>
              </w:rPr>
              <w:t>0.74</w:t>
            </w:r>
          </w:p>
        </w:tc>
        <w:tc>
          <w:tcPr>
            <w:tcW w:type="dxa" w:w="1234"/>
          </w:tcPr>
          <w:p>
            <w:r/>
            <w:r>
              <w:rPr>
                <w:rFonts w:ascii="Times New Roman" w:hAnsi="Times New Roman"/>
                <w:sz w:val="19"/>
              </w:rPr>
              <w:t>−1.9002</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S267</w:t>
            </w:r>
          </w:p>
        </w:tc>
        <w:tc>
          <w:tcPr>
            <w:tcW w:type="dxa" w:w="1234"/>
          </w:tcPr>
          <w:p>
            <w:r/>
            <w:r>
              <w:rPr>
                <w:rFonts w:ascii="Times New Roman" w:hAnsi="Times New Roman"/>
                <w:sz w:val="19"/>
              </w:rPr>
              <w:t>M→Y</w:t>
            </w:r>
          </w:p>
        </w:tc>
        <w:tc>
          <w:tcPr>
            <w:tcW w:type="dxa" w:w="1234"/>
          </w:tcPr>
          <w:p>
            <w:r/>
            <w:r>
              <w:rPr>
                <w:rFonts w:ascii="Times New Roman" w:hAnsi="Times New Roman"/>
                <w:sz w:val="19"/>
              </w:rPr>
              <w:t>47</w:t>
            </w:r>
          </w:p>
        </w:tc>
        <w:tc>
          <w:tcPr>
            <w:tcW w:type="dxa" w:w="1234"/>
          </w:tcPr>
          <w:p>
            <w:r/>
            <w:r>
              <w:rPr>
                <w:rFonts w:ascii="Times New Roman" w:hAnsi="Times New Roman"/>
                <w:sz w:val="19"/>
              </w:rPr>
              <w:t>0.0029</w:t>
            </w:r>
          </w:p>
        </w:tc>
        <w:tc>
          <w:tcPr>
            <w:tcW w:type="dxa" w:w="1234"/>
          </w:tcPr>
          <w:p>
            <w:r/>
            <w:r>
              <w:rPr>
                <w:rFonts w:ascii="Times New Roman" w:hAnsi="Times New Roman"/>
                <w:sz w:val="19"/>
              </w:rPr>
              <w:t>0.20</w:t>
            </w:r>
          </w:p>
        </w:tc>
        <w:tc>
          <w:tcPr>
            <w:tcW w:type="dxa" w:w="1234"/>
          </w:tcPr>
          <w:p>
            <w:r/>
            <w:r>
              <w:rPr>
                <w:rFonts w:ascii="Times New Roman" w:hAnsi="Times New Roman"/>
                <w:sz w:val="19"/>
              </w:rPr>
              <w:t>−0.6870</w:t>
            </w:r>
          </w:p>
        </w:tc>
        <w:tc>
          <w:tcPr>
            <w:tcW w:type="dxa" w:w="1234"/>
          </w:tcPr>
          <w:p>
            <w:r/>
            <w:r>
              <w:rPr>
                <w:rFonts w:ascii="Times New Roman" w:hAnsi="Times New Roman"/>
                <w:sz w:val="19"/>
              </w:rPr>
              <w:t>yes</w:t>
            </w:r>
          </w:p>
        </w:tc>
      </w:tr>
    </w:tbl>
    <w:p>
      <w:pPr>
        <w:jc w:val="left"/>
      </w:pPr>
      <w:r>
        <w:rPr>
          <w:rFonts w:ascii="Times New Roman" w:hAnsi="Times New Roman"/>
          <w:b/>
          <w:i/>
          <w:sz w:val="20"/>
        </w:rPr>
        <w:t>Table 3c.</w:t>
      </w:r>
      <w:r>
        <w:rPr>
          <w:rFonts w:ascii="Times New Roman" w:hAnsi="Times New Roman"/>
          <w:b w:val="0"/>
          <w:sz w:val="20"/>
        </w:rPr>
        <w:t xml:space="preserve"> Horizontal-pleiotropy sensitivity for the five non-degenerate overlapping trios. Egger intercept β₀ tests directional pleiotropy (|β₀| is the practically relevant magnitude; p is reported but is inflated by large n when β₀ ≈ 0). WM = weighted-median slope. "Sign agrees" compares the WM slope with the IVW point estimate of the same step.</w:t>
      </w:r>
    </w:p>
    <w:p>
      <w:pPr>
        <w:ind w:firstLine="480"/>
        <w:jc w:val="both"/>
      </w:pPr>
      <w:r>
        <w:rPr>
          <w:rFonts w:ascii="Times New Roman" w:hAnsi="Times New Roman"/>
          <w:b w:val="0"/>
          <w:sz w:val="24"/>
        </w:rPr>
        <w:t>Across all ten step-level tests the weighted-median slope agrees in sign with the IVW estimate, so no horizontal pleiotropy reverses the direction of α̂ or β̂. Three tests carry p &lt; 0.05, but in two of them (S014 M→Y, S273 X→M) the Egger intercept is effectively zero (|β₀| ≤ 1.3×10⁻⁴), so the significant p reflects the large instrument count rather than meaningful directional pleiotropy. The remaining signal, S217 M→Y (β₀ = −0.017, n_IV = 10), has too few instruments for a stable Egger test; here the WM slope (0.33) is larger than but same-signed as the IVW estimate (0.20), so even allowing for possible pleiotropy the β̂ direction is unchanged. We therefore conclude that horizontal pleiotropy does not overturn the sign of either product component in any resolvable trio, and the observed CI-narrowing of the covariance correction is robust to it. (The correction itself does not remove pleiotropy bias in the point estimate; it corrects the *variance* of the product given the IVW estimates, which is what the literature currently omits.) The degenerate self-mediating trios S320/S293 (α̂ = 1.0) are excluded as before.</w:t>
      </w:r>
    </w:p>
    <w:p>
      <w:pPr>
        <w:spacing w:before="200" w:after="80"/>
        <w:jc w:val="left"/>
      </w:pPr>
      <w:r>
        <w:rPr>
          <w:rFonts w:ascii="Times New Roman" w:hAnsi="Times New Roman"/>
          <w:b/>
          <w:sz w:val="24"/>
        </w:rPr>
        <w:t>3.5 Empirical ρ_MY in the overlapping trios</w:t>
      </w:r>
    </w:p>
    <w:p>
      <w:pPr>
        <w:ind w:firstLine="480"/>
        <w:jc w:val="both"/>
      </w:pPr>
      <w:r>
        <w:rPr>
          <w:rFonts w:ascii="Times New Roman" w:hAnsi="Times New Roman"/>
          <w:b w:val="0"/>
          <w:sz w:val="24"/>
        </w:rPr>
        <w:t xml:space="preserve">Treating ρ_MY as 0 leaves the central warning theoretical; we therefore estimated it empirically for the overlapping trios as genetic concordance at the instrumental SNPs (six resolved through the TwoSampleMR-compatible ρ_MY scan in Table 3b; the all-Python batch in §3.4 recovers five of these non-degenerate trios plus two additional degenerate self-mediating trios, S320/S293, excluded from the ρ_MY scan because exposure ≡ mediator). In </w:t>
      </w:r>
      <w:r>
        <w:rPr>
          <w:rFonts w:ascii="Times New Roman" w:hAnsi="Times New Roman"/>
          <w:b/>
          <w:sz w:val="24"/>
        </w:rPr>
        <w:t>five of six</w:t>
      </w:r>
      <w:r>
        <w:rPr>
          <w:rFonts w:ascii="Times New Roman" w:hAnsi="Times New Roman"/>
          <w:b w:val="0"/>
          <w:sz w:val="24"/>
        </w:rPr>
        <w:t xml:space="preserve"> trios the mediator and outcome are genetically concordant in the same direction (ρ_g up to +0.81; the single negative case, S267, a UKB–FinnGen pair whose 95% CI includes zero), and four of six draw both mediator and outcome from UK Biobank-derived GWAS (substantial sample overlap). </w:t>
      </w:r>
      <w:r>
        <w:rPr>
          <w:rFonts w:ascii="Times New Roman" w:hAnsi="Times New Roman"/>
          <w:b/>
          <w:sz w:val="24"/>
        </w:rPr>
        <w:t>Despite uniformly positive (or high-overlap) ρ_MY, re-entering the empirical values narrowed every corrected CI by at most 0.4 percentage points with zero flips</w:t>
      </w:r>
      <w:r>
        <w:rPr>
          <w:rFonts w:ascii="Times New Roman" w:hAnsi="Times New Roman"/>
          <w:b w:val="0"/>
          <w:sz w:val="24"/>
        </w:rPr>
        <w:t xml:space="preserve"> (Table 3b); a worst-case substitution of each trio's ρ_g 95% CI upper bound leaves the conclusion unchanged. The reason is structural (Proposition S2.5): a shared SNP's larger effect on M shrinks its M → Y ratio, making Cov(α̂, β̂) provably negative whenever α̂ and β̂ share a sign — which dominates the positive ρ_MY contribution for the small shared counts realized (n_s = 1–3). The correction therefore narrows by mechanism, not luck, converting the theoretical "ρ_MY &gt; 0 widens" statement into an observed fact. We note the caveat that the local ρ_MY estimated on n_s = 1–3 instruments carries wide sampling uncertainty (e.g., S217, n_s = 1, has ρ_g 95% CI [0.37, 0.95]); the empirical ρ_MY distribution should therefore be read as indicative, not precise. Crucially, this instability does not weaken the narrowing conclusion, because the sign of the omitted covariance in the realized trios is dominated by sign(α̂β̂) through Proposition S2.5 (an instrument-overlap effect) rather than by the exact value of ρ_MY, so the worst-case upper-CI substitution in Table 3b leaves every conclusion unchanged.</w:t>
      </w:r>
    </w:p>
    <w:tbl>
      <w:tblPr>
        <w:tblStyle w:val="TableGrid"/>
        <w:tblW w:type="auto" w:w="0"/>
        <w:jc w:val="center"/>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
              <w:rPr>
                <w:rFonts w:ascii="Times New Roman" w:hAnsi="Times New Roman"/>
                <w:b/>
                <w:sz w:val="19"/>
              </w:rPr>
              <w:t>Study</w:t>
            </w:r>
          </w:p>
        </w:tc>
        <w:tc>
          <w:tcPr>
            <w:tcW w:type="dxa" w:w="665"/>
          </w:tcPr>
          <w:p>
            <w:r/>
            <w:r>
              <w:rPr>
                <w:rFonts w:ascii="Times New Roman" w:hAnsi="Times New Roman"/>
                <w:b/>
                <w:sz w:val="19"/>
              </w:rPr>
              <w:t>Pathway (X → M → Y)</w:t>
            </w:r>
          </w:p>
        </w:tc>
        <w:tc>
          <w:tcPr>
            <w:tcW w:type="dxa" w:w="665"/>
          </w:tcPr>
          <w:p>
            <w:r/>
            <w:r>
              <w:rPr>
                <w:rFonts w:ascii="Times New Roman" w:hAnsi="Times New Roman"/>
                <w:b/>
                <w:sz w:val="19"/>
              </w:rPr>
              <w:t>n_s</w:t>
            </w:r>
          </w:p>
        </w:tc>
        <w:tc>
          <w:tcPr>
            <w:tcW w:type="dxa" w:w="665"/>
          </w:tcPr>
          <w:p>
            <w:r/>
            <w:r>
              <w:rPr>
                <w:rFonts w:ascii="Times New Roman" w:hAnsi="Times New Roman"/>
                <w:b/>
                <w:sz w:val="19"/>
              </w:rPr>
              <w:t>ρ_g (primary)</w:t>
            </w:r>
          </w:p>
        </w:tc>
        <w:tc>
          <w:tcPr>
            <w:tcW w:type="dxa" w:w="665"/>
          </w:tcPr>
          <w:p>
            <w:r/>
            <w:r>
              <w:rPr>
                <w:rFonts w:ascii="Times New Roman" w:hAnsi="Times New Roman"/>
                <w:b/>
                <w:sz w:val="19"/>
              </w:rPr>
              <w:t>95% CI</w:t>
            </w:r>
          </w:p>
        </w:tc>
        <w:tc>
          <w:tcPr>
            <w:tcW w:type="dxa" w:w="665"/>
          </w:tcPr>
          <w:p>
            <w:r/>
            <w:r>
              <w:rPr>
                <w:rFonts w:ascii="Times New Roman" w:hAnsi="Times New Roman"/>
                <w:b/>
                <w:sz w:val="19"/>
              </w:rPr>
              <w:t>ρ_g (residualized)</w:t>
            </w:r>
          </w:p>
        </w:tc>
        <w:tc>
          <w:tcPr>
            <w:tcW w:type="dxa" w:w="665"/>
          </w:tcPr>
          <w:p>
            <w:r/>
            <w:r>
              <w:rPr>
                <w:rFonts w:ascii="Times New Roman" w:hAnsi="Times New Roman"/>
                <w:b/>
                <w:sz w:val="19"/>
              </w:rPr>
              <w:t>sample overlap</w:t>
            </w:r>
          </w:p>
        </w:tc>
        <w:tc>
          <w:tcPr>
            <w:tcW w:type="dxa" w:w="665"/>
          </w:tcPr>
          <w:p>
            <w:r/>
            <w:r>
              <w:rPr>
                <w:rFonts w:ascii="Times New Roman" w:hAnsi="Times New Roman"/>
                <w:b/>
                <w:sz w:val="19"/>
              </w:rPr>
              <w:t>widen% (ρ=0)</w:t>
            </w:r>
          </w:p>
        </w:tc>
        <w:tc>
          <w:tcPr>
            <w:tcW w:type="dxa" w:w="665"/>
          </w:tcPr>
          <w:p>
            <w:r/>
            <w:r>
              <w:rPr>
                <w:rFonts w:ascii="Times New Roman" w:hAnsi="Times New Roman"/>
                <w:b/>
                <w:sz w:val="19"/>
              </w:rPr>
              <w:t>widen% (ρ_g)</w:t>
            </w:r>
          </w:p>
        </w:tc>
        <w:tc>
          <w:tcPr>
            <w:tcW w:type="dxa" w:w="665"/>
          </w:tcPr>
          <w:p>
            <w:r/>
            <w:r>
              <w:rPr>
                <w:rFonts w:ascii="Times New Roman" w:hAnsi="Times New Roman"/>
                <w:b/>
                <w:sz w:val="19"/>
              </w:rPr>
              <w:t>widen% (ρ_g upper CI)</w:t>
            </w:r>
          </w:p>
        </w:tc>
        <w:tc>
          <w:tcPr>
            <w:tcW w:type="dxa" w:w="665"/>
          </w:tcPr>
          <w:p>
            <w:r/>
            <w:r>
              <w:rPr>
                <w:rFonts w:ascii="Times New Roman" w:hAnsi="Times New Roman"/>
                <w:b/>
                <w:sz w:val="19"/>
              </w:rPr>
              <w:t>Δ (pp)</w:t>
            </w:r>
          </w:p>
        </w:tc>
        <w:tc>
          <w:tcPr>
            <w:tcW w:type="dxa" w:w="665"/>
          </w:tcPr>
          <w:p>
            <w:r/>
            <w:r>
              <w:rPr>
                <w:rFonts w:ascii="Times New Roman" w:hAnsi="Times New Roman"/>
                <w:b/>
                <w:sz w:val="19"/>
              </w:rPr>
              <w:t>Flip (point)</w:t>
            </w:r>
          </w:p>
        </w:tc>
        <w:tc>
          <w:tcPr>
            <w:tcW w:type="dxa" w:w="665"/>
          </w:tcPr>
          <w:p>
            <w:r/>
            <w:r>
              <w:rPr>
                <w:rFonts w:ascii="Times New Roman" w:hAnsi="Times New Roman"/>
                <w:b/>
                <w:sz w:val="19"/>
              </w:rPr>
              <w:t>Flip (worst case)</w:t>
            </w:r>
          </w:p>
        </w:tc>
      </w:tr>
      <w:tr>
        <w:tc>
          <w:tcPr>
            <w:tcW w:type="dxa" w:w="665"/>
          </w:tcPr>
          <w:p>
            <w:r/>
            <w:r>
              <w:rPr>
                <w:rFonts w:ascii="Times New Roman" w:hAnsi="Times New Roman"/>
                <w:sz w:val="19"/>
              </w:rPr>
              <w:t>S014</w:t>
            </w:r>
          </w:p>
        </w:tc>
        <w:tc>
          <w:tcPr>
            <w:tcW w:type="dxa" w:w="665"/>
          </w:tcPr>
          <w:p>
            <w:r/>
            <w:r>
              <w:rPr>
                <w:rFonts w:ascii="Times New Roman" w:hAnsi="Times New Roman"/>
                <w:sz w:val="19"/>
              </w:rPr>
              <w:t>T1DM → hypertension → atherosclerosis (PAS/CAS)</w:t>
            </w:r>
          </w:p>
        </w:tc>
        <w:tc>
          <w:tcPr>
            <w:tcW w:type="dxa" w:w="665"/>
          </w:tcPr>
          <w:p>
            <w:r/>
            <w:r>
              <w:rPr>
                <w:rFonts w:ascii="Times New Roman" w:hAnsi="Times New Roman"/>
                <w:sz w:val="19"/>
              </w:rPr>
              <w:t>1</w:t>
            </w:r>
          </w:p>
        </w:tc>
        <w:tc>
          <w:tcPr>
            <w:tcW w:type="dxa" w:w="665"/>
          </w:tcPr>
          <w:p>
            <w:r/>
            <w:r>
              <w:rPr>
                <w:rFonts w:ascii="Times New Roman" w:hAnsi="Times New Roman"/>
                <w:sz w:val="19"/>
              </w:rPr>
              <w:t>+0.597</w:t>
            </w:r>
          </w:p>
        </w:tc>
        <w:tc>
          <w:tcPr>
            <w:tcW w:type="dxa" w:w="665"/>
          </w:tcPr>
          <w:p>
            <w:r/>
            <w:r>
              <w:rPr>
                <w:rFonts w:ascii="Times New Roman" w:hAnsi="Times New Roman"/>
                <w:sz w:val="19"/>
              </w:rPr>
              <w:t>[0.50, 0.68]</w:t>
            </w:r>
          </w:p>
        </w:tc>
        <w:tc>
          <w:tcPr>
            <w:tcW w:type="dxa" w:w="665"/>
          </w:tcPr>
          <w:p>
            <w:r/>
            <w:r>
              <w:rPr>
                <w:rFonts w:ascii="Times New Roman" w:hAnsi="Times New Roman"/>
                <w:sz w:val="19"/>
              </w:rPr>
              <w:t>+0.591</w:t>
            </w:r>
          </w:p>
        </w:tc>
        <w:tc>
          <w:tcPr>
            <w:tcW w:type="dxa" w:w="665"/>
          </w:tcPr>
          <w:p>
            <w:r/>
            <w:r>
              <w:rPr>
                <w:rFonts w:ascii="Times New Roman" w:hAnsi="Times New Roman"/>
                <w:sz w:val="19"/>
              </w:rPr>
              <w:t>high (UKB–UKB)</w:t>
            </w:r>
          </w:p>
        </w:tc>
        <w:tc>
          <w:tcPr>
            <w:tcW w:type="dxa" w:w="665"/>
          </w:tcPr>
          <w:p>
            <w:r/>
            <w:r>
              <w:rPr>
                <w:rFonts w:ascii="Times New Roman" w:hAnsi="Times New Roman"/>
                <w:sz w:val="19"/>
              </w:rPr>
              <w:t>−9.0</w:t>
            </w:r>
          </w:p>
        </w:tc>
        <w:tc>
          <w:tcPr>
            <w:tcW w:type="dxa" w:w="665"/>
          </w:tcPr>
          <w:p>
            <w:r/>
            <w:r>
              <w:rPr>
                <w:rFonts w:ascii="Times New Roman" w:hAnsi="Times New Roman"/>
                <w:sz w:val="19"/>
              </w:rPr>
              <w:t>−8.6</w:t>
            </w:r>
          </w:p>
        </w:tc>
        <w:tc>
          <w:tcPr>
            <w:tcW w:type="dxa" w:w="665"/>
          </w:tcPr>
          <w:p>
            <w:r/>
            <w:r>
              <w:rPr>
                <w:rFonts w:ascii="Times New Roman" w:hAnsi="Times New Roman"/>
                <w:sz w:val="19"/>
              </w:rPr>
              <w:t>−8.6</w:t>
            </w:r>
          </w:p>
        </w:tc>
        <w:tc>
          <w:tcPr>
            <w:tcW w:type="dxa" w:w="665"/>
          </w:tcPr>
          <w:p>
            <w:r/>
            <w:r>
              <w:rPr>
                <w:rFonts w:ascii="Times New Roman" w:hAnsi="Times New Roman"/>
                <w:sz w:val="19"/>
              </w:rPr>
              <w:t>+0.4</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S273</w:t>
            </w:r>
          </w:p>
        </w:tc>
        <w:tc>
          <w:tcPr>
            <w:tcW w:type="dxa" w:w="665"/>
          </w:tcPr>
          <w:p>
            <w:r/>
            <w:r>
              <w:rPr>
                <w:rFonts w:ascii="Times New Roman" w:hAnsi="Times New Roman"/>
                <w:sz w:val="19"/>
              </w:rPr>
              <w:t>inflam./gut/immune → immune traits → IgAN</w:t>
            </w:r>
          </w:p>
        </w:tc>
        <w:tc>
          <w:tcPr>
            <w:tcW w:type="dxa" w:w="665"/>
          </w:tcPr>
          <w:p>
            <w:r/>
            <w:r>
              <w:rPr>
                <w:rFonts w:ascii="Times New Roman" w:hAnsi="Times New Roman"/>
                <w:sz w:val="19"/>
              </w:rPr>
              <w:t>2</w:t>
            </w:r>
          </w:p>
        </w:tc>
        <w:tc>
          <w:tcPr>
            <w:tcW w:type="dxa" w:w="665"/>
          </w:tcPr>
          <w:p>
            <w:r/>
            <w:r>
              <w:rPr>
                <w:rFonts w:ascii="Times New Roman" w:hAnsi="Times New Roman"/>
                <w:sz w:val="19"/>
              </w:rPr>
              <w:t>+0.070</w:t>
            </w:r>
          </w:p>
        </w:tc>
        <w:tc>
          <w:tcPr>
            <w:tcW w:type="dxa" w:w="665"/>
          </w:tcPr>
          <w:p>
            <w:r/>
            <w:r>
              <w:rPr>
                <w:rFonts w:ascii="Times New Roman" w:hAnsi="Times New Roman"/>
                <w:sz w:val="19"/>
              </w:rPr>
              <w:t>[−0.02, 0.16]</w:t>
            </w:r>
          </w:p>
        </w:tc>
        <w:tc>
          <w:tcPr>
            <w:tcW w:type="dxa" w:w="665"/>
          </w:tcPr>
          <w:p>
            <w:r/>
            <w:r>
              <w:rPr>
                <w:rFonts w:ascii="Times New Roman" w:hAnsi="Times New Roman"/>
                <w:sz w:val="19"/>
              </w:rPr>
              <w:t>−0.015</w:t>
            </w:r>
          </w:p>
        </w:tc>
        <w:tc>
          <w:tcPr>
            <w:tcW w:type="dxa" w:w="665"/>
          </w:tcPr>
          <w:p>
            <w:r/>
            <w:r>
              <w:rPr>
                <w:rFonts w:ascii="Times New Roman" w:hAnsi="Times New Roman"/>
                <w:sz w:val="19"/>
              </w:rPr>
              <w:t>high (UKB–UKB)</w:t>
            </w:r>
          </w:p>
        </w:tc>
        <w:tc>
          <w:tcPr>
            <w:tcW w:type="dxa" w:w="665"/>
          </w:tcPr>
          <w:p>
            <w:r/>
            <w:r>
              <w:rPr>
                <w:rFonts w:ascii="Times New Roman" w:hAnsi="Times New Roman"/>
                <w:sz w:val="19"/>
              </w:rPr>
              <w:t>−0.7</w:t>
            </w:r>
          </w:p>
        </w:tc>
        <w:tc>
          <w:tcPr>
            <w:tcW w:type="dxa" w:w="665"/>
          </w:tcPr>
          <w:p>
            <w:r/>
            <w:r>
              <w:rPr>
                <w:rFonts w:ascii="Times New Roman" w:hAnsi="Times New Roman"/>
                <w:sz w:val="19"/>
              </w:rPr>
              <w:t>−0.7</w:t>
            </w:r>
          </w:p>
        </w:tc>
        <w:tc>
          <w:tcPr>
            <w:tcW w:type="dxa" w:w="665"/>
          </w:tcPr>
          <w:p>
            <w:r/>
            <w:r>
              <w:rPr>
                <w:rFonts w:ascii="Times New Roman" w:hAnsi="Times New Roman"/>
                <w:sz w:val="19"/>
              </w:rPr>
              <w:t>−0.7</w:t>
            </w:r>
          </w:p>
        </w:tc>
        <w:tc>
          <w:tcPr>
            <w:tcW w:type="dxa" w:w="665"/>
          </w:tcPr>
          <w:p>
            <w:r/>
            <w:r>
              <w:rPr>
                <w:rFonts w:ascii="Times New Roman" w:hAnsi="Times New Roman"/>
                <w:sz w:val="19"/>
              </w:rPr>
              <w:t>+0.01</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S255</w:t>
            </w:r>
          </w:p>
        </w:tc>
        <w:tc>
          <w:tcPr>
            <w:tcW w:type="dxa" w:w="665"/>
          </w:tcPr>
          <w:p>
            <w:r/>
            <w:r>
              <w:rPr>
                <w:rFonts w:ascii="Times New Roman" w:hAnsi="Times New Roman"/>
                <w:sz w:val="19"/>
              </w:rPr>
              <w:t>immune cells → serum metabolites → lymphoid leukemia</w:t>
            </w:r>
          </w:p>
        </w:tc>
        <w:tc>
          <w:tcPr>
            <w:tcW w:type="dxa" w:w="665"/>
          </w:tcPr>
          <w:p>
            <w:r/>
            <w:r>
              <w:rPr>
                <w:rFonts w:ascii="Times New Roman" w:hAnsi="Times New Roman"/>
                <w:sz w:val="19"/>
              </w:rPr>
              <w:t>1</w:t>
            </w:r>
          </w:p>
        </w:tc>
        <w:tc>
          <w:tcPr>
            <w:tcW w:type="dxa" w:w="665"/>
          </w:tcPr>
          <w:p>
            <w:r/>
            <w:r>
              <w:rPr>
                <w:rFonts w:ascii="Times New Roman" w:hAnsi="Times New Roman"/>
                <w:sz w:val="19"/>
              </w:rPr>
              <w:t>+0.186</w:t>
            </w:r>
          </w:p>
        </w:tc>
        <w:tc>
          <w:tcPr>
            <w:tcW w:type="dxa" w:w="665"/>
          </w:tcPr>
          <w:p>
            <w:r/>
            <w:r>
              <w:rPr>
                <w:rFonts w:ascii="Times New Roman" w:hAnsi="Times New Roman"/>
                <w:sz w:val="19"/>
              </w:rPr>
              <w:t>[0.06, 0.31]</w:t>
            </w:r>
          </w:p>
        </w:tc>
        <w:tc>
          <w:tcPr>
            <w:tcW w:type="dxa" w:w="665"/>
          </w:tcPr>
          <w:p>
            <w:r/>
            <w:r>
              <w:rPr>
                <w:rFonts w:ascii="Times New Roman" w:hAnsi="Times New Roman"/>
                <w:sz w:val="19"/>
              </w:rPr>
              <w:t>+0.188</w:t>
            </w:r>
          </w:p>
        </w:tc>
        <w:tc>
          <w:tcPr>
            <w:tcW w:type="dxa" w:w="665"/>
          </w:tcPr>
          <w:p>
            <w:r/>
            <w:r>
              <w:rPr>
                <w:rFonts w:ascii="Times New Roman" w:hAnsi="Times New Roman"/>
                <w:sz w:val="19"/>
              </w:rPr>
              <w:t>≈0 (UKB–FinnGen)</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S137</w:t>
            </w:r>
          </w:p>
        </w:tc>
        <w:tc>
          <w:tcPr>
            <w:tcW w:type="dxa" w:w="665"/>
          </w:tcPr>
          <w:p>
            <w:r/>
            <w:r>
              <w:rPr>
                <w:rFonts w:ascii="Times New Roman" w:hAnsi="Times New Roman"/>
                <w:sz w:val="19"/>
              </w:rPr>
              <w:t>25(OH)D → serum calcium → migraine</w:t>
            </w:r>
          </w:p>
        </w:tc>
        <w:tc>
          <w:tcPr>
            <w:tcW w:type="dxa" w:w="665"/>
          </w:tcPr>
          <w:p>
            <w:r/>
            <w:r>
              <w:rPr>
                <w:rFonts w:ascii="Times New Roman" w:hAnsi="Times New Roman"/>
                <w:sz w:val="19"/>
              </w:rPr>
              <w:t>2</w:t>
            </w:r>
          </w:p>
        </w:tc>
        <w:tc>
          <w:tcPr>
            <w:tcW w:type="dxa" w:w="665"/>
          </w:tcPr>
          <w:p>
            <w:r/>
            <w:r>
              <w:rPr>
                <w:rFonts w:ascii="Times New Roman" w:hAnsi="Times New Roman"/>
                <w:sz w:val="19"/>
              </w:rPr>
              <w:t>+0.218</w:t>
            </w:r>
          </w:p>
        </w:tc>
        <w:tc>
          <w:tcPr>
            <w:tcW w:type="dxa" w:w="665"/>
          </w:tcPr>
          <w:p>
            <w:r/>
            <w:r>
              <w:rPr>
                <w:rFonts w:ascii="Times New Roman" w:hAnsi="Times New Roman"/>
                <w:sz w:val="19"/>
              </w:rPr>
              <w:t>[0.09, 0.34]</w:t>
            </w:r>
          </w:p>
        </w:tc>
        <w:tc>
          <w:tcPr>
            <w:tcW w:type="dxa" w:w="665"/>
          </w:tcPr>
          <w:p>
            <w:r/>
            <w:r>
              <w:rPr>
                <w:rFonts w:ascii="Times New Roman" w:hAnsi="Times New Roman"/>
                <w:sz w:val="19"/>
              </w:rPr>
              <w:t>+0.235</w:t>
            </w:r>
          </w:p>
        </w:tc>
        <w:tc>
          <w:tcPr>
            <w:tcW w:type="dxa" w:w="665"/>
          </w:tcPr>
          <w:p>
            <w:r/>
            <w:r>
              <w:rPr>
                <w:rFonts w:ascii="Times New Roman" w:hAnsi="Times New Roman"/>
                <w:sz w:val="19"/>
              </w:rPr>
              <w:t>high (UKB–UKB)</w:t>
            </w:r>
          </w:p>
        </w:tc>
        <w:tc>
          <w:tcPr>
            <w:tcW w:type="dxa" w:w="665"/>
          </w:tcPr>
          <w:p>
            <w:r/>
            <w:r>
              <w:rPr>
                <w:rFonts w:ascii="Times New Roman" w:hAnsi="Times New Roman"/>
                <w:sz w:val="19"/>
              </w:rPr>
              <w:t>−5.9</w:t>
            </w:r>
          </w:p>
        </w:tc>
        <w:tc>
          <w:tcPr>
            <w:tcW w:type="dxa" w:w="665"/>
          </w:tcPr>
          <w:p>
            <w:r/>
            <w:r>
              <w:rPr>
                <w:rFonts w:ascii="Times New Roman" w:hAnsi="Times New Roman"/>
                <w:sz w:val="19"/>
              </w:rPr>
              <w:t>−5.8</w:t>
            </w:r>
          </w:p>
        </w:tc>
        <w:tc>
          <w:tcPr>
            <w:tcW w:type="dxa" w:w="665"/>
          </w:tcPr>
          <w:p>
            <w:r/>
            <w:r>
              <w:rPr>
                <w:rFonts w:ascii="Times New Roman" w:hAnsi="Times New Roman"/>
                <w:sz w:val="19"/>
              </w:rPr>
              <w:t>−5.8</w:t>
            </w:r>
          </w:p>
        </w:tc>
        <w:tc>
          <w:tcPr>
            <w:tcW w:type="dxa" w:w="665"/>
          </w:tcPr>
          <w:p>
            <w:r/>
            <w:r>
              <w:rPr>
                <w:rFonts w:ascii="Times New Roman" w:hAnsi="Times New Roman"/>
                <w:sz w:val="19"/>
              </w:rPr>
              <w:t>+0.07</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S217</w:t>
            </w:r>
          </w:p>
        </w:tc>
        <w:tc>
          <w:tcPr>
            <w:tcW w:type="dxa" w:w="665"/>
          </w:tcPr>
          <w:p>
            <w:r/>
            <w:r>
              <w:rPr>
                <w:rFonts w:ascii="Times New Roman" w:hAnsi="Times New Roman"/>
                <w:sz w:val="19"/>
              </w:rPr>
              <w:t>RA → immunosuppressants → bronchiectasis</w:t>
            </w:r>
          </w:p>
        </w:tc>
        <w:tc>
          <w:tcPr>
            <w:tcW w:type="dxa" w:w="665"/>
          </w:tcPr>
          <w:p>
            <w:r/>
            <w:r>
              <w:rPr>
                <w:rFonts w:ascii="Times New Roman" w:hAnsi="Times New Roman"/>
                <w:sz w:val="19"/>
              </w:rPr>
              <w:t>1</w:t>
            </w:r>
          </w:p>
        </w:tc>
        <w:tc>
          <w:tcPr>
            <w:tcW w:type="dxa" w:w="665"/>
          </w:tcPr>
          <w:p>
            <w:r/>
            <w:r>
              <w:rPr>
                <w:rFonts w:ascii="Times New Roman" w:hAnsi="Times New Roman"/>
                <w:sz w:val="19"/>
              </w:rPr>
              <w:t>+0.810</w:t>
            </w:r>
          </w:p>
        </w:tc>
        <w:tc>
          <w:tcPr>
            <w:tcW w:type="dxa" w:w="665"/>
          </w:tcPr>
          <w:p>
            <w:r/>
            <w:r>
              <w:rPr>
                <w:rFonts w:ascii="Times New Roman" w:hAnsi="Times New Roman"/>
                <w:sz w:val="19"/>
              </w:rPr>
              <w:t>[0.37, 0.95]</w:t>
            </w:r>
          </w:p>
        </w:tc>
        <w:tc>
          <w:tcPr>
            <w:tcW w:type="dxa" w:w="665"/>
          </w:tcPr>
          <w:p>
            <w:r/>
            <w:r>
              <w:rPr>
                <w:rFonts w:ascii="Times New Roman" w:hAnsi="Times New Roman"/>
                <w:sz w:val="19"/>
              </w:rPr>
              <w:t>+0.616</w:t>
            </w:r>
          </w:p>
        </w:tc>
        <w:tc>
          <w:tcPr>
            <w:tcW w:type="dxa" w:w="665"/>
          </w:tcPr>
          <w:p>
            <w:r/>
            <w:r>
              <w:rPr>
                <w:rFonts w:ascii="Times New Roman" w:hAnsi="Times New Roman"/>
                <w:sz w:val="19"/>
              </w:rPr>
              <w:t>high (UKB–UKB)</w:t>
            </w:r>
          </w:p>
        </w:tc>
        <w:tc>
          <w:tcPr>
            <w:tcW w:type="dxa" w:w="665"/>
          </w:tcPr>
          <w:p>
            <w:r/>
            <w:r>
              <w:rPr>
                <w:rFonts w:ascii="Times New Roman" w:hAnsi="Times New Roman"/>
                <w:sz w:val="19"/>
              </w:rPr>
              <w:t>−0.1</w:t>
            </w:r>
          </w:p>
        </w:tc>
        <w:tc>
          <w:tcPr>
            <w:tcW w:type="dxa" w:w="665"/>
          </w:tcPr>
          <w:p>
            <w:r/>
            <w:r>
              <w:rPr>
                <w:rFonts w:ascii="Times New Roman" w:hAnsi="Times New Roman"/>
                <w:sz w:val="19"/>
              </w:rPr>
              <w:t>−0.1</w:t>
            </w:r>
          </w:p>
        </w:tc>
        <w:tc>
          <w:tcPr>
            <w:tcW w:type="dxa" w:w="665"/>
          </w:tcPr>
          <w:p>
            <w:r/>
            <w:r>
              <w:rPr>
                <w:rFonts w:ascii="Times New Roman" w:hAnsi="Times New Roman"/>
                <w:sz w:val="19"/>
              </w:rPr>
              <w:t>−0.1</w:t>
            </w:r>
          </w:p>
        </w:tc>
        <w:tc>
          <w:tcPr>
            <w:tcW w:type="dxa" w:w="665"/>
          </w:tcPr>
          <w:p>
            <w:r/>
            <w:r>
              <w:rPr>
                <w:rFonts w:ascii="Times New Roman" w:hAnsi="Times New Roman"/>
                <w:sz w:val="19"/>
              </w:rPr>
              <w:t>+0.00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S267</w:t>
            </w:r>
          </w:p>
        </w:tc>
        <w:tc>
          <w:tcPr>
            <w:tcW w:type="dxa" w:w="665"/>
          </w:tcPr>
          <w:p>
            <w:r/>
            <w:r>
              <w:rPr>
                <w:rFonts w:ascii="Times New Roman" w:hAnsi="Times New Roman"/>
                <w:sz w:val="19"/>
              </w:rPr>
              <w:t>vitamin D → lipids → ocular disorders</w:t>
            </w:r>
          </w:p>
        </w:tc>
        <w:tc>
          <w:tcPr>
            <w:tcW w:type="dxa" w:w="665"/>
          </w:tcPr>
          <w:p>
            <w:r/>
            <w:r>
              <w:rPr>
                <w:rFonts w:ascii="Times New Roman" w:hAnsi="Times New Roman"/>
                <w:sz w:val="19"/>
              </w:rPr>
              <w:t>3</w:t>
            </w:r>
          </w:p>
        </w:tc>
        <w:tc>
          <w:tcPr>
            <w:tcW w:type="dxa" w:w="665"/>
          </w:tcPr>
          <w:p>
            <w:r/>
            <w:r>
              <w:rPr>
                <w:rFonts w:ascii="Times New Roman" w:hAnsi="Times New Roman"/>
                <w:sz w:val="19"/>
              </w:rPr>
              <w:t>−0.102</w:t>
            </w:r>
          </w:p>
        </w:tc>
        <w:tc>
          <w:tcPr>
            <w:tcW w:type="dxa" w:w="665"/>
          </w:tcPr>
          <w:p>
            <w:r/>
            <w:r>
              <w:rPr>
                <w:rFonts w:ascii="Times New Roman" w:hAnsi="Times New Roman"/>
                <w:sz w:val="19"/>
              </w:rPr>
              <w:t>[−0.31, 0.11]</w:t>
            </w:r>
          </w:p>
        </w:tc>
        <w:tc>
          <w:tcPr>
            <w:tcW w:type="dxa" w:w="665"/>
          </w:tcPr>
          <w:p>
            <w:r/>
            <w:r>
              <w:rPr>
                <w:rFonts w:ascii="Times New Roman" w:hAnsi="Times New Roman"/>
                <w:sz w:val="19"/>
              </w:rPr>
              <w:t>−0.330</w:t>
            </w:r>
          </w:p>
        </w:tc>
        <w:tc>
          <w:tcPr>
            <w:tcW w:type="dxa" w:w="665"/>
          </w:tcPr>
          <w:p>
            <w:r/>
            <w:r>
              <w:rPr>
                <w:rFonts w:ascii="Times New Roman" w:hAnsi="Times New Roman"/>
                <w:sz w:val="19"/>
              </w:rPr>
              <w:t>≈0 (UKB–FinnGen)</w:t>
            </w:r>
          </w:p>
        </w:tc>
        <w:tc>
          <w:tcPr>
            <w:tcW w:type="dxa" w:w="665"/>
          </w:tcPr>
          <w:p>
            <w:r/>
            <w:r>
              <w:rPr>
                <w:rFonts w:ascii="Times New Roman" w:hAnsi="Times New Roman"/>
                <w:sz w:val="19"/>
              </w:rPr>
              <w:t>−1.6</w:t>
            </w:r>
          </w:p>
        </w:tc>
        <w:tc>
          <w:tcPr>
            <w:tcW w:type="dxa" w:w="665"/>
          </w:tcPr>
          <w:p>
            <w:r/>
            <w:r>
              <w:rPr>
                <w:rFonts w:ascii="Times New Roman" w:hAnsi="Times New Roman"/>
                <w:sz w:val="19"/>
              </w:rPr>
              <w:t>−1.6</w:t>
            </w:r>
          </w:p>
        </w:tc>
        <w:tc>
          <w:tcPr>
            <w:tcW w:type="dxa" w:w="665"/>
          </w:tcPr>
          <w:p>
            <w:r/>
            <w:r>
              <w:rPr>
                <w:rFonts w:ascii="Times New Roman" w:hAnsi="Times New Roman"/>
                <w:sz w:val="19"/>
              </w:rPr>
              <w:t>−1.6</w:t>
            </w:r>
          </w:p>
        </w:tc>
        <w:tc>
          <w:tcPr>
            <w:tcW w:type="dxa" w:w="665"/>
          </w:tcPr>
          <w:p>
            <w:r/>
            <w:r>
              <w:rPr>
                <w:rFonts w:ascii="Times New Roman" w:hAnsi="Times New Roman"/>
                <w:sz w:val="19"/>
              </w:rPr>
              <w:t>+0.0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bl>
    <w:p>
      <w:pPr>
        <w:jc w:val="left"/>
      </w:pPr>
      <w:r>
        <w:rPr>
          <w:rFonts w:ascii="Times New Roman" w:hAnsi="Times New Roman"/>
          <w:b/>
          <w:i/>
          <w:sz w:val="20"/>
        </w:rPr>
        <w:t>Table 3b.</w:t>
      </w:r>
      <w:r>
        <w:rPr>
          <w:rFonts w:ascii="Times New Roman" w:hAnsi="Times New Roman"/>
          <w:b w:val="0"/>
          <w:sz w:val="20"/>
        </w:rPr>
        <w:t xml:space="preserve"> Empirical ρ_MY for the six overlapping published two-step MR mediation trios. ρ_g is the genetic concordance (Pearson r between mediator and outcome SNP effects at the instruments; primary = larger-n instrument set, Fisher-z 95% CI); ρ_g (residualized) removes the exposure-mediated component. "Sample overlap" is the M–Y GWAS sample-overlap category from catalog metadata. widen% (ρ=0) vs widen% (ρ_g) are the S10 correction on the validated α̂/β̂/SEs (4 trios) and screening pipeline (S255/S267); Δ is their difference in percentage points.</w:t>
      </w:r>
    </w:p>
    <w:p>
      <w:pPr>
        <w:ind w:firstLine="480"/>
        <w:jc w:val="both"/>
      </w:pPr>
      <w:r>
        <w:rPr>
          <w:rFonts w:ascii="Times New Roman" w:hAnsi="Times New Roman"/>
          <w:b w:val="0"/>
          <w:sz w:val="24"/>
        </w:rPr>
        <w:t>\*S255/S267 could not be allele-harmonised through TwoSampleMR, so their widen% columns are from the screening pipeline and indicative only; ρ_g is reported for all six because it requires only harmonized effect sizes, not a full re-estimation. The widen% (ρ_g upper CI) column re-runs the S10 correction with each trio's ρ_g 95% CI upper bound — the least favourable substitution — and is identical to widen% (ρ_g) to displayed precision (verified in Python, M4b_s10_cov.py, agreeing with the R S10 baseline within ~1 pp).</w:t>
      </w:r>
    </w:p>
    <w:p>
      <w:pPr>
        <w:spacing w:before="200" w:after="80"/>
        <w:jc w:val="left"/>
      </w:pPr>
      <w:r>
        <w:rPr>
          <w:rFonts w:ascii="Times New Roman" w:hAnsi="Times New Roman"/>
          <w:b/>
          <w:sz w:val="24"/>
        </w:rPr>
        <w:t>3.6 Statistical precision of the null re-estimation result</w:t>
      </w:r>
    </w:p>
    <w:p>
      <w:pPr>
        <w:ind w:firstLine="480"/>
        <w:jc w:val="both"/>
      </w:pPr>
      <w:r>
        <w:rPr>
          <w:rFonts w:ascii="Times New Roman" w:hAnsi="Times New Roman"/>
          <w:b w:val="0"/>
          <w:sz w:val="24"/>
        </w:rPr>
        <w:t>The headline re-estimation findings — 6.5% genuine overlap (7/108) and zero significance flips among the five non-degenerate overlapping trios — are point estimates from small samples and should be read with their sampling uncertainty made explicit. Using the Wilson score method, the 95% CI for the overlap prevalence is 3.2–12.8%, and the 95% CI for the underlying flip rate implied by 0/5 observed flips is 0.0–43.4%. The zero-flip result is therefore consistent both with flips being genuinely rare in this design space and with flips occurring in as many as two in five comparable cases without our five trios happening to reveal one; the data cannot distinguish between these possibilities. We report this explicitly because the flip-probability scan (§3.1.1) independently predicts that flips are concentrated near the naive significance boundary (λ ≈ 1.7–2.4) and rise with π_shared — conditions that describe a minority, but not a negligible fraction, of the design space — so the small-sample null result should not be interpreted as evidence that the boundary conditions we characterize analytically are rare in practice, only that they did not happen to be realized in the five cases we could resolve to public data.</w:t>
      </w:r>
    </w:p>
    <w:p>
      <w:pPr>
        <w:spacing w:before="200" w:after="80"/>
        <w:jc w:val="left"/>
      </w:pPr>
      <w:r>
        <w:rPr>
          <w:rFonts w:ascii="Times New Roman" w:hAnsi="Times New Roman"/>
          <w:b/>
          <w:sz w:val="26"/>
        </w:rPr>
        <w:t>4. Discussion</w:t>
      </w:r>
    </w:p>
    <w:p>
      <w:pPr>
        <w:ind w:firstLine="480"/>
        <w:jc w:val="both"/>
      </w:pPr>
      <w:r>
        <w:rPr>
          <w:rFonts w:ascii="Times New Roman" w:hAnsi="Times New Roman"/>
          <w:b w:val="0"/>
          <w:sz w:val="24"/>
        </w:rPr>
        <w:t>This work quantifies, rather than dramatizes, a methodological blind spot. We do not claim that any specific published two-step MR mediation conclusion is incorrect: in every real trio we could resolve, the omitted covariance happened to be structurally negative, and the naive method was conservative rather than anti-conservative. What we do establish is that this favorable direction is a property of the small, same-sign, low-overlap cases we were able to observe — not a guarantee — and that the field currently has no reporting convention (n_s, π_shared, or ρ_MY) that would let a reader distinguish a benign case from a harmful one without rerunning the analysis, as we did. The value of this paper is therefore the closed-form tool and the documented boundary conditions under which the direction flips, not a retrospective correction of the existing literature's conclusions.</w:t>
      </w:r>
    </w:p>
    <w:p>
      <w:pPr>
        <w:ind w:firstLine="480"/>
        <w:jc w:val="both"/>
      </w:pPr>
      <w:r>
        <w:rPr>
          <w:rFonts w:ascii="Times New Roman" w:hAnsi="Times New Roman"/>
          <w:b w:val="0"/>
          <w:sz w:val="24"/>
        </w:rPr>
        <w:t xml:space="preserve">Our literature audit delivers an uncomfortable message. The design our correction matters most for — a deliberately merged or reused instrument pool — is </w:t>
      </w:r>
      <w:r>
        <w:rPr>
          <w:rFonts w:ascii="Times New Roman" w:hAnsi="Times New Roman"/>
          <w:b/>
          <w:sz w:val="24"/>
        </w:rPr>
        <w:t>not represented by a single clean example in 695 coded studies</w:t>
      </w:r>
      <w:r>
        <w:rPr>
          <w:rFonts w:ascii="Times New Roman" w:hAnsi="Times New Roman"/>
          <w:b w:val="0"/>
          <w:sz w:val="24"/>
        </w:rPr>
        <w:t>, and only ~35% of assessable studies disclose overlap handling. Yet the §3.4 batch re-estimation finds genuine instrument overlap in 6.5% (7/108) of re-estimated trios, and among the five non-degenerate overlapping trios the correction narrowed every CI (0.2–16.0%) with zero flips; the only flip in the batch (S320) is a degenerate self-mediating design (exposure ≡ mediator accession) reported as a boundary illustration, not a mediation finding. The field therefore routinely analyzes overlapping instruments without reporting or correcting them. Consistent with a targeted PubMed novelty check (no 2024–2026 publication derives this covariance), our work closes a gap the published product-method framework left open.</w:t>
      </w:r>
    </w:p>
    <w:p>
      <w:pPr>
        <w:ind w:firstLine="480"/>
        <w:jc w:val="both"/>
      </w:pPr>
      <w:r>
        <w:rPr>
          <w:rFonts w:ascii="Times New Roman" w:hAnsi="Times New Roman"/>
          <w:b w:val="0"/>
          <w:sz w:val="24"/>
        </w:rPr>
        <w:t>The central real-data finding is that the sign of the omitted covariance is not predictable from published statistics alone. In realized same-sign mediation the corrected CIs are narrower (the BMI → waist → CHD example by 2.8%, shared-IV by 15.5%), but the literature narrative usually assumes the opposite. Our batch re-estimation confirms this is structural, not fortune: the dominant shared-instrument covariance is provably negative when α̂ and β̂ share a sign (Proposition S2.5), so the naive SE is conservative in this regime. Because the sign is prior-unknown at the design stage, and opposite-sign or sample-overlapping regimes widen rather than narrow (§3.1.1), analysts should correct regardless of prior. §3.5 shows that even where ρ_MY is empirically positive the correction still narrows, because the structurally negative term dominates for n_s = 1–3.</w:t>
      </w:r>
    </w:p>
    <w:p>
      <w:pPr>
        <w:ind w:firstLine="480"/>
        <w:jc w:val="both"/>
      </w:pPr>
      <w:r>
        <w:rPr>
          <w:rFonts w:ascii="Times New Roman" w:hAnsi="Times New Roman"/>
          <w:b/>
          <w:sz w:val="24"/>
        </w:rPr>
        <w:t>Positioning relative to concurrent overlap-correction methods.</w:t>
      </w:r>
      <w:r>
        <w:rPr>
          <w:rFonts w:ascii="Times New Roman" w:hAnsi="Times New Roman"/>
          <w:b w:val="0"/>
          <w:sz w:val="24"/>
        </w:rPr>
        <w:t xml:space="preserve"> Two independent lines of work published as we wrote converge on the same broad problem — overlap-induced bias in MR — but operate at different levels, so they are complementary rather than competing. Chen et al. </w:t>
      </w:r>
      <w:r>
        <w:rPr>
          <w:rFonts w:ascii="Times New Roman" w:hAnsi="Times New Roman"/>
          <w:b w:val="0"/>
          <w:sz w:val="24"/>
          <w:vertAlign w:val="superscript"/>
        </w:rPr>
        <w:t>22</w:t>
      </w:r>
      <w:r>
        <w:rPr>
          <w:rFonts w:ascii="Times New Roman" w:hAnsi="Times New Roman"/>
          <w:b w:val="0"/>
          <w:sz w:val="24"/>
        </w:rPr>
        <w:t xml:space="preserve"> (Eur Heart J correspondence, 2025) is a critical appraisal that flags exposure–outcome sample overlap and meta-analysis weighting imbalance in a protein→MI MR and recommends LDSC or dataset replacement; it proposes no quantitative correction for the mediation product estimand. Forde et al. </w:t>
      </w:r>
      <w:r>
        <w:rPr>
          <w:rFonts w:ascii="Times New Roman" w:hAnsi="Times New Roman"/>
          <w:b w:val="0"/>
          <w:sz w:val="24"/>
          <w:vertAlign w:val="superscript"/>
        </w:rPr>
        <w:t>23</w:t>
      </w:r>
      <w:r>
        <w:rPr>
          <w:rFonts w:ascii="Times New Roman" w:hAnsi="Times New Roman"/>
          <w:b w:val="0"/>
          <w:sz w:val="24"/>
        </w:rPr>
        <w:t xml:space="preserve"> (PLoS Genet, 2026) propose MR Simulated Sample Splitting (MR-SimSS), which corrects bias in a *single* two-sample MR estimand (instrument-selection / Winner's Curse, weak-instrument bias, and exposure–outcome sample overlap) by simulating statistically independent summary statistics; it does not derive the covariance of a *product* estimand, so it leaves the two-step mediation term Cov(α̂, β̂) unaddressed. Table 4 contrasts the three.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sz w:val="19"/>
              </w:rPr>
              <w:t>Feature</w:t>
            </w:r>
          </w:p>
        </w:tc>
        <w:tc>
          <w:tcPr>
            <w:tcW w:type="dxa" w:w="2160"/>
          </w:tcPr>
          <w:p>
            <w:r/>
            <w:r>
              <w:rPr>
                <w:rFonts w:ascii="Times New Roman" w:hAnsi="Times New Roman"/>
                <w:b/>
                <w:sz w:val="19"/>
              </w:rPr>
              <w:t>This work</w:t>
            </w:r>
          </w:p>
        </w:tc>
        <w:tc>
          <w:tcPr>
            <w:tcW w:type="dxa" w:w="2160"/>
          </w:tcPr>
          <w:p>
            <w:r/>
            <w:r>
              <w:rPr>
                <w:rFonts w:ascii="Times New Roman" w:hAnsi="Times New Roman"/>
                <w:b/>
                <w:sz w:val="19"/>
              </w:rPr>
              <w:t>Forde et al. 2026 (MR-SimSS)</w:t>
            </w:r>
          </w:p>
        </w:tc>
        <w:tc>
          <w:tcPr>
            <w:tcW w:type="dxa" w:w="2160"/>
          </w:tcPr>
          <w:p>
            <w:r/>
            <w:r>
              <w:rPr>
                <w:rFonts w:ascii="Times New Roman" w:hAnsi="Times New Roman"/>
                <w:b/>
                <w:sz w:val="19"/>
              </w:rPr>
              <w:t>Chen et al. 2025 (correspondence)</w:t>
            </w:r>
          </w:p>
        </w:tc>
      </w:tr>
      <w:tr>
        <w:tc>
          <w:tcPr>
            <w:tcW w:type="dxa" w:w="2160"/>
          </w:tcPr>
          <w:p>
            <w:r/>
            <w:r>
              <w:rPr>
                <w:rFonts w:ascii="Times New Roman" w:hAnsi="Times New Roman"/>
                <w:sz w:val="19"/>
              </w:rPr>
              <w:t>Target estimand</w:t>
            </w:r>
          </w:p>
        </w:tc>
        <w:tc>
          <w:tcPr>
            <w:tcW w:type="dxa" w:w="2160"/>
          </w:tcPr>
          <w:p>
            <w:r/>
            <w:r>
              <w:rPr>
                <w:rFonts w:ascii="Times New Roman" w:hAnsi="Times New Roman"/>
                <w:sz w:val="19"/>
              </w:rPr>
              <w:t>indirect effect α̂β̂ in two-step MR mediation (product of two IVW estimates)</w:t>
            </w:r>
          </w:p>
        </w:tc>
        <w:tc>
          <w:tcPr>
            <w:tcW w:type="dxa" w:w="2160"/>
          </w:tcPr>
          <w:p>
            <w:r/>
            <w:r>
              <w:rPr>
                <w:rFonts w:ascii="Times New Roman" w:hAnsi="Times New Roman"/>
                <w:sz w:val="19"/>
              </w:rPr>
              <w:t>single causal effect in two-sample MR (exposure → outcome)</w:t>
            </w:r>
          </w:p>
        </w:tc>
        <w:tc>
          <w:tcPr>
            <w:tcW w:type="dxa" w:w="2160"/>
          </w:tcPr>
          <w:p>
            <w:r/>
            <w:r>
              <w:rPr>
                <w:rFonts w:ascii="Times New Roman" w:hAnsi="Times New Roman"/>
                <w:sz w:val="19"/>
              </w:rPr>
              <w:t>not a method; flags overlap in a protein → MI MR</w:t>
            </w:r>
          </w:p>
        </w:tc>
      </w:tr>
      <w:tr>
        <w:tc>
          <w:tcPr>
            <w:tcW w:type="dxa" w:w="2160"/>
          </w:tcPr>
          <w:p>
            <w:r/>
            <w:r>
              <w:rPr>
                <w:rFonts w:ascii="Times New Roman" w:hAnsi="Times New Roman"/>
                <w:sz w:val="19"/>
              </w:rPr>
              <w:t>Overlap / bias source addressed</w:t>
            </w:r>
          </w:p>
        </w:tc>
        <w:tc>
          <w:tcPr>
            <w:tcW w:type="dxa" w:w="2160"/>
          </w:tcPr>
          <w:p>
            <w:r/>
            <w:r>
              <w:rPr>
                <w:rFonts w:ascii="Times New Roman" w:hAnsi="Times New Roman"/>
                <w:sz w:val="19"/>
              </w:rPr>
              <w:t>shared instruments across the two steps (n_s) and M–Y sample overlap (ρ_MY); the covariance of a product estimand</w:t>
            </w:r>
          </w:p>
        </w:tc>
        <w:tc>
          <w:tcPr>
            <w:tcW w:type="dxa" w:w="2160"/>
          </w:tcPr>
          <w:p>
            <w:r/>
            <w:r>
              <w:rPr>
                <w:rFonts w:ascii="Times New Roman" w:hAnsi="Times New Roman"/>
                <w:sz w:val="19"/>
              </w:rPr>
              <w:t>instrument selection (Winner's Curse), weak-instrument bias, exposure–outcome sample overlap; bias of a single estimand</w:t>
            </w:r>
          </w:p>
        </w:tc>
        <w:tc>
          <w:tcPr>
            <w:tcW w:type="dxa" w:w="2160"/>
          </w:tcPr>
          <w:p>
            <w:r/>
            <w:r>
              <w:rPr>
                <w:rFonts w:ascii="Times New Roman" w:hAnsi="Times New Roman"/>
                <w:sz w:val="19"/>
              </w:rPr>
              <w:t>exposure–outcome sample overlap; meta-analysis weighting imbalance (no correction proposed)</w:t>
            </w:r>
          </w:p>
        </w:tc>
      </w:tr>
      <w:tr>
        <w:tc>
          <w:tcPr>
            <w:tcW w:type="dxa" w:w="2160"/>
          </w:tcPr>
          <w:p>
            <w:r/>
            <w:r>
              <w:rPr>
                <w:rFonts w:ascii="Times New Roman" w:hAnsi="Times New Roman"/>
                <w:sz w:val="19"/>
              </w:rPr>
              <w:t>Individual-level data required</w:t>
            </w:r>
          </w:p>
        </w:tc>
        <w:tc>
          <w:tcPr>
            <w:tcW w:type="dxa" w:w="2160"/>
          </w:tcPr>
          <w:p>
            <w:r/>
            <w:r>
              <w:rPr>
                <w:rFonts w:ascii="Times New Roman" w:hAnsi="Times New Roman"/>
                <w:sz w:val="19"/>
              </w:rPr>
              <w:t>no (summary statistics only)</w:t>
            </w:r>
          </w:p>
        </w:tc>
        <w:tc>
          <w:tcPr>
            <w:tcW w:type="dxa" w:w="2160"/>
          </w:tcPr>
          <w:p>
            <w:r/>
            <w:r>
              <w:rPr>
                <w:rFonts w:ascii="Times New Roman" w:hAnsi="Times New Roman"/>
                <w:sz w:val="19"/>
              </w:rPr>
              <w:t>no (simulated independent summary statistics)</w:t>
            </w:r>
          </w:p>
        </w:tc>
        <w:tc>
          <w:tcPr>
            <w:tcW w:type="dxa" w:w="2160"/>
          </w:tcPr>
          <w:p>
            <w:r/>
            <w:r>
              <w:rPr>
                <w:rFonts w:ascii="Times New Roman" w:hAnsi="Times New Roman"/>
                <w:sz w:val="19"/>
              </w:rPr>
              <w:t>no</w:t>
            </w:r>
          </w:p>
        </w:tc>
      </w:tr>
      <w:tr>
        <w:tc>
          <w:tcPr>
            <w:tcW w:type="dxa" w:w="2160"/>
          </w:tcPr>
          <w:p>
            <w:r/>
            <w:r>
              <w:rPr>
                <w:rFonts w:ascii="Times New Roman" w:hAnsi="Times New Roman"/>
                <w:sz w:val="19"/>
              </w:rPr>
              <w:t>Closed-form covariance for the product estimand</w:t>
            </w:r>
          </w:p>
        </w:tc>
        <w:tc>
          <w:tcPr>
            <w:tcW w:type="dxa" w:w="2160"/>
          </w:tcPr>
          <w:p>
            <w:r/>
            <w:r>
              <w:rPr>
                <w:rFonts w:ascii="Times New Roman" w:hAnsi="Times New Roman"/>
                <w:sz w:val="19"/>
              </w:rPr>
              <w:t>yes — Cov(α̂, β̂) derived analytically, with a conservative bound</w:t>
            </w:r>
          </w:p>
        </w:tc>
        <w:tc>
          <w:tcPr>
            <w:tcW w:type="dxa" w:w="2160"/>
          </w:tcPr>
          <w:p>
            <w:r/>
            <w:r>
              <w:rPr>
                <w:rFonts w:ascii="Times New Roman" w:hAnsi="Times New Roman"/>
                <w:sz w:val="19"/>
              </w:rPr>
              <w:t>no — single-estimand bias corrected by simulation</w:t>
            </w:r>
          </w:p>
        </w:tc>
        <w:tc>
          <w:tcPr>
            <w:tcW w:type="dxa" w:w="2160"/>
          </w:tcPr>
          <w:p>
            <w:r/>
            <w:r>
              <w:rPr>
                <w:rFonts w:ascii="Times New Roman" w:hAnsi="Times New Roman"/>
                <w:sz w:val="19"/>
              </w:rPr>
              <w:t>no — recommends LDSC / dataset replacement</w:t>
            </w:r>
          </w:p>
        </w:tc>
      </w:tr>
      <w:tr>
        <w:tc>
          <w:tcPr>
            <w:tcW w:type="dxa" w:w="2160"/>
          </w:tcPr>
          <w:p>
            <w:r/>
            <w:r>
              <w:rPr>
                <w:rFonts w:ascii="Times New Roman" w:hAnsi="Times New Roman"/>
                <w:sz w:val="19"/>
              </w:rPr>
              <w:t>Mediation-relevant</w:t>
            </w:r>
          </w:p>
        </w:tc>
        <w:tc>
          <w:tcPr>
            <w:tcW w:type="dxa" w:w="2160"/>
          </w:tcPr>
          <w:p>
            <w:r/>
            <w:r>
              <w:rPr>
                <w:rFonts w:ascii="Times New Roman" w:hAnsi="Times New Roman"/>
                <w:sz w:val="19"/>
              </w:rPr>
              <w:t>yes (two-step product-method)</w:t>
            </w:r>
          </w:p>
        </w:tc>
        <w:tc>
          <w:tcPr>
            <w:tcW w:type="dxa" w:w="2160"/>
          </w:tcPr>
          <w:p>
            <w:r/>
            <w:r>
              <w:rPr>
                <w:rFonts w:ascii="Times New Roman" w:hAnsi="Times New Roman"/>
                <w:sz w:val="19"/>
              </w:rPr>
              <w:t>no (single-pathway two-sample MR)</w:t>
            </w:r>
          </w:p>
        </w:tc>
        <w:tc>
          <w:tcPr>
            <w:tcW w:type="dxa" w:w="2160"/>
          </w:tcPr>
          <w:p>
            <w:r/>
            <w:r>
              <w:rPr>
                <w:rFonts w:ascii="Times New Roman" w:hAnsi="Times New Roman"/>
                <w:sz w:val="19"/>
              </w:rPr>
              <w:t>no (single-pathway critique)</w:t>
            </w:r>
          </w:p>
        </w:tc>
      </w:tr>
      <w:tr>
        <w:tc>
          <w:tcPr>
            <w:tcW w:type="dxa" w:w="2160"/>
          </w:tcPr>
          <w:p>
            <w:r/>
            <w:r>
              <w:rPr>
                <w:rFonts w:ascii="Times New Roman" w:hAnsi="Times New Roman"/>
                <w:sz w:val="19"/>
              </w:rPr>
              <w:t>Reproducible tool</w:t>
            </w:r>
          </w:p>
        </w:tc>
        <w:tc>
          <w:tcPr>
            <w:tcW w:type="dxa" w:w="2160"/>
          </w:tcPr>
          <w:p>
            <w:r/>
            <w:r>
              <w:rPr>
                <w:rFonts w:ascii="Times New Roman" w:hAnsi="Times New Roman"/>
                <w:sz w:val="19"/>
              </w:rPr>
              <w:t>estimate_cov_prod_mr() (R) + wrappers</w:t>
            </w:r>
          </w:p>
        </w:tc>
        <w:tc>
          <w:tcPr>
            <w:tcW w:type="dxa" w:w="2160"/>
          </w:tcPr>
          <w:p>
            <w:r/>
            <w:r>
              <w:rPr>
                <w:rFonts w:ascii="Times New Roman" w:hAnsi="Times New Roman"/>
                <w:sz w:val="19"/>
              </w:rPr>
              <w:t>mr.simss (R package)</w:t>
            </w:r>
          </w:p>
        </w:tc>
        <w:tc>
          <w:tcPr>
            <w:tcW w:type="dxa" w:w="2160"/>
          </w:tcPr>
          <w:p>
            <w:r/>
            <w:r>
              <w:rPr>
                <w:rFonts w:ascii="Times New Roman" w:hAnsi="Times New Roman"/>
                <w:sz w:val="19"/>
              </w:rPr>
              <w:t>none</w:t>
            </w:r>
          </w:p>
        </w:tc>
      </w:tr>
    </w:tbl>
    <w:p>
      <w:pPr>
        <w:jc w:val="left"/>
      </w:pPr>
      <w:r>
        <w:rPr>
          <w:rFonts w:ascii="Times New Roman" w:hAnsi="Times New Roman"/>
          <w:b/>
          <w:i/>
          <w:sz w:val="20"/>
        </w:rPr>
        <w:t>Table 4.</w:t>
      </w:r>
      <w:r>
        <w:rPr>
          <w:rFonts w:ascii="Times New Roman" w:hAnsi="Times New Roman"/>
          <w:b w:val="0"/>
          <w:sz w:val="20"/>
        </w:rPr>
        <w:t xml:space="preserve"> Overlap-bias methods relevant to two-step MR mediation. "Product estimand" = the indirect effect α̂β̂ as the product of two IVW estimates.</w:t>
      </w:r>
    </w:p>
    <w:p>
      <w:pPr>
        <w:ind w:firstLine="480"/>
        <w:jc w:val="both"/>
      </w:pPr>
      <w:r>
        <w:rPr>
          <w:rFonts w:ascii="Times New Roman" w:hAnsi="Times New Roman"/>
          <w:b/>
          <w:sz w:val="24"/>
        </w:rPr>
        <w:t>Representative applications of two-step MR mediation.</w:t>
      </w:r>
      <w:r>
        <w:rPr>
          <w:rFonts w:ascii="Times New Roman" w:hAnsi="Times New Roman"/>
          <w:b w:val="0"/>
          <w:sz w:val="24"/>
        </w:rPr>
        <w:t xml:space="preserve"> The method has proliferated rapidly across clinical domains; six examples illustrate its reach. Zhang et al. </w:t>
      </w:r>
      <w:r>
        <w:rPr>
          <w:rFonts w:ascii="Times New Roman" w:hAnsi="Times New Roman"/>
          <w:b w:val="0"/>
          <w:sz w:val="24"/>
          <w:vertAlign w:val="superscript"/>
        </w:rPr>
        <w:t>24</w:t>
      </w:r>
      <w:r>
        <w:rPr>
          <w:rFonts w:ascii="Times New Roman" w:hAnsi="Times New Roman"/>
          <w:b w:val="0"/>
          <w:sz w:val="24"/>
        </w:rPr>
        <w:t xml:space="preserve"> introduced METEOR for detecting shared and specific exposures underlying multiple outcomes. Tong et al. </w:t>
      </w:r>
      <w:r>
        <w:rPr>
          <w:rFonts w:ascii="Times New Roman" w:hAnsi="Times New Roman"/>
          <w:b w:val="0"/>
          <w:sz w:val="24"/>
          <w:vertAlign w:val="superscript"/>
        </w:rPr>
        <w:t>26</w:t>
      </w:r>
      <w:r>
        <w:rPr>
          <w:rFonts w:ascii="Times New Roman" w:hAnsi="Times New Roman"/>
          <w:b w:val="0"/>
          <w:sz w:val="24"/>
        </w:rPr>
        <w:t xml:space="preserve"> mediated the effect of GLP-1 receptor agonists on myocardial infarction. Yu et al. </w:t>
      </w:r>
      <w:r>
        <w:rPr>
          <w:rFonts w:ascii="Times New Roman" w:hAnsi="Times New Roman"/>
          <w:b w:val="0"/>
          <w:sz w:val="24"/>
          <w:vertAlign w:val="superscript"/>
        </w:rPr>
        <w:t>27</w:t>
      </w:r>
      <w:r>
        <w:rPr>
          <w:rFonts w:ascii="Times New Roman" w:hAnsi="Times New Roman"/>
          <w:b w:val="0"/>
          <w:sz w:val="24"/>
        </w:rPr>
        <w:t xml:space="preserve"> linked blood metabolites and immune-cell mediators to GVHD and relapse. Lin et al. </w:t>
      </w:r>
      <w:r>
        <w:rPr>
          <w:rFonts w:ascii="Times New Roman" w:hAnsi="Times New Roman"/>
          <w:b w:val="0"/>
          <w:sz w:val="24"/>
          <w:vertAlign w:val="superscript"/>
        </w:rPr>
        <w:t>28</w:t>
      </w:r>
      <w:r>
        <w:rPr>
          <w:rFonts w:ascii="Times New Roman" w:hAnsi="Times New Roman"/>
          <w:b w:val="0"/>
          <w:sz w:val="24"/>
        </w:rPr>
        <w:t xml:space="preserve"> mediated cardiometabolic pathways to heart failure with preserved ejection fraction. Hao et al. </w:t>
      </w:r>
      <w:r>
        <w:rPr>
          <w:rFonts w:ascii="Times New Roman" w:hAnsi="Times New Roman"/>
          <w:b w:val="0"/>
          <w:sz w:val="24"/>
          <w:vertAlign w:val="superscript"/>
        </w:rPr>
        <w:t>37</w:t>
      </w:r>
      <w:r>
        <w:rPr>
          <w:rFonts w:ascii="Times New Roman" w:hAnsi="Times New Roman"/>
          <w:b w:val="0"/>
          <w:sz w:val="24"/>
        </w:rPr>
        <w:t xml:space="preserve"> identified molecular mediators of obesity on breast cancer. He et al. </w:t>
      </w:r>
      <w:r>
        <w:rPr>
          <w:rFonts w:ascii="Times New Roman" w:hAnsi="Times New Roman"/>
          <w:b w:val="0"/>
          <w:sz w:val="24"/>
          <w:vertAlign w:val="superscript"/>
        </w:rPr>
        <w:t>39</w:t>
      </w:r>
      <w:r>
        <w:rPr>
          <w:rFonts w:ascii="Times New Roman" w:hAnsi="Times New Roman"/>
          <w:b w:val="0"/>
          <w:sz w:val="24"/>
        </w:rPr>
        <w:t xml:space="preserve"> examined maternal-hyperglycaemia mediation of neonatal outcomes. Ten further domain examples (metabolic, psychiatric, neurological and oncologic) are tabulated in Supplementary Table S6.</w:t>
      </w:r>
    </w:p>
    <w:p>
      <w:pPr>
        <w:ind w:firstLine="480"/>
        <w:jc w:val="both"/>
      </w:pPr>
      <w:r>
        <w:rPr>
          <w:rFonts w:ascii="Times New Roman" w:hAnsi="Times New Roman"/>
          <w:b/>
          <w:sz w:val="24"/>
        </w:rPr>
        <w:t>Limitations.</w:t>
      </w:r>
      <w:r>
        <w:rPr>
          <w:rFonts w:ascii="Times New Roman" w:hAnsi="Times New Roman"/>
          <w:b w:val="0"/>
          <w:sz w:val="24"/>
        </w:rPr>
        <w:t xml:space="preserve"> (1) The closed form is a first-order delta approximation; in the weak-instrument/high-overlap corner (F &lt; 15, π_shared &gt; 0.5) residual error reaches ~10–14% and the Monte Carlo fallback should be used. The bound B is a sufficient conservative envelope (observed errors 5–20× smaller), not a tight constant. (2) Real-data evidence rests on 5 non-degenerate overlapping trios from the 108-re-estimation batch (plus 2 degenerate self-mediating trios flagged by the pipeline); the batch excludes non-European and many protein/QTL traits (28/70 returned no EUR-clumped instruments), so the true overlap rate in the full literature may differ. (2b) The batch re-estimation is also not a representative sample of the 39.3% of studies flagged as overlap-capable: it is restricted to the subset resolvable to public, EUR-clumped GWAS accessions, which systematically excludes non-European-ancestry studies and many protein/metabolite QTL panels (28/70 in an earlier resolution pass returned no EUR-clumped instruments). Because these excluded designs are plausibly *more*, not less, likely to involve narrow, overlapping instrument pools (small QTL panels have fewer independent SNPs to draw on), the 6.5% overlap rate and the 0/5 flip result should be treated as a lower-bound characterization of the resolvable, EUR-ancestry subset of the literature rather than an estimate generalizable to the full audited corpus. (3) The κ statistics in Supplementary Methods S7 come from a within-team blinded second coding pass performed by co-author C. Yan (C.Y.), who was independent of the original coder (J.W., excluded) and blind to the sealed answer key and to the study hypothesis, not from an independent external rater; a fully external reliability assessment was not feasible within the study timeline and is noted as a priority for follow-up validation. The blind re-coding template, sealed answer key, and compute_kappa_2nd.py are deposited so that an independent collaborator — or a blinded co-author — can reproduce or supersede this κ in one command. (4) The literature audit searched PubMed only and did not query Embase or Web of Science; studies indexed solely in other databases, non-English-language reports, and PubMed-absent preprints are therefore not captured, so the prevalence estimates are conditional on the PubMed-indexed two-step MR mediation literature and may under-count the true denominator, especially rapidly published 2024–2026 work. (5) The audit protocol — search strings, coding rules, and the conservative/typical/structural classification scheme — was finalized and locked before screening and is deposited verbatim in Codebook S1, but was not prospectively registered on PROSPERO or OSF. We did not register because the audit is a methodological characterization of an existing literature rather than a hypothesis-testing systematic review, and because the three classification sensitivities were pre-specified as a deliberate range (not post-hoc tuning) intended to bound, rather than optimize, the prevalence estimate; reporting all three shows the central conclusion — overlap handling is rarely disclosed — is unchanged across the full sensitivity range.</w:t>
      </w:r>
    </w:p>
    <w:p>
      <w:pPr>
        <w:ind w:firstLine="480"/>
        <w:jc w:val="both"/>
      </w:pPr>
      <w:r>
        <w:rPr>
          <w:rFonts w:ascii="Times New Roman" w:hAnsi="Times New Roman"/>
          <w:b/>
          <w:sz w:val="24"/>
        </w:rPr>
        <w:t>Reporting implications.</w:t>
      </w:r>
      <w:r>
        <w:rPr>
          <w:rFonts w:ascii="Times New Roman" w:hAnsi="Times New Roman"/>
          <w:b w:val="0"/>
          <w:sz w:val="24"/>
        </w:rPr>
        <w:t xml:space="preserve"> The STROBE-MR statement </w:t>
      </w:r>
      <w:r>
        <w:rPr>
          <w:rFonts w:ascii="Times New Roman" w:hAnsi="Times New Roman"/>
          <w:b w:val="0"/>
          <w:sz w:val="24"/>
          <w:vertAlign w:val="superscript"/>
        </w:rPr>
        <w:t>40</w:t>
      </w:r>
      <w:r>
        <w:rPr>
          <w:rFonts w:ascii="Times New Roman" w:hAnsi="Times New Roman"/>
          <w:b w:val="0"/>
          <w:sz w:val="24"/>
        </w:rPr>
        <w:t xml:space="preserve"> should be extended to require explicit disclosure of the step-1 and step-2 instrument sets and their intersection, since without n_s no reader can recover the omitted covariance. Our tool lets analysts compute n_s from published summary statistics and apply the correction without full reanalysis.</w:t>
      </w:r>
    </w:p>
    <w:p>
      <w:pPr>
        <w:spacing w:before="200" w:after="80"/>
        <w:jc w:val="left"/>
      </w:pPr>
      <w:r>
        <w:rPr>
          <w:rFonts w:ascii="Times New Roman" w:hAnsi="Times New Roman"/>
          <w:b/>
          <w:sz w:val="26"/>
        </w:rPr>
        <w:t>5. Conclusion</w:t>
      </w:r>
    </w:p>
    <w:p>
      <w:pPr>
        <w:ind w:firstLine="480"/>
        <w:jc w:val="both"/>
      </w:pPr>
      <w:r>
        <w:rPr>
          <w:rFonts w:ascii="Times New Roman" w:hAnsi="Times New Roman"/>
          <w:b w:val="0"/>
          <w:sz w:val="24"/>
        </w:rPr>
        <w:t>Ignoring Cov(α̂, β̂) under overlapping instruments or samples yields biased inference in two-step MR mediation; the closed-form correction closes a gap left open by the published summary-data framework. Our literature coding shows the gap is real and increasingly prevalent, yet the targeted design is so rarely reported that the field does not even tag it. In realized same-sign mediation the bias is typically conservative (narrowing; the only batch-observed flip is a degenerate self-mediating boundary case), so published conclusions are robust — but because the sign is prior-unknown and the positive-covariance/sample-overlap regime widens, correction is necessary for valid inference in every two-step MR mediation report.</w:t>
      </w:r>
    </w:p>
    <w:p>
      <w:pPr>
        <w:spacing w:before="200" w:after="80"/>
        <w:jc w:val="left"/>
      </w:pPr>
      <w:r>
        <w:rPr>
          <w:rFonts w:ascii="Times New Roman" w:hAnsi="Times New Roman"/>
          <w:b/>
          <w:sz w:val="26"/>
        </w:rPr>
        <w:t>Data and code availability</w:t>
      </w:r>
    </w:p>
    <w:p>
      <w:pPr>
        <w:ind w:firstLine="480"/>
        <w:jc w:val="both"/>
      </w:pPr>
      <w:r>
        <w:rPr>
          <w:rFonts w:ascii="Times New Roman" w:hAnsi="Times New Roman"/>
          <w:b w:val="0"/>
          <w:sz w:val="24"/>
        </w:rPr>
        <w:t>The diagnostic tool estimate_cov_prod_mr() and all replication scripts are deposited in a public GitHub repository (https://github.com/javenzju/two-step-mr-cov; archived at Zenodo, DOI: 10.5281/zenodo.XXXXXXX) and are organised as follows. The core tool and its dependencies are in code/method_core/ (S10_prod_mr_cov_tool.R, weak_instrument_threshold_FIXED.R, S16_bootstrap_fallback_indirect_var_FIXED.R); validation scripts are code/method_core/T2_validation.R and code/method_core/T5_bootstrap_coverage.R. The TwoSampleMR-compatible wrapper mr_cov_correct() is code/correct_cov_prod_mr.R (self-test code/test_correct_cov_prod_mr.R), the ieugwasr-compatible wrapper mr_mediation_correct_from_frames() is code/correct_from_ieugwasr.py, and the usage guide is code/TOOL_README.md; both wrappers were cross-checked against code/method_core/S10_prod_mr_cov_tool.R and the D56 ground truth. The inter-coder reliability work package (blind re-coding sheet, second-coder template, sealed answer key, and compute_kappa_2nd.py calculator with Pe→1-artifact detection and bootstrap CI) is in code/ (kappa_second_coder_template.csv, code/kappa/kappa_answer_key_20260903.csv, compute_kappa_2nd.py, kappa_instructions.md) and is re-runnable via a second blinded coding pass; the reporting second-coder re-code by C. Yan and its κ report are in code/kappa_chenyan_task/ (kappa_second_coder_chenyan_FILLED.csv, kappa_2nd_report.csv, compute_kappa_2nd.py). Real GWAS summary statistics were obtained through IEU OpenGWAS and are subject to the OpenGWAS data-use policy; the BMI → waist → CHD illustration uses trait IDs ieu-a-2, ieu-a-61, ieu-a-7, and the S245 re-examination uses ieu-a-302, met-a-509, prot-a-2100, finn-b-CD2_MULTIPLE_MYELOMA_PLASMA_CELL. Instrument sets were extracted via the OpenGWAS REST /tophits endpoint; the accession-resolution and overlap scripts are code/replication/S245_resolve_mediators.py and code/replication/S245_pi_shared.py. The Phase-B batch re-estimation pipeline (OpenGWAS REST /tophits + /associations, harmonized IVW, S10 correction) is code/replication/M4b_phaseB_pipeline.py, with the candidate screening, π_shared and re-estimation outputs in code/replication/. The horizontal-pleiotropy sensitivity analysis (MR-Egger intercept and weighted-median on both steps of the five non-degenerate trios) is code/replication/M4c_pleiotropy_sensitivity.py, with the per-step intercepts, p-values and weighted-median slopes in temp/M4c_pleiotropy.csv. The literature coding table underlying §3.3 is code/literature_coding_table_UPDATED.xlsx. The Zenodo DOI placeholder will be replaced with the permanent archival DOI once the tagged repository release has been deposited; the GitHub repository is public at submission.</w:t>
      </w:r>
    </w:p>
    <w:p>
      <w:pPr>
        <w:spacing w:before="200" w:after="80"/>
        <w:jc w:val="left"/>
      </w:pPr>
      <w:r>
        <w:rPr>
          <w:rFonts w:ascii="Times New Roman" w:hAnsi="Times New Roman"/>
          <w:b/>
          <w:sz w:val="26"/>
        </w:rPr>
        <w:t>Acknowledgments</w:t>
      </w:r>
    </w:p>
    <w:p>
      <w:pPr>
        <w:ind w:firstLine="480"/>
        <w:jc w:val="both"/>
      </w:pPr>
      <w:r>
        <w:rPr>
          <w:rFonts w:ascii="Times New Roman" w:hAnsi="Times New Roman"/>
          <w:b w:val="0"/>
          <w:sz w:val="24"/>
        </w:rPr>
        <w:t>This work was supported by the Zhejiang Traditional Chinese Medicine Science and Technology Plan Project (2023ZL390, 2024ZL381) and the Zhejiang Provincial Medical and Health Science and Technology Plan (2023KY860, 2021KY827). The funders had no role in study design, data collection, analysis, interpretation, decision to publish, or preparation of the manuscript. The authors thank the creators and maintainers of the IEU OpenGWAS platform and the original GWAS consortia for making summary statistics publicly available.</w:t>
      </w:r>
    </w:p>
    <w:p>
      <w:pPr>
        <w:spacing w:before="200" w:after="80"/>
        <w:jc w:val="left"/>
      </w:pPr>
      <w:r>
        <w:rPr>
          <w:rFonts w:ascii="Times New Roman" w:hAnsi="Times New Roman"/>
          <w:b/>
          <w:sz w:val="26"/>
        </w:rPr>
        <w:t>Author contributions</w:t>
      </w:r>
    </w:p>
    <w:p>
      <w:pPr>
        <w:ind w:firstLine="480"/>
        <w:jc w:val="both"/>
      </w:pPr>
      <w:r>
        <w:rPr>
          <w:rFonts w:ascii="Times New Roman" w:hAnsi="Times New Roman"/>
          <w:b w:val="0"/>
          <w:sz w:val="24"/>
        </w:rPr>
        <w:t>YC and JW conceived the study, derived the closed-form covariance, and wrote the manuscript. YC performed the literature screening and coding. JW implemented the reliability bound, the diagnostic tool, and the replication pipeline, and carried out the simulations and real-data analyses. Both authors read and approved the final manuscript.</w:t>
      </w:r>
    </w:p>
    <w:p>
      <w:pPr>
        <w:spacing w:before="200" w:after="80"/>
        <w:jc w:val="left"/>
      </w:pPr>
      <w:r>
        <w:rPr>
          <w:rFonts w:ascii="Times New Roman" w:hAnsi="Times New Roman"/>
          <w:b/>
          <w:sz w:val="26"/>
        </w:rPr>
        <w:t>Ethical approval</w:t>
      </w:r>
    </w:p>
    <w:p>
      <w:pPr>
        <w:ind w:firstLine="480"/>
        <w:jc w:val="both"/>
      </w:pPr>
      <w:r>
        <w:rPr>
          <w:rFonts w:ascii="Times New Roman" w:hAnsi="Times New Roman"/>
          <w:b w:val="0"/>
          <w:sz w:val="24"/>
        </w:rPr>
        <w:t>This study used only publicly available, summary-level GWAS data and did not involve individual-level data, human participants, or animals. No new ethical approval or informed consent was required beyond that obtained by the original GWAS consortia.</w:t>
      </w:r>
    </w:p>
    <w:p>
      <w:pPr>
        <w:spacing w:before="200" w:after="80"/>
        <w:jc w:val="left"/>
      </w:pPr>
      <w:r>
        <w:rPr>
          <w:rFonts w:ascii="Times New Roman" w:hAnsi="Times New Roman"/>
          <w:b/>
          <w:sz w:val="26"/>
        </w:rPr>
        <w:t>Competing interests</w:t>
      </w:r>
    </w:p>
    <w:p>
      <w:pPr>
        <w:ind w:firstLine="480"/>
        <w:jc w:val="both"/>
      </w:pPr>
      <w:r>
        <w:rPr>
          <w:rFonts w:ascii="Times New Roman" w:hAnsi="Times New Roman"/>
          <w:b w:val="0"/>
          <w:sz w:val="24"/>
        </w:rPr>
        <w:t>The authors declare no competing interests.</w:t>
      </w:r>
    </w:p>
    <w:p>
      <w:pPr>
        <w:spacing w:before="200" w:after="80"/>
        <w:jc w:val="left"/>
      </w:pPr>
      <w:r>
        <w:rPr>
          <w:rFonts w:ascii="Times New Roman" w:hAnsi="Times New Roman"/>
          <w:b/>
          <w:sz w:val="26"/>
        </w:rPr>
        <w:t>Artificial intelligence disclosure</w:t>
      </w:r>
    </w:p>
    <w:p>
      <w:pPr>
        <w:ind w:firstLine="480"/>
        <w:jc w:val="both"/>
      </w:pPr>
      <w:r>
        <w:rPr>
          <w:rFonts w:ascii="Times New Roman" w:hAnsi="Times New Roman"/>
          <w:b w:val="0"/>
          <w:sz w:val="24"/>
        </w:rPr>
        <w:t>During manuscript preparation the authors used a large language model (an AI assistant) to support English-language polishing and to scaffold and debug analysis code. The language model did not conceive the research questions, derive the closed-form covariance, perform the statistical analyses, or interpret the results; all methods, computations, results and conclusions were authored and verified by the human authors. No AI tool was used to generate the literature-review content, the coding decisions, or the reported numbers, and no text generated by the model was included without full author review and editing.</w:t>
      </w:r>
    </w:p>
    <w:p>
      <w:pPr>
        <w:spacing w:before="200" w:after="80"/>
        <w:jc w:val="left"/>
      </w:pPr>
      <w:r>
        <w:rPr>
          <w:rFonts w:ascii="Times New Roman" w:hAnsi="Times New Roman"/>
          <w:b/>
          <w:sz w:val="26"/>
        </w:rPr>
        <w:t>References</w:t>
      </w:r>
    </w:p>
    <w:p>
      <w:pPr>
        <w:ind w:left="420" w:hanging="420"/>
        <w:jc w:val="left"/>
      </w:pPr>
      <w:r>
        <w:rPr>
          <w:rFonts w:ascii="Times New Roman" w:hAnsi="Times New Roman"/>
          <w:b w:val="0"/>
          <w:sz w:val="20"/>
        </w:rPr>
        <w:t>1. Lawlor DA, Harbord RM, Sterne JA, Timpson N, Davey Smith G. Mendelian randomization: using genes as instruments for making causal inferences in epidemiology. Stat Med. 2008;27(8):1133-63. doi:10.1002/sim.3034. PMID: 17886233.</w:t>
      </w:r>
    </w:p>
    <w:p>
      <w:pPr>
        <w:ind w:left="420" w:hanging="420"/>
        <w:jc w:val="left"/>
      </w:pPr>
      <w:r>
        <w:rPr>
          <w:rFonts w:ascii="Times New Roman" w:hAnsi="Times New Roman"/>
          <w:b w:val="0"/>
          <w:sz w:val="20"/>
        </w:rPr>
        <w:t>2. Davey Smith G, Hemani G. Mendelian randomization: genetic anchors for causal inference in epidemiological studies. Hum Mol Genet. 2014;23(R1):R89-98. doi:10.1093/hmg/ddu328. PMID: 25064373.</w:t>
      </w:r>
    </w:p>
    <w:p>
      <w:pPr>
        <w:ind w:left="420" w:hanging="420"/>
        <w:jc w:val="left"/>
      </w:pPr>
      <w:r>
        <w:rPr>
          <w:rFonts w:ascii="Times New Roman" w:hAnsi="Times New Roman"/>
          <w:b w:val="0"/>
          <w:sz w:val="20"/>
        </w:rPr>
        <w:t>3. Burgess S, Butterworth A, Thompson SG. Mendelian randomization analysis with multiple genetic variants using summarized data. Genet Epidemiol. 2013;37(7):658-65. doi:10.1002/gepi.21758. PMID: 24114802.</w:t>
      </w:r>
    </w:p>
    <w:p>
      <w:pPr>
        <w:ind w:left="420" w:hanging="420"/>
        <w:jc w:val="left"/>
      </w:pPr>
      <w:r>
        <w:rPr>
          <w:rFonts w:ascii="Times New Roman" w:hAnsi="Times New Roman"/>
          <w:b w:val="0"/>
          <w:sz w:val="20"/>
        </w:rPr>
        <w:t>4. Pierce BL, Burgess S. Efficient design for Mendelian randomization studies: subsample and 2-sample instrumental variable estimators. Am J Epidemiol. 2013;178(7):1177-84. doi:10.1093/aje/kwt084. PMID: 23863760.</w:t>
      </w:r>
    </w:p>
    <w:p>
      <w:pPr>
        <w:ind w:left="420" w:hanging="420"/>
        <w:jc w:val="left"/>
      </w:pPr>
      <w:r>
        <w:rPr>
          <w:rFonts w:ascii="Times New Roman" w:hAnsi="Times New Roman"/>
          <w:b w:val="0"/>
          <w:sz w:val="20"/>
        </w:rPr>
        <w:t>5. Burgess S, Dudbridge F, Thompson SG. Combining information on multiple instrumental variables in Mendelian randomization: comparison of allele score and summarized data methods. Stat Med. 2016;35(11):1880-906. doi:10.1002/sim.6835. PMID: 26661904.</w:t>
      </w:r>
    </w:p>
    <w:p>
      <w:pPr>
        <w:ind w:left="420" w:hanging="420"/>
        <w:jc w:val="left"/>
      </w:pPr>
      <w:r>
        <w:rPr>
          <w:rFonts w:ascii="Times New Roman" w:hAnsi="Times New Roman"/>
          <w:b w:val="0"/>
          <w:sz w:val="20"/>
        </w:rPr>
        <w:t>6. Burgess S, Thompson SG, CRP CHD Genetics Collaboration. Avoiding bias from weak instruments in Mendelian randomization studies. Int J Epidemiol. 2011;40(3):755-64. doi:10.1093/ije/dyr036. PMID: 21414999.</w:t>
      </w:r>
    </w:p>
    <w:p>
      <w:pPr>
        <w:ind w:left="420" w:hanging="420"/>
        <w:jc w:val="left"/>
      </w:pPr>
      <w:r>
        <w:rPr>
          <w:rFonts w:ascii="Times New Roman" w:hAnsi="Times New Roman"/>
          <w:b w:val="0"/>
          <w:sz w:val="20"/>
        </w:rPr>
        <w:t>7. Bowden J, Davey Smith G, Burgess S. Mendelian randomization with invalid instruments: effect estimation and bias detection through Egger regression. Int J Epidemiol. 2015;44(2):512-25. doi:10.1093/ije/dyv080. PMID: 26050253.</w:t>
      </w:r>
    </w:p>
    <w:p>
      <w:pPr>
        <w:ind w:left="420" w:hanging="420"/>
        <w:jc w:val="left"/>
      </w:pPr>
      <w:r>
        <w:rPr>
          <w:rFonts w:ascii="Times New Roman" w:hAnsi="Times New Roman"/>
          <w:b w:val="0"/>
          <w:sz w:val="20"/>
        </w:rPr>
        <w:t>8. Verbanck M, Chen CY, Neale B, Do R. Detection of widespread horizontal pleiotropy in causal relationships inferred from Mendelian randomization between complex traits and diseases. Nat Genet. 2018;50(5):693-698. doi:10.1038/s41588-018-0099-7. PMID: 29686387.</w:t>
      </w:r>
    </w:p>
    <w:p>
      <w:pPr>
        <w:ind w:left="420" w:hanging="420"/>
        <w:jc w:val="left"/>
      </w:pPr>
      <w:r>
        <w:rPr>
          <w:rFonts w:ascii="Times New Roman" w:hAnsi="Times New Roman"/>
          <w:b w:val="0"/>
          <w:sz w:val="20"/>
        </w:rPr>
        <w:t>9. Bowden J, Davey Smith G, Haycock PC, Burgess S. Consistent Estimation in Mendelian Randomization with Some Invalid Instruments Using a Weighted Median Estimator. Genet Epidemiol. 2016;40(4):304-14. doi:10.1002/gepi.21965. PMID: 27061298.</w:t>
      </w:r>
    </w:p>
    <w:p>
      <w:pPr>
        <w:ind w:left="420" w:hanging="420"/>
        <w:jc w:val="left"/>
      </w:pPr>
      <w:r>
        <w:rPr>
          <w:rFonts w:ascii="Times New Roman" w:hAnsi="Times New Roman"/>
          <w:b w:val="0"/>
          <w:sz w:val="20"/>
        </w:rPr>
        <w:t>10. Burgess S, Daniel RM, Butterworth AS, Thompson SG, EPIC-InterAct Consortium. Network Mendelian randomization: using genetic variants as instrumental variables to investigate mediation in causal pathways. Int J Epidemiol. 2015;44(2):484-95. doi:10.1093/ije/dyu176. PMID: 25150977.</w:t>
      </w:r>
    </w:p>
    <w:p>
      <w:pPr>
        <w:ind w:left="420" w:hanging="420"/>
        <w:jc w:val="left"/>
      </w:pPr>
      <w:r>
        <w:rPr>
          <w:rFonts w:ascii="Times New Roman" w:hAnsi="Times New Roman"/>
          <w:b w:val="0"/>
          <w:sz w:val="20"/>
        </w:rPr>
        <w:t>11. Carter AR, Sanderson E, Hammerton G, Richmond RC, Davey Smith G, Heron J, et al. Mendelian randomisation for mediation analysis: current methods and challenges for implementation. Eur J Epidemiol. 2021;36(5):465-478. doi:10.1007/s10654-021-00757-1. PMID: 33961203.</w:t>
      </w:r>
    </w:p>
    <w:p>
      <w:pPr>
        <w:ind w:left="420" w:hanging="420"/>
        <w:jc w:val="left"/>
      </w:pPr>
      <w:r>
        <w:rPr>
          <w:rFonts w:ascii="Times New Roman" w:hAnsi="Times New Roman"/>
          <w:b w:val="0"/>
          <w:sz w:val="20"/>
        </w:rPr>
        <w:t>12. Burgess S, Davies NM, Thompson SG. Bias due to participant overlap in two-sample Mendelian randomization. Genet Epidemiol. 2016;40(7):597-608. doi:10.1002/gepi.21998. PMID: 27625185.</w:t>
      </w:r>
    </w:p>
    <w:p>
      <w:pPr>
        <w:ind w:left="420" w:hanging="420"/>
        <w:jc w:val="left"/>
      </w:pPr>
      <w:r>
        <w:rPr>
          <w:rFonts w:ascii="Times New Roman" w:hAnsi="Times New Roman"/>
          <w:b w:val="0"/>
          <w:sz w:val="20"/>
        </w:rPr>
        <w:t>13. Sanderson E, Davey Smith G, Windmeijer F, Bowden J. An examination of multivariable Mendelian randomization in the single-sample and two-sample summary data settings. Int J Epidemiol. 2019;48(3):713-727. doi:10.1093/ije/dyy262. PMID: 30535378.</w:t>
      </w:r>
    </w:p>
    <w:p>
      <w:pPr>
        <w:ind w:left="420" w:hanging="420"/>
        <w:jc w:val="left"/>
      </w:pPr>
      <w:r>
        <w:rPr>
          <w:rFonts w:ascii="Times New Roman" w:hAnsi="Times New Roman"/>
          <w:b w:val="0"/>
          <w:sz w:val="20"/>
        </w:rPr>
        <w:t>14. Davies NM, Holmes MV, Davey Smith G. Reading Mendelian randomisation studies: a guide, glossary, and checklist for clinicians. BMJ. 2018;362:k601. doi:10.1136/bmj.k601. PMID: 30002074.</w:t>
      </w:r>
    </w:p>
    <w:p>
      <w:pPr>
        <w:ind w:left="420" w:hanging="420"/>
        <w:jc w:val="left"/>
      </w:pPr>
      <w:r>
        <w:rPr>
          <w:rFonts w:ascii="Times New Roman" w:hAnsi="Times New Roman"/>
          <w:b w:val="0"/>
          <w:sz w:val="20"/>
        </w:rPr>
        <w:t>15. Lin SC, Lin SH, Ge T, Chen CY, Lin YF. Causal Mediation Analysis: A Summary-Data Mendelian Randomization Approach. Stat Med. 2025;44(5):e10317. doi:10.1002/sim.10317. PMID: 39910926.</w:t>
      </w:r>
    </w:p>
    <w:p>
      <w:pPr>
        <w:ind w:left="420" w:hanging="420"/>
        <w:jc w:val="left"/>
      </w:pPr>
      <w:r>
        <w:rPr>
          <w:rFonts w:ascii="Times New Roman" w:hAnsi="Times New Roman"/>
          <w:b w:val="0"/>
          <w:sz w:val="20"/>
        </w:rPr>
        <w:t>16. Hemani G, Zheng J, Elsworth B, Wade KH, Haberland V, Baird D, et al. The MR-Base platform supports systematic causal inference across the human phenome. Elife. 2018;7. doi:10.7554/eLife.34408. PMID: 29846171.</w:t>
      </w:r>
    </w:p>
    <w:p>
      <w:pPr>
        <w:ind w:left="420" w:hanging="420"/>
        <w:jc w:val="left"/>
      </w:pPr>
      <w:r>
        <w:rPr>
          <w:rFonts w:ascii="Times New Roman" w:hAnsi="Times New Roman"/>
          <w:b w:val="0"/>
          <w:sz w:val="20"/>
        </w:rPr>
        <w:t>17. Yavorska OO, Burgess S. MendelianRandomization: an R package for performing Mendelian randomization analyses using summarized data. Int J Epidemiol. 2017;46(6):1734-1739. doi:10.1093/ije/dyx034. PMID: 28398548.</w:t>
      </w:r>
    </w:p>
    <w:p>
      <w:pPr>
        <w:ind w:left="420" w:hanging="420"/>
        <w:jc w:val="left"/>
      </w:pPr>
      <w:r>
        <w:rPr>
          <w:rFonts w:ascii="Times New Roman" w:hAnsi="Times New Roman"/>
          <w:b w:val="0"/>
          <w:sz w:val="20"/>
        </w:rPr>
        <w:t>18. Sanderson E, Windmeijer F. A weak instrument F-test in linear IV models with multiple endogenous variables. J Econom. 2016;190(2):212-221. doi:10.1016/j.jeconom.2015.06.004. PMID: 29129953.</w:t>
      </w:r>
    </w:p>
    <w:p>
      <w:pPr>
        <w:ind w:left="420" w:hanging="420"/>
        <w:jc w:val="left"/>
      </w:pPr>
      <w:r>
        <w:rPr>
          <w:rFonts w:ascii="Times New Roman" w:hAnsi="Times New Roman"/>
          <w:b w:val="0"/>
          <w:sz w:val="20"/>
        </w:rPr>
        <w:t>19. Sanderson E, Spiller W, Bowden J. Testing and correcting for weak and pleiotropic instruments in two-sample multivariable Mendelian randomization. Stat Med. 2021;40(25):5434-5452. doi:10.1002/sim.9133. PMID: 34338327.</w:t>
      </w:r>
    </w:p>
    <w:p>
      <w:pPr>
        <w:ind w:left="420" w:hanging="420"/>
        <w:jc w:val="left"/>
      </w:pPr>
      <w:r>
        <w:rPr>
          <w:rFonts w:ascii="Times New Roman" w:hAnsi="Times New Roman"/>
          <w:b w:val="0"/>
          <w:sz w:val="20"/>
        </w:rPr>
        <w:t>20. Bulik-Sullivan BK, Loh PR, Finucane HK, Ripke S, Yang J, Schizophrenia Working Group of the Psychiatric Genomics Consortium, et al. LD Score regression distinguishes confounding from polygenicity in genome-wide association studies. Nat Genet. 2015;47(3):291-5. doi:10.1038/ng.3211. PMID: 25642630.</w:t>
      </w:r>
    </w:p>
    <w:p>
      <w:pPr>
        <w:ind w:left="420" w:hanging="420"/>
        <w:jc w:val="left"/>
      </w:pPr>
      <w:r>
        <w:rPr>
          <w:rFonts w:ascii="Times New Roman" w:hAnsi="Times New Roman"/>
          <w:b w:val="0"/>
          <w:sz w:val="20"/>
        </w:rPr>
        <w:t>21. Yao M, Wang A, Li X, Liu Z. Mendelian Randomization Methods for Causal Inference: Estimands, Identification and Inference. Stat Med. 2026;45(1-2):e70394. doi:10.1002/sim.70394. PMID: 41569765.</w:t>
      </w:r>
    </w:p>
    <w:p>
      <w:pPr>
        <w:ind w:left="420" w:hanging="420"/>
        <w:jc w:val="left"/>
      </w:pPr>
      <w:r>
        <w:rPr>
          <w:rFonts w:ascii="Times New Roman" w:hAnsi="Times New Roman"/>
          <w:b w:val="0"/>
          <w:sz w:val="20"/>
        </w:rPr>
        <w:t>22. Chen J, Zhao J, Fu S. Addressing sample overlap and meta-analysis imbalances in Mendelian randomization: a critical appraisal of protein targets for myocardial infarction. Eur Heart J. 2025;46(29):2928-2929. doi:10.1093/eurheartj/ehaf186. PMID: 40249360.</w:t>
      </w:r>
    </w:p>
    <w:p>
      <w:pPr>
        <w:ind w:left="420" w:hanging="420"/>
        <w:jc w:val="left"/>
      </w:pPr>
      <w:r>
        <w:rPr>
          <w:rFonts w:ascii="Times New Roman" w:hAnsi="Times New Roman"/>
          <w:b w:val="0"/>
          <w:sz w:val="20"/>
        </w:rPr>
        <w:t>23. Forde A, Hemani G, Ferguson J. Simulated sample splitting approach to address biases due to instrument selection and participant overlap in two-sample Mendelian Randomization studies. PLoS Genet. 2026;22(5):e1011949. doi:10.1371/journal.pgen.1011949. PMID: 42102131.</w:t>
      </w:r>
    </w:p>
    <w:p>
      <w:pPr>
        <w:ind w:left="420" w:hanging="420"/>
        <w:jc w:val="left"/>
      </w:pPr>
      <w:r>
        <w:rPr>
          <w:rFonts w:ascii="Times New Roman" w:hAnsi="Times New Roman"/>
          <w:b w:val="0"/>
          <w:sz w:val="20"/>
        </w:rPr>
        <w:t>24. Zhang L, Yan R, Gong W, Zhou X, Liu L, Yuan Z. METEOR: a data-adaptive Mendelian randomization method for powerful detection of shared and specific exposures underlying multiple outcomes. Brief Bioinform. 2026;27(4). doi:10.1093/bib/bbag364. PMID: 42407119.</w:t>
      </w:r>
    </w:p>
    <w:p>
      <w:pPr>
        <w:ind w:left="420" w:hanging="420"/>
        <w:jc w:val="left"/>
      </w:pPr>
      <w:r>
        <w:rPr>
          <w:rFonts w:ascii="Times New Roman" w:hAnsi="Times New Roman"/>
          <w:b w:val="0"/>
          <w:sz w:val="20"/>
        </w:rPr>
        <w:t>25. Feng Y, Guo X, Huang P, Jia N, Hu S, Yang S. Cross-ancestry pleiotropic analysis of imaging-derived phenotypes enhances risk stratification of depression. Mol Psychiatry. 2026. doi:10.1038/s41380-026-03730-0. PMID: 42387104.</w:t>
      </w:r>
    </w:p>
    <w:p>
      <w:pPr>
        <w:ind w:left="420" w:hanging="420"/>
        <w:jc w:val="left"/>
      </w:pPr>
      <w:r>
        <w:rPr>
          <w:rFonts w:ascii="Times New Roman" w:hAnsi="Times New Roman"/>
          <w:b w:val="0"/>
          <w:sz w:val="20"/>
        </w:rPr>
        <w:t>26. Tong J, Li N, Hu F, Yue Y. Metabolic Improvement Mediates the Causal Relationship Between GLP-1 Receptor Agonists and Myocardial Infarction: A Mendelian Randomization and Mediation Analysis Study. Diabetes Care. 2026;49(1):171-178. doi:10.2337/dc25-1822. PMID: 41259721.</w:t>
      </w:r>
    </w:p>
    <w:p>
      <w:pPr>
        <w:ind w:left="420" w:hanging="420"/>
        <w:jc w:val="left"/>
      </w:pPr>
      <w:r>
        <w:rPr>
          <w:rFonts w:ascii="Times New Roman" w:hAnsi="Times New Roman"/>
          <w:b w:val="0"/>
          <w:sz w:val="20"/>
        </w:rPr>
        <w:t>27. Yu X, Chen Y, Lei L, Li P, Lin D, Shen Y, et al. Mendelian randomization analysis of blood metabolites and immune cell mediators in relation to GVHD and relapse. BMC Med. 2025;23(1):201. doi:10.1186/s12916-025-04026-w. PMID: 40189523.</w:t>
      </w:r>
    </w:p>
    <w:p>
      <w:pPr>
        <w:ind w:left="420" w:hanging="420"/>
        <w:jc w:val="left"/>
      </w:pPr>
      <w:r>
        <w:rPr>
          <w:rFonts w:ascii="Times New Roman" w:hAnsi="Times New Roman"/>
          <w:b w:val="0"/>
          <w:sz w:val="20"/>
        </w:rPr>
        <w:t>28. Lin M, Guo J, Tao H, Gu Z, Tang W, Zhou F, et al. Circulating mediators linking cardiometabolic diseases to HFpEF: a mediation Mendelian randomization analysis. Cardiovasc Diabetol. 2025;24(1):201. doi:10.1186/s12933-025-02738-0. PMID: 40355922.</w:t>
      </w:r>
    </w:p>
    <w:p>
      <w:pPr>
        <w:ind w:left="420" w:hanging="420"/>
        <w:jc w:val="left"/>
      </w:pPr>
      <w:r>
        <w:rPr>
          <w:rFonts w:ascii="Times New Roman" w:hAnsi="Times New Roman"/>
          <w:b w:val="0"/>
          <w:sz w:val="20"/>
        </w:rPr>
        <w:t>29. Hu Y, Cui X, Lu M, Guan X, Li Y, Zhang L, et al. Body Fat Distribution and Ectopic Fat Accumulation as Mediator of Diabetogenic Action of Lipid-Modifying Drugs: A Mediation Mendelian Randomization Study. Mayo Clin Proc. 2025;100(3):424-439. doi:10.1016/j.mayocp.2024.10.018. PMID: 39918451.</w:t>
      </w:r>
    </w:p>
    <w:p>
      <w:pPr>
        <w:ind w:left="420" w:hanging="420"/>
        <w:jc w:val="left"/>
      </w:pPr>
      <w:r>
        <w:rPr>
          <w:rFonts w:ascii="Times New Roman" w:hAnsi="Times New Roman"/>
          <w:b w:val="0"/>
          <w:sz w:val="20"/>
        </w:rPr>
        <w:t>30. Huang M, Liu Y, Chen C, Cheng Y, Dai W. Cyclic cytokines mediated the effect of immune cells on meningioma: a two-step, mediation mendelian randomization study. BMC Cancer. 2025;25(1):1633. doi:10.1186/s12885-025-14694-9. PMID: 41131505.</w:t>
      </w:r>
    </w:p>
    <w:p>
      <w:pPr>
        <w:ind w:left="420" w:hanging="420"/>
        <w:jc w:val="left"/>
      </w:pPr>
      <w:r>
        <w:rPr>
          <w:rFonts w:ascii="Times New Roman" w:hAnsi="Times New Roman"/>
          <w:b w:val="0"/>
          <w:sz w:val="20"/>
        </w:rPr>
        <w:t>31. Zhou J, Lu Z, Xu K, Zhao G, Zhu Y, Yuan R, et al. Air pollution is the risk factor for psychiatric disorders: a two-step Mendelian randomization study. J Affect Disord. 2025;388:119475. doi:10.1016/j.jad.2025.119475. PMID: 40436208.</w:t>
      </w:r>
    </w:p>
    <w:p>
      <w:pPr>
        <w:ind w:left="420" w:hanging="420"/>
        <w:jc w:val="left"/>
      </w:pPr>
      <w:r>
        <w:rPr>
          <w:rFonts w:ascii="Times New Roman" w:hAnsi="Times New Roman"/>
          <w:b w:val="0"/>
          <w:sz w:val="20"/>
        </w:rPr>
        <w:t>32. Wang R, Sun J, Yu X. Mediators of the association between nut consumption and cardiovascular diseases: a two-step mendelian randomization study. Sci Rep. 2025;15(1):829. doi:10.1038/s41598-024-85070-z. PMID: 39755742.</w:t>
      </w:r>
    </w:p>
    <w:p>
      <w:pPr>
        <w:ind w:left="420" w:hanging="420"/>
        <w:jc w:val="left"/>
      </w:pPr>
      <w:r>
        <w:rPr>
          <w:rFonts w:ascii="Times New Roman" w:hAnsi="Times New Roman"/>
          <w:b w:val="0"/>
          <w:sz w:val="20"/>
        </w:rPr>
        <w:t>33. Xu C, Xu Y, Ma J, Wang G. Mendelian randomization and mediation examination of the immune cell-mediated link between sphingomyelin and stroke. J Stroke Cerebrovasc Dis. 2025;34(2):108205. doi:10.1016/j.jstrokecerebrovasdis.2024.108205. PMID: 39706358.</w:t>
      </w:r>
    </w:p>
    <w:p>
      <w:pPr>
        <w:ind w:left="420" w:hanging="420"/>
        <w:jc w:val="left"/>
      </w:pPr>
      <w:r>
        <w:rPr>
          <w:rFonts w:ascii="Times New Roman" w:hAnsi="Times New Roman"/>
          <w:b w:val="0"/>
          <w:sz w:val="20"/>
        </w:rPr>
        <w:t>34. Wang Y, Mou YK, Liu WC, Wang HR, Song XY, Yang T, et al. Genetically Predicted Immune Cell-Mediated Effect of Lipid Metabolism on Allergic Diseases: A Two-Step, Mediation Mendelian Randomization Study. Int Arch Allergy Immunol. 2025;186(5):430-444. doi:10.1159/000542036. PMID: 39541965.</w:t>
      </w:r>
    </w:p>
    <w:p>
      <w:pPr>
        <w:ind w:left="420" w:hanging="420"/>
        <w:jc w:val="left"/>
      </w:pPr>
      <w:r>
        <w:rPr>
          <w:rFonts w:ascii="Times New Roman" w:hAnsi="Times New Roman"/>
          <w:b w:val="0"/>
          <w:sz w:val="20"/>
        </w:rPr>
        <w:t>35. Sun J, Teng F, Cao Y, Pei H, Ma L, Wei W, et al. Peripheral blood immune cell phenotypes and Alzheimer's disease: A mediation Mendelian randomization study. J Alzheimers Dis. 2025;105(2):622-633. doi:10.1177/13872877251330503. PMID: 40232262.</w:t>
      </w:r>
    </w:p>
    <w:p>
      <w:pPr>
        <w:ind w:left="420" w:hanging="420"/>
        <w:jc w:val="left"/>
      </w:pPr>
      <w:r>
        <w:rPr>
          <w:rFonts w:ascii="Times New Roman" w:hAnsi="Times New Roman"/>
          <w:b w:val="0"/>
          <w:sz w:val="20"/>
        </w:rPr>
        <w:t>36. Zhang PA, Wang JL, Fu SY, Luo HL, Qin RD, Li J. Mediators of the association between allergic diseases and bronchiectasis: A bi-directional univariable and multivariable Mendelian randomization study and mediation analysis. World Allergy Organ J. 2025;18(3):101038. doi:10.1016/j.waojou.2025.101038. PMID: 40151543.</w:t>
      </w:r>
    </w:p>
    <w:p>
      <w:pPr>
        <w:ind w:left="420" w:hanging="420"/>
        <w:jc w:val="left"/>
      </w:pPr>
      <w:r>
        <w:rPr>
          <w:rFonts w:ascii="Times New Roman" w:hAnsi="Times New Roman"/>
          <w:b w:val="0"/>
          <w:sz w:val="20"/>
        </w:rPr>
        <w:t>37. Hao Y, Jiang X, Xiao J, Fan M, Wu X, Liao J, et al. Genetic evidence for potential molecular mediators underlying the causal relationship between obesity and breast cancer: a two-step, two-sample Mendelian randomization study. BMC Cancer. 2026;26(1). doi:10.1186/s12885-026-15744-6. PMID: 41807932.</w:t>
      </w:r>
    </w:p>
    <w:p>
      <w:pPr>
        <w:ind w:left="420" w:hanging="420"/>
        <w:jc w:val="left"/>
      </w:pPr>
      <w:r>
        <w:rPr>
          <w:rFonts w:ascii="Times New Roman" w:hAnsi="Times New Roman"/>
          <w:b w:val="0"/>
          <w:sz w:val="20"/>
        </w:rPr>
        <w:t>38. Wang M, Teng T, Mo D, Chen R, Xu J, Dong Z, et al. Neuroticism as a protective factor for cardiomyopathy: A mediation Mendelian randomization study. J Affect Disord. 2026;403:121400. doi:10.1016/j.jad.2026.121400. PMID: 41724399.</w:t>
      </w:r>
    </w:p>
    <w:p>
      <w:pPr>
        <w:ind w:left="420" w:hanging="420"/>
        <w:jc w:val="left"/>
      </w:pPr>
      <w:r>
        <w:rPr>
          <w:rFonts w:ascii="Times New Roman" w:hAnsi="Times New Roman"/>
          <w:b w:val="0"/>
          <w:sz w:val="20"/>
        </w:rPr>
        <w:t>39. He B, Lam HS, Qiu X, Shen S, Luo S, Slob EAW, et al. Association and mediation pathways of maternal hyperglycaemia and liability to gestational diabetes with neonatal outcomes: A two-sample Mendelian randomization study. Diabetes Obes Metab. 2025;27(2):529-538. doi:10.1111/dom.16045. PMID: 39501936.</w:t>
      </w:r>
    </w:p>
    <w:p>
      <w:pPr>
        <w:ind w:left="420" w:hanging="420"/>
        <w:jc w:val="left"/>
      </w:pPr>
      <w:r>
        <w:rPr>
          <w:rFonts w:ascii="Times New Roman" w:hAnsi="Times New Roman"/>
          <w:b w:val="0"/>
          <w:sz w:val="20"/>
        </w:rPr>
        <w:t>40. Skrivankova VW, Richmond RC, Woolf BAR, Yarmolinsky J, Davies NM, Swanson SA, et al. Strengthening the Reporting of Observational Studies in Epidemiology Using Mendelian Randomization: The STROBE-MR Statement. JAMA. 2021;326(16):1614-1621. doi:10.1001/jama.2021.18236. PMID: 34698778.</w:t>
      </w:r>
    </w:p>
    <w:p>
      <w:pPr>
        <w:spacing w:before="200" w:after="80"/>
        <w:jc w:val="left"/>
      </w:pPr>
      <w:r>
        <w:rPr>
          <w:rFonts w:ascii="Times New Roman" w:hAnsi="Times New Roman"/>
          <w:b/>
          <w:sz w:val="26"/>
        </w:rPr>
        <w:t>Figures</w:t>
      </w:r>
    </w:p>
    <w:p>
      <w:pPr>
        <w:jc w:val="center"/>
      </w:pPr>
      <w:r>
        <w:drawing>
          <wp:inline xmlns:a="http://schemas.openxmlformats.org/drawingml/2006/main" xmlns:pic="http://schemas.openxmlformats.org/drawingml/2006/picture">
            <wp:extent cx="5486400" cy="3587262"/>
            <wp:docPr id="5" name="Picture 5"/>
            <wp:cNvGraphicFramePr>
              <a:graphicFrameLocks noChangeAspect="1"/>
            </wp:cNvGraphicFramePr>
            <a:graphic>
              <a:graphicData uri="http://schemas.openxmlformats.org/drawingml/2006/picture">
                <pic:pic>
                  <pic:nvPicPr>
                    <pic:cNvPr id="0" name="Fig1_conceptual.png"/>
                    <pic:cNvPicPr/>
                  </pic:nvPicPr>
                  <pic:blipFill>
                    <a:blip r:embed="rId13"/>
                    <a:stretch>
                      <a:fillRect/>
                    </a:stretch>
                  </pic:blipFill>
                  <pic:spPr>
                    <a:xfrm>
                      <a:off x="0" y="0"/>
                      <a:ext cx="5486400" cy="3587262"/>
                    </a:xfrm>
                    <a:prstGeom prst="rect"/>
                  </pic:spPr>
                </pic:pic>
              </a:graphicData>
            </a:graphic>
          </wp:inline>
        </w:drawing>
      </w:r>
    </w:p>
    <w:p>
      <w:pPr>
        <w:jc w:val="both"/>
      </w:pPr>
      <w:r>
        <w:rPr>
          <w:rFonts w:ascii="Times New Roman" w:hAnsi="Times New Roman"/>
          <w:b/>
          <w:sz w:val="24"/>
        </w:rPr>
        <w:t>Figure 1.</w:t>
      </w:r>
      <w:r>
        <w:rPr>
          <w:rFonts w:ascii="Times New Roman" w:hAnsi="Times New Roman"/>
          <w:b w:val="0"/>
          <w:sz w:val="24"/>
        </w:rPr>
        <w:t xml:space="preserve"> Conceptual diagram of two-step (product-method) MR mediation with overlapping instruments. The indirect effect is α̂β̂. Whenever the step-1 and step-2 instrument sets share SNPs (n_s &gt; 0) or the mediator and outcome GWAS share samples (ρ_MY ≠ 0), Cov(α̂, β̂) ≠ 0 and the traditional delta-method variance is biased.</w:t>
      </w:r>
    </w:p>
    <w:p>
      <w:pPr>
        <w:jc w:val="center"/>
      </w:pPr>
      <w:r>
        <w:drawing>
          <wp:inline xmlns:a="http://schemas.openxmlformats.org/drawingml/2006/main" xmlns:pic="http://schemas.openxmlformats.org/drawingml/2006/picture">
            <wp:extent cx="5486400" cy="5486400"/>
            <wp:docPr id="6" name="Picture 6"/>
            <wp:cNvGraphicFramePr>
              <a:graphicFrameLocks noChangeAspect="1"/>
            </wp:cNvGraphicFramePr>
            <a:graphic>
              <a:graphicData uri="http://schemas.openxmlformats.org/drawingml/2006/picture">
                <pic:pic>
                  <pic:nvPicPr>
                    <pic:cNvPr id="0" name="Fig2_PRISMA.png"/>
                    <pic:cNvPicPr/>
                  </pic:nvPicPr>
                  <pic:blipFill>
                    <a:blip r:embed="rId14"/>
                    <a:stretch>
                      <a:fillRect/>
                    </a:stretch>
                  </pic:blipFill>
                  <pic:spPr>
                    <a:xfrm>
                      <a:off x="0" y="0"/>
                      <a:ext cx="5486400" cy="5486400"/>
                    </a:xfrm>
                    <a:prstGeom prst="rect"/>
                  </pic:spPr>
                </pic:pic>
              </a:graphicData>
            </a:graphic>
          </wp:inline>
        </w:drawing>
      </w:r>
    </w:p>
    <w:p>
      <w:pPr>
        <w:jc w:val="both"/>
      </w:pPr>
      <w:r>
        <w:rPr>
          <w:rFonts w:ascii="Times New Roman" w:hAnsi="Times New Roman"/>
          <w:b/>
          <w:sz w:val="24"/>
        </w:rPr>
        <w:t>Figure 2.</w:t>
      </w:r>
      <w:r>
        <w:rPr>
          <w:rFonts w:ascii="Times New Roman" w:hAnsi="Times New Roman"/>
          <w:b w:val="0"/>
          <w:sz w:val="24"/>
        </w:rPr>
        <w:t xml:space="preserve"> PRISMA 2020 flow diagram of the literature audit. Nine PubMed query strings identified 695 primary records; 362 were excluded at screening (not two-step MR mediation), leaving 333 two-step MR mediation reports. Of these, 220 could not be re-estimated at scale because their exposure, mediator and outcome did not all resolve to public GWAS accessions with EUR-clumped instruments, leaving 113 re-estimated trios (108 valid after 5 accession/network errors). Seven (6.5% [95% CI 3.2-12.8%]) showed genuine instrument overlap.</w:t>
      </w:r>
    </w:p>
    <w:p>
      <w:pPr>
        <w:jc w:val="center"/>
      </w:pPr>
      <w:r>
        <w:drawing>
          <wp:inline xmlns:a="http://schemas.openxmlformats.org/drawingml/2006/main" xmlns:pic="http://schemas.openxmlformats.org/drawingml/2006/picture">
            <wp:extent cx="5486400" cy="2493818"/>
            <wp:docPr id="7" name="Picture 7"/>
            <wp:cNvGraphicFramePr>
              <a:graphicFrameLocks noChangeAspect="1"/>
            </wp:cNvGraphicFramePr>
            <a:graphic>
              <a:graphicData uri="http://schemas.openxmlformats.org/drawingml/2006/picture">
                <pic:pic>
                  <pic:nvPicPr>
                    <pic:cNvPr id="0" name="FigS1_simulation.png"/>
                    <pic:cNvPicPr/>
                  </pic:nvPicPr>
                  <pic:blipFill>
                    <a:blip r:embed="rId15"/>
                    <a:stretch>
                      <a:fillRect/>
                    </a:stretch>
                  </pic:blipFill>
                  <pic:spPr>
                    <a:xfrm>
                      <a:off x="0" y="0"/>
                      <a:ext cx="5486400" cy="2493818"/>
                    </a:xfrm>
                    <a:prstGeom prst="rect"/>
                  </pic:spPr>
                </pic:pic>
              </a:graphicData>
            </a:graphic>
          </wp:inline>
        </w:drawing>
      </w:r>
    </w:p>
    <w:p>
      <w:pPr>
        <w:jc w:val="both"/>
      </w:pPr>
      <w:r>
        <w:rPr>
          <w:rFonts w:ascii="Times New Roman" w:hAnsi="Times New Roman"/>
          <w:b/>
          <w:sz w:val="24"/>
        </w:rPr>
        <w:t>Supplementary Figure S1.</w:t>
      </w:r>
      <w:r>
        <w:rPr>
          <w:rFonts w:ascii="Times New Roman" w:hAnsi="Times New Roman"/>
          <w:b w:val="0"/>
          <w:sz w:val="24"/>
        </w:rPr>
        <w:t xml:space="preserve"> *Left:* relative error of the traditional delta-method SE as a function of the proportion of shared instruments (π_shared), for instrument strengths F = 10, 15, 30 and ρ_MY = 0. At π_shared = 0.30 and F = 15 the traditional SE differs from the corrected SE by ~73% in magnitude. *Right:* empirical 95% CI coverage from an independent bootstrap validation (8 cells, 100 batches × 1000 replications). The corrected delta method (S10) tracks the bootstrap benchmark but shows residual under-coverage at very high overlap (π_shared = 0.7), motivating the Monte Carlo fallback.</w:t>
      </w:r>
    </w:p>
    <w:p>
      <w:pPr>
        <w:jc w:val="center"/>
      </w:pPr>
      <w:r>
        <w:drawing>
          <wp:inline xmlns:a="http://schemas.openxmlformats.org/drawingml/2006/main" xmlns:pic="http://schemas.openxmlformats.org/drawingml/2006/picture">
            <wp:extent cx="5486400" cy="3657600"/>
            <wp:docPr id="8" name="Picture 8"/>
            <wp:cNvGraphicFramePr>
              <a:graphicFrameLocks noChangeAspect="1"/>
            </wp:cNvGraphicFramePr>
            <a:graphic>
              <a:graphicData uri="http://schemas.openxmlformats.org/drawingml/2006/picture">
                <pic:pic>
                  <pic:nvPicPr>
                    <pic:cNvPr id="0" name="Fig3_literature.png"/>
                    <pic:cNvPicPr/>
                  </pic:nvPicPr>
                  <pic:blipFill>
                    <a:blip r:embed="rId16"/>
                    <a:stretch>
                      <a:fillRect/>
                    </a:stretch>
                  </pic:blipFill>
                  <pic:spPr>
                    <a:xfrm>
                      <a:off x="0" y="0"/>
                      <a:ext cx="5486400" cy="3657600"/>
                    </a:xfrm>
                    <a:prstGeom prst="rect"/>
                  </pic:spPr>
                </pic:pic>
              </a:graphicData>
            </a:graphic>
          </wp:inline>
        </w:drawing>
      </w:r>
    </w:p>
    <w:p>
      <w:pPr>
        <w:jc w:val="both"/>
      </w:pPr>
      <w:r>
        <w:rPr>
          <w:rFonts w:ascii="Times New Roman" w:hAnsi="Times New Roman"/>
          <w:b/>
          <w:sz w:val="24"/>
        </w:rPr>
        <w:t>Figure 3.</w:t>
      </w:r>
      <w:r>
        <w:rPr>
          <w:rFonts w:ascii="Times New Roman" w:hAnsi="Times New Roman"/>
          <w:b w:val="0"/>
          <w:sz w:val="24"/>
        </w:rPr>
        <w:t xml:space="preserve"> Percentage of 333 two-step MR mediation studies at risk of non-zero Cov(α̂, β̂) under three classification assumptions. *Conservative* counts only merged-IV-pool and MVMR-joint designs (9.3% [95% CI 6.6–12.9%]). *Typical* additionally counts separate-IV designs that do not report overlap handling, yielding the headline estimate of </w:t>
      </w:r>
      <w:r>
        <w:rPr>
          <w:rFonts w:ascii="Times New Roman" w:hAnsi="Times New Roman"/>
          <w:b/>
          <w:sz w:val="24"/>
        </w:rPr>
        <w:t>39.3% (95% CI 34.2–44.7%)</w:t>
      </w:r>
      <w:r>
        <w:rPr>
          <w:rFonts w:ascii="Times New Roman" w:hAnsi="Times New Roman"/>
          <w:b w:val="0"/>
          <w:sz w:val="24"/>
        </w:rPr>
        <w:t>. *Structural* counts all separate-IV designs as capable of overlap (41.1% [95% CI 36.0–46.5%]).</w:t>
      </w:r>
    </w:p>
    <w:p>
      <w:pPr>
        <w:jc w:val="center"/>
      </w:pPr>
      <w:r>
        <w:drawing>
          <wp:inline xmlns:a="http://schemas.openxmlformats.org/drawingml/2006/main" xmlns:pic="http://schemas.openxmlformats.org/drawingml/2006/picture">
            <wp:extent cx="5486400" cy="2481005"/>
            <wp:docPr id="9" name="Picture 9"/>
            <wp:cNvGraphicFramePr>
              <a:graphicFrameLocks noChangeAspect="1"/>
            </wp:cNvGraphicFramePr>
            <a:graphic>
              <a:graphicData uri="http://schemas.openxmlformats.org/drawingml/2006/picture">
                <pic:pic>
                  <pic:nvPicPr>
                    <pic:cNvPr id="0" name="Fig4_realdata.png"/>
                    <pic:cNvPicPr/>
                  </pic:nvPicPr>
                  <pic:blipFill>
                    <a:blip r:embed="rId17"/>
                    <a:stretch>
                      <a:fillRect/>
                    </a:stretch>
                  </pic:blipFill>
                  <pic:spPr>
                    <a:xfrm>
                      <a:off x="0" y="0"/>
                      <a:ext cx="5486400" cy="2481005"/>
                    </a:xfrm>
                    <a:prstGeom prst="rect"/>
                  </pic:spPr>
                </pic:pic>
              </a:graphicData>
            </a:graphic>
          </wp:inline>
        </w:drawing>
      </w:r>
    </w:p>
    <w:p>
      <w:pPr>
        <w:jc w:val="both"/>
      </w:pPr>
      <w:r>
        <w:rPr>
          <w:rFonts w:ascii="Times New Roman" w:hAnsi="Times New Roman"/>
          <w:b/>
          <w:sz w:val="24"/>
        </w:rPr>
        <w:t>Figure 4.</w:t>
      </w:r>
      <w:r>
        <w:rPr>
          <w:rFonts w:ascii="Times New Roman" w:hAnsi="Times New Roman"/>
          <w:b w:val="0"/>
          <w:sz w:val="24"/>
        </w:rPr>
        <w:t xml:space="preserve"> Indirect effect (α̂β̂) and 95% confidence intervals for the BMI → waist → CHD pathway. Red segments show the naive (traditional delta) CI; blue segments show the S10-corrected CI. *Top:* shared-IV design (n_s = 78), where the corrected SE is 15.5% smaller. *Bottom:* natural overlap (n_s = 13), where the corrected SE is 2.8% smaller.</w:t>
      </w:r>
    </w:p>
    <w:p>
      <w:pPr>
        <w:jc w:val="center"/>
      </w:pPr>
      <w:r>
        <w:drawing>
          <wp:inline xmlns:a="http://schemas.openxmlformats.org/drawingml/2006/main" xmlns:pic="http://schemas.openxmlformats.org/drawingml/2006/picture">
            <wp:extent cx="5486400" cy="2473693"/>
            <wp:docPr id="10" name="Picture 10"/>
            <wp:cNvGraphicFramePr>
              <a:graphicFrameLocks noChangeAspect="1"/>
            </wp:cNvGraphicFramePr>
            <a:graphic>
              <a:graphicData uri="http://schemas.openxmlformats.org/drawingml/2006/picture">
                <pic:pic>
                  <pic:nvPicPr>
                    <pic:cNvPr id="0" name="FigS2_pisweep.png"/>
                    <pic:cNvPicPr/>
                  </pic:nvPicPr>
                  <pic:blipFill>
                    <a:blip r:embed="rId18"/>
                    <a:stretch>
                      <a:fillRect/>
                    </a:stretch>
                  </pic:blipFill>
                  <pic:spPr>
                    <a:xfrm>
                      <a:off x="0" y="0"/>
                      <a:ext cx="5486400" cy="2473693"/>
                    </a:xfrm>
                    <a:prstGeom prst="rect"/>
                  </pic:spPr>
                </pic:pic>
              </a:graphicData>
            </a:graphic>
          </wp:inline>
        </w:drawing>
      </w:r>
    </w:p>
    <w:p>
      <w:pPr>
        <w:jc w:val="both"/>
      </w:pPr>
      <w:r>
        <w:rPr>
          <w:rFonts w:ascii="Times New Roman" w:hAnsi="Times New Roman"/>
          <w:b/>
          <w:sz w:val="24"/>
        </w:rPr>
        <w:t>Supplementary Figure S2.</w:t>
      </w:r>
      <w:r>
        <w:rPr>
          <w:rFonts w:ascii="Times New Roman" w:hAnsi="Times New Roman"/>
          <w:b w:val="0"/>
          <w:sz w:val="24"/>
        </w:rPr>
        <w:t xml:space="preserve"> Targeted validation sweep at non-degenerate shared-instrument proportions (ρ_MY = 0.5, n_reps = 30,000). *Left:* empirical Cov(α̂, β̂) (points) versus the closed-form analytical prediction (lines) across π_shared, for F = 10 and F = 30; the two coincide. *Right:* relative error of the analytical covariance versus the conservative reliability bound B(F, ρ_MY, π_shared) for all 12 cells; all points fall below the bound, with the worst cell at 14.1%.</w:t>
      </w:r>
    </w:p>
    <w:p>
      <w:pPr>
        <w:jc w:val="center"/>
      </w:pPr>
      <w:r>
        <w:drawing>
          <wp:inline xmlns:a="http://schemas.openxmlformats.org/drawingml/2006/main" xmlns:pic="http://schemas.openxmlformats.org/drawingml/2006/picture">
            <wp:extent cx="5486400" cy="2246996"/>
            <wp:docPr id="11" name="Picture 11"/>
            <wp:cNvGraphicFramePr>
              <a:graphicFrameLocks noChangeAspect="1"/>
            </wp:cNvGraphicFramePr>
            <a:graphic>
              <a:graphicData uri="http://schemas.openxmlformats.org/drawingml/2006/picture">
                <pic:pic>
                  <pic:nvPicPr>
                    <pic:cNvPr id="0" name="FigS3_flip_probability.png"/>
                    <pic:cNvPicPr/>
                  </pic:nvPicPr>
                  <pic:blipFill>
                    <a:blip r:embed="rId19"/>
                    <a:stretch>
                      <a:fillRect/>
                    </a:stretch>
                  </pic:blipFill>
                  <pic:spPr>
                    <a:xfrm>
                      <a:off x="0" y="0"/>
                      <a:ext cx="5486400" cy="2246996"/>
                    </a:xfrm>
                    <a:prstGeom prst="rect"/>
                  </pic:spPr>
                </pic:pic>
              </a:graphicData>
            </a:graphic>
          </wp:inline>
        </w:drawing>
      </w:r>
    </w:p>
    <w:p>
      <w:pPr>
        <w:jc w:val="both"/>
      </w:pPr>
      <w:r>
        <w:rPr>
          <w:rFonts w:ascii="Times New Roman" w:hAnsi="Times New Roman"/>
          <w:b/>
          <w:sz w:val="24"/>
        </w:rPr>
        <w:t>Supplementary Figure S3.</w:t>
      </w:r>
      <w:r>
        <w:rPr>
          <w:rFonts w:ascii="Times New Roman" w:hAnsi="Times New Roman"/>
          <w:b w:val="0"/>
          <w:sz w:val="24"/>
        </w:rPr>
        <w:t xml:space="preserve"> Flip probability as a function of the true indirect-effect non-centrality λ = δ/σ_naive, by shared-instrument proportion π_shared, under the corrected variance. *Panel A* (concordant mediation, ρ_MY = 0, F = 10): the correction narrows the CI, so flips are gains of significance; the maximum across the 200-cell grid is 5.7%. *Panel B* (discordant mediation / full sample overlap, ρ_MY = 1, F = 10): the correction widens the CI, so flips are losses of significance; the maximum is 10.4%. The dashed vertical line marks the naive 1.96 threshold; both panels confine the flip band to λ ≈ 1.7–2.4.</w:t>
      </w:r>
    </w:p>
    <w:p>
      <w:pPr>
        <w:jc w:val="center"/>
      </w:pPr>
      <w:r>
        <w:drawing>
          <wp:inline xmlns:a="http://schemas.openxmlformats.org/drawingml/2006/main" xmlns:pic="http://schemas.openxmlformats.org/drawingml/2006/picture">
            <wp:extent cx="5486400" cy="2362554"/>
            <wp:docPr id="12" name="Picture 12"/>
            <wp:cNvGraphicFramePr>
              <a:graphicFrameLocks noChangeAspect="1"/>
            </wp:cNvGraphicFramePr>
            <a:graphic>
              <a:graphicData uri="http://schemas.openxmlformats.org/drawingml/2006/picture">
                <pic:pic>
                  <pic:nvPicPr>
                    <pic:cNvPr id="0" name="FigS4_batch_forest.png"/>
                    <pic:cNvPicPr/>
                  </pic:nvPicPr>
                  <pic:blipFill>
                    <a:blip r:embed="rId20"/>
                    <a:stretch>
                      <a:fillRect/>
                    </a:stretch>
                  </pic:blipFill>
                  <pic:spPr>
                    <a:xfrm>
                      <a:off x="0" y="0"/>
                      <a:ext cx="5486400" cy="2362554"/>
                    </a:xfrm>
                    <a:prstGeom prst="rect"/>
                  </pic:spPr>
                </pic:pic>
              </a:graphicData>
            </a:graphic>
          </wp:inline>
        </w:drawing>
      </w:r>
    </w:p>
    <w:p>
      <w:pPr>
        <w:jc w:val="both"/>
      </w:pPr>
      <w:r>
        <w:rPr>
          <w:rFonts w:ascii="Times New Roman" w:hAnsi="Times New Roman"/>
          <w:b/>
          <w:sz w:val="24"/>
        </w:rPr>
        <w:t>Supplementary Figure S4.</w:t>
      </w:r>
      <w:r>
        <w:rPr>
          <w:rFonts w:ascii="Times New Roman" w:hAnsi="Times New Roman"/>
          <w:b w:val="0"/>
          <w:sz w:val="24"/>
        </w:rPr>
        <w:t xml:space="preserve"> Relative change in the indirect-effect SE after the S10 correction across the adequately powered overlapping studies from the batch re-estimation (Table 3). All values are negative (the CI narrows). Bars are TwoSampleMR-calibrated (cross-validated against the deposited D56 ground truth); the negative direction and the zero-flip conclusion are therefore fully validated, not screening-level.</w:t>
      </w:r>
    </w:p>
    <w:p>
      <w:pPr>
        <w:ind w:firstLine="480"/>
        <w:jc w:val="both"/>
      </w:pPr>
      <w:r>
        <w:rPr>
          <w:rFonts w:ascii="Times New Roman" w:hAnsi="Times New Roman"/>
          <w:b/>
          <w:sz w:val="24"/>
        </w:rPr>
        <w:t>Supplementary Table S1.</w:t>
      </w:r>
      <w:r>
        <w:rPr>
          <w:rFonts w:ascii="Times New Roman" w:hAnsi="Times New Roman"/>
          <w:b w:val="0"/>
          <w:sz w:val="24"/>
        </w:rPr>
        <w:t xml:space="preserve"> Targeted sweep at ρ_MY = 0.5, n_reps = 30,000. emp_cov and theory_total are the empirical and analytical Cov(α̂, β̂); rel_err is their relative difference (%). All 12 cells satisfy the conservative reliability bound B.</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sz w:val="19"/>
              </w:rPr>
              <w:t>F</w:t>
            </w:r>
          </w:p>
        </w:tc>
        <w:tc>
          <w:tcPr>
            <w:tcW w:type="dxa" w:w="1728"/>
          </w:tcPr>
          <w:p>
            <w:r/>
            <w:r>
              <w:rPr>
                <w:rFonts w:ascii="Times New Roman" w:hAnsi="Times New Roman"/>
                <w:b/>
                <w:sz w:val="19"/>
              </w:rPr>
              <w:t>π_shared</w:t>
            </w:r>
          </w:p>
        </w:tc>
        <w:tc>
          <w:tcPr>
            <w:tcW w:type="dxa" w:w="1728"/>
          </w:tcPr>
          <w:p>
            <w:r/>
            <w:r>
              <w:rPr>
                <w:rFonts w:ascii="Times New Roman" w:hAnsi="Times New Roman"/>
                <w:b/>
                <w:sz w:val="19"/>
              </w:rPr>
              <w:t>emp_cov</w:t>
            </w:r>
          </w:p>
        </w:tc>
        <w:tc>
          <w:tcPr>
            <w:tcW w:type="dxa" w:w="1728"/>
          </w:tcPr>
          <w:p>
            <w:r/>
            <w:r>
              <w:rPr>
                <w:rFonts w:ascii="Times New Roman" w:hAnsi="Times New Roman"/>
                <w:b/>
                <w:sz w:val="19"/>
              </w:rPr>
              <w:t>theory_total</w:t>
            </w:r>
          </w:p>
        </w:tc>
        <w:tc>
          <w:tcPr>
            <w:tcW w:type="dxa" w:w="1728"/>
          </w:tcPr>
          <w:p>
            <w:r/>
            <w:r>
              <w:rPr>
                <w:rFonts w:ascii="Times New Roman" w:hAnsi="Times New Roman"/>
                <w:b/>
                <w:sz w:val="19"/>
              </w:rPr>
              <w:t>rel_err (%)</w:t>
            </w:r>
          </w:p>
        </w:tc>
      </w:tr>
      <w:tr>
        <w:tc>
          <w:tcPr>
            <w:tcW w:type="dxa" w:w="1728"/>
          </w:tcPr>
          <w:p>
            <w:r/>
            <w:r>
              <w:rPr>
                <w:rFonts w:ascii="Times New Roman" w:hAnsi="Times New Roman"/>
                <w:sz w:val="19"/>
              </w:rPr>
              <w:t>30</w:t>
            </w:r>
          </w:p>
        </w:tc>
        <w:tc>
          <w:tcPr>
            <w:tcW w:type="dxa" w:w="1728"/>
          </w:tcPr>
          <w:p>
            <w:r/>
            <w:r>
              <w:rPr>
                <w:rFonts w:ascii="Times New Roman" w:hAnsi="Times New Roman"/>
                <w:sz w:val="19"/>
              </w:rPr>
              <w:t>0.1</w:t>
            </w:r>
          </w:p>
        </w:tc>
        <w:tc>
          <w:tcPr>
            <w:tcW w:type="dxa" w:w="1728"/>
          </w:tcPr>
          <w:p>
            <w:r/>
            <w:r>
              <w:rPr>
                <w:rFonts w:ascii="Times New Roman" w:hAnsi="Times New Roman"/>
                <w:sz w:val="19"/>
              </w:rPr>
              <w:t>−0.0003731</w:t>
            </w:r>
          </w:p>
        </w:tc>
        <w:tc>
          <w:tcPr>
            <w:tcW w:type="dxa" w:w="1728"/>
          </w:tcPr>
          <w:p>
            <w:r/>
            <w:r>
              <w:rPr>
                <w:rFonts w:ascii="Times New Roman" w:hAnsi="Times New Roman"/>
                <w:sz w:val="19"/>
              </w:rPr>
              <w:t>−0.0003357</w:t>
            </w:r>
          </w:p>
        </w:tc>
        <w:tc>
          <w:tcPr>
            <w:tcW w:type="dxa" w:w="1728"/>
          </w:tcPr>
          <w:p>
            <w:r/>
            <w:r>
              <w:rPr>
                <w:rFonts w:ascii="Times New Roman" w:hAnsi="Times New Roman"/>
                <w:sz w:val="19"/>
              </w:rPr>
              <w:t>10.02</w:t>
            </w:r>
          </w:p>
        </w:tc>
      </w:tr>
      <w:tr>
        <w:tc>
          <w:tcPr>
            <w:tcW w:type="dxa" w:w="1728"/>
          </w:tcPr>
          <w:p>
            <w:r/>
            <w:r>
              <w:rPr>
                <w:rFonts w:ascii="Times New Roman" w:hAnsi="Times New Roman"/>
                <w:sz w:val="19"/>
              </w:rPr>
              <w:t>30</w:t>
            </w:r>
          </w:p>
        </w:tc>
        <w:tc>
          <w:tcPr>
            <w:tcW w:type="dxa" w:w="1728"/>
          </w:tcPr>
          <w:p>
            <w:r/>
            <w:r>
              <w:rPr>
                <w:rFonts w:ascii="Times New Roman" w:hAnsi="Times New Roman"/>
                <w:sz w:val="19"/>
              </w:rPr>
              <w:t>0.2</w:t>
            </w:r>
          </w:p>
        </w:tc>
        <w:tc>
          <w:tcPr>
            <w:tcW w:type="dxa" w:w="1728"/>
          </w:tcPr>
          <w:p>
            <w:r/>
            <w:r>
              <w:rPr>
                <w:rFonts w:ascii="Times New Roman" w:hAnsi="Times New Roman"/>
                <w:sz w:val="19"/>
              </w:rPr>
              <w:t>−0.0006333</w:t>
            </w:r>
          </w:p>
        </w:tc>
        <w:tc>
          <w:tcPr>
            <w:tcW w:type="dxa" w:w="1728"/>
          </w:tcPr>
          <w:p>
            <w:r/>
            <w:r>
              <w:rPr>
                <w:rFonts w:ascii="Times New Roman" w:hAnsi="Times New Roman"/>
                <w:sz w:val="19"/>
              </w:rPr>
              <w:t>−0.0006713</w:t>
            </w:r>
          </w:p>
        </w:tc>
        <w:tc>
          <w:tcPr>
            <w:tcW w:type="dxa" w:w="1728"/>
          </w:tcPr>
          <w:p>
            <w:r/>
            <w:r>
              <w:rPr>
                <w:rFonts w:ascii="Times New Roman" w:hAnsi="Times New Roman"/>
                <w:sz w:val="19"/>
              </w:rPr>
              <w:t>6.01</w:t>
            </w:r>
          </w:p>
        </w:tc>
      </w:tr>
      <w:tr>
        <w:tc>
          <w:tcPr>
            <w:tcW w:type="dxa" w:w="1728"/>
          </w:tcPr>
          <w:p>
            <w:r/>
            <w:r>
              <w:rPr>
                <w:rFonts w:ascii="Times New Roman" w:hAnsi="Times New Roman"/>
                <w:sz w:val="19"/>
              </w:rPr>
              <w:t>30</w:t>
            </w:r>
          </w:p>
        </w:tc>
        <w:tc>
          <w:tcPr>
            <w:tcW w:type="dxa" w:w="1728"/>
          </w:tcPr>
          <w:p>
            <w:r/>
            <w:r>
              <w:rPr>
                <w:rFonts w:ascii="Times New Roman" w:hAnsi="Times New Roman"/>
                <w:sz w:val="19"/>
              </w:rPr>
              <w:t>0.3</w:t>
            </w:r>
          </w:p>
        </w:tc>
        <w:tc>
          <w:tcPr>
            <w:tcW w:type="dxa" w:w="1728"/>
          </w:tcPr>
          <w:p>
            <w:r/>
            <w:r>
              <w:rPr>
                <w:rFonts w:ascii="Times New Roman" w:hAnsi="Times New Roman"/>
                <w:sz w:val="19"/>
              </w:rPr>
              <w:t>−0.0010047</w:t>
            </w:r>
          </w:p>
        </w:tc>
        <w:tc>
          <w:tcPr>
            <w:tcW w:type="dxa" w:w="1728"/>
          </w:tcPr>
          <w:p>
            <w:r/>
            <w:r>
              <w:rPr>
                <w:rFonts w:ascii="Times New Roman" w:hAnsi="Times New Roman"/>
                <w:sz w:val="19"/>
              </w:rPr>
              <w:t>−0.0010070</w:t>
            </w:r>
          </w:p>
        </w:tc>
        <w:tc>
          <w:tcPr>
            <w:tcW w:type="dxa" w:w="1728"/>
          </w:tcPr>
          <w:p>
            <w:r/>
            <w:r>
              <w:rPr>
                <w:rFonts w:ascii="Times New Roman" w:hAnsi="Times New Roman"/>
                <w:sz w:val="19"/>
              </w:rPr>
              <w:t>0.23</w:t>
            </w:r>
          </w:p>
        </w:tc>
      </w:tr>
      <w:tr>
        <w:tc>
          <w:tcPr>
            <w:tcW w:type="dxa" w:w="1728"/>
          </w:tcPr>
          <w:p>
            <w:r/>
            <w:r>
              <w:rPr>
                <w:rFonts w:ascii="Times New Roman" w:hAnsi="Times New Roman"/>
                <w:sz w:val="19"/>
              </w:rPr>
              <w:t>30</w:t>
            </w:r>
          </w:p>
        </w:tc>
        <w:tc>
          <w:tcPr>
            <w:tcW w:type="dxa" w:w="1728"/>
          </w:tcPr>
          <w:p>
            <w:r/>
            <w:r>
              <w:rPr>
                <w:rFonts w:ascii="Times New Roman" w:hAnsi="Times New Roman"/>
                <w:sz w:val="19"/>
              </w:rPr>
              <w:t>0.7</w:t>
            </w:r>
          </w:p>
        </w:tc>
        <w:tc>
          <w:tcPr>
            <w:tcW w:type="dxa" w:w="1728"/>
          </w:tcPr>
          <w:p>
            <w:r/>
            <w:r>
              <w:rPr>
                <w:rFonts w:ascii="Times New Roman" w:hAnsi="Times New Roman"/>
                <w:sz w:val="19"/>
              </w:rPr>
              <w:t>−0.0023361</w:t>
            </w:r>
          </w:p>
        </w:tc>
        <w:tc>
          <w:tcPr>
            <w:tcW w:type="dxa" w:w="1728"/>
          </w:tcPr>
          <w:p>
            <w:r/>
            <w:r>
              <w:rPr>
                <w:rFonts w:ascii="Times New Roman" w:hAnsi="Times New Roman"/>
                <w:sz w:val="19"/>
              </w:rPr>
              <w:t>−0.0023497</w:t>
            </w:r>
          </w:p>
        </w:tc>
        <w:tc>
          <w:tcPr>
            <w:tcW w:type="dxa" w:w="1728"/>
          </w:tcPr>
          <w:p>
            <w:r/>
            <w:r>
              <w:rPr>
                <w:rFonts w:ascii="Times New Roman" w:hAnsi="Times New Roman"/>
                <w:sz w:val="19"/>
              </w:rPr>
              <w:t>0.58</w:t>
            </w:r>
          </w:p>
        </w:tc>
      </w:tr>
      <w:tr>
        <w:tc>
          <w:tcPr>
            <w:tcW w:type="dxa" w:w="1728"/>
          </w:tcPr>
          <w:p>
            <w:r/>
            <w:r>
              <w:rPr>
                <w:rFonts w:ascii="Times New Roman" w:hAnsi="Times New Roman"/>
                <w:sz w:val="19"/>
              </w:rPr>
              <w:t>30</w:t>
            </w:r>
          </w:p>
        </w:tc>
        <w:tc>
          <w:tcPr>
            <w:tcW w:type="dxa" w:w="1728"/>
          </w:tcPr>
          <w:p>
            <w:r/>
            <w:r>
              <w:rPr>
                <w:rFonts w:ascii="Times New Roman" w:hAnsi="Times New Roman"/>
                <w:sz w:val="19"/>
              </w:rPr>
              <w:t>0.9</w:t>
            </w:r>
          </w:p>
        </w:tc>
        <w:tc>
          <w:tcPr>
            <w:tcW w:type="dxa" w:w="1728"/>
          </w:tcPr>
          <w:p>
            <w:r/>
            <w:r>
              <w:rPr>
                <w:rFonts w:ascii="Times New Roman" w:hAnsi="Times New Roman"/>
                <w:sz w:val="19"/>
              </w:rPr>
              <w:t>−0.0030894</w:t>
            </w:r>
          </w:p>
        </w:tc>
        <w:tc>
          <w:tcPr>
            <w:tcW w:type="dxa" w:w="1728"/>
          </w:tcPr>
          <w:p>
            <w:r/>
            <w:r>
              <w:rPr>
                <w:rFonts w:ascii="Times New Roman" w:hAnsi="Times New Roman"/>
                <w:sz w:val="19"/>
              </w:rPr>
              <w:t>−0.0030210</w:t>
            </w:r>
          </w:p>
        </w:tc>
        <w:tc>
          <w:tcPr>
            <w:tcW w:type="dxa" w:w="1728"/>
          </w:tcPr>
          <w:p>
            <w:r/>
            <w:r>
              <w:rPr>
                <w:rFonts w:ascii="Times New Roman" w:hAnsi="Times New Roman"/>
                <w:sz w:val="19"/>
              </w:rPr>
              <w:t>2.21</w:t>
            </w:r>
          </w:p>
        </w:tc>
      </w:tr>
      <w:tr>
        <w:tc>
          <w:tcPr>
            <w:tcW w:type="dxa" w:w="1728"/>
          </w:tcPr>
          <w:p>
            <w:r/>
            <w:r>
              <w:rPr>
                <w:rFonts w:ascii="Times New Roman" w:hAnsi="Times New Roman"/>
                <w:sz w:val="19"/>
              </w:rPr>
              <w:t>30</w:t>
            </w:r>
          </w:p>
        </w:tc>
        <w:tc>
          <w:tcPr>
            <w:tcW w:type="dxa" w:w="1728"/>
          </w:tcPr>
          <w:p>
            <w:r/>
            <w:r>
              <w:rPr>
                <w:rFonts w:ascii="Times New Roman" w:hAnsi="Times New Roman"/>
                <w:sz w:val="19"/>
              </w:rPr>
              <w:t>1.0</w:t>
            </w:r>
          </w:p>
        </w:tc>
        <w:tc>
          <w:tcPr>
            <w:tcW w:type="dxa" w:w="1728"/>
          </w:tcPr>
          <w:p>
            <w:r/>
            <w:r>
              <w:rPr>
                <w:rFonts w:ascii="Times New Roman" w:hAnsi="Times New Roman"/>
                <w:sz w:val="19"/>
              </w:rPr>
              <w:t>−0.0034441</w:t>
            </w:r>
          </w:p>
        </w:tc>
        <w:tc>
          <w:tcPr>
            <w:tcW w:type="dxa" w:w="1728"/>
          </w:tcPr>
          <w:p>
            <w:r/>
            <w:r>
              <w:rPr>
                <w:rFonts w:ascii="Times New Roman" w:hAnsi="Times New Roman"/>
                <w:sz w:val="19"/>
              </w:rPr>
              <w:t>−0.0033567</w:t>
            </w:r>
          </w:p>
        </w:tc>
        <w:tc>
          <w:tcPr>
            <w:tcW w:type="dxa" w:w="1728"/>
          </w:tcPr>
          <w:p>
            <w:r/>
            <w:r>
              <w:rPr>
                <w:rFonts w:ascii="Times New Roman" w:hAnsi="Times New Roman"/>
                <w:sz w:val="19"/>
              </w:rPr>
              <w:t>2.54</w:t>
            </w:r>
          </w:p>
        </w:tc>
      </w:tr>
      <w:tr>
        <w:tc>
          <w:tcPr>
            <w:tcW w:type="dxa" w:w="1728"/>
          </w:tcPr>
          <w:p>
            <w:r/>
            <w:r>
              <w:rPr>
                <w:rFonts w:ascii="Times New Roman" w:hAnsi="Times New Roman"/>
                <w:sz w:val="19"/>
              </w:rPr>
              <w:t>10</w:t>
            </w:r>
          </w:p>
        </w:tc>
        <w:tc>
          <w:tcPr>
            <w:tcW w:type="dxa" w:w="1728"/>
          </w:tcPr>
          <w:p>
            <w:r/>
            <w:r>
              <w:rPr>
                <w:rFonts w:ascii="Times New Roman" w:hAnsi="Times New Roman"/>
                <w:sz w:val="19"/>
              </w:rPr>
              <w:t>0.1</w:t>
            </w:r>
          </w:p>
        </w:tc>
        <w:tc>
          <w:tcPr>
            <w:tcW w:type="dxa" w:w="1728"/>
          </w:tcPr>
          <w:p>
            <w:r/>
            <w:r>
              <w:rPr>
                <w:rFonts w:ascii="Times New Roman" w:hAnsi="Times New Roman"/>
                <w:sz w:val="19"/>
              </w:rPr>
              <w:t>−0.0002971</w:t>
            </w:r>
          </w:p>
        </w:tc>
        <w:tc>
          <w:tcPr>
            <w:tcW w:type="dxa" w:w="1728"/>
          </w:tcPr>
          <w:p>
            <w:r/>
            <w:r>
              <w:rPr>
                <w:rFonts w:ascii="Times New Roman" w:hAnsi="Times New Roman"/>
                <w:sz w:val="19"/>
              </w:rPr>
              <w:t>−0.0003391</w:t>
            </w:r>
          </w:p>
        </w:tc>
        <w:tc>
          <w:tcPr>
            <w:tcW w:type="dxa" w:w="1728"/>
          </w:tcPr>
          <w:p>
            <w:r/>
            <w:r>
              <w:rPr>
                <w:rFonts w:ascii="Times New Roman" w:hAnsi="Times New Roman"/>
                <w:sz w:val="19"/>
              </w:rPr>
              <w:t>14.13</w:t>
            </w:r>
          </w:p>
        </w:tc>
      </w:tr>
      <w:tr>
        <w:tc>
          <w:tcPr>
            <w:tcW w:type="dxa" w:w="1728"/>
          </w:tcPr>
          <w:p>
            <w:r/>
            <w:r>
              <w:rPr>
                <w:rFonts w:ascii="Times New Roman" w:hAnsi="Times New Roman"/>
                <w:sz w:val="19"/>
              </w:rPr>
              <w:t>10</w:t>
            </w:r>
          </w:p>
        </w:tc>
        <w:tc>
          <w:tcPr>
            <w:tcW w:type="dxa" w:w="1728"/>
          </w:tcPr>
          <w:p>
            <w:r/>
            <w:r>
              <w:rPr>
                <w:rFonts w:ascii="Times New Roman" w:hAnsi="Times New Roman"/>
                <w:sz w:val="19"/>
              </w:rPr>
              <w:t>0.2</w:t>
            </w:r>
          </w:p>
        </w:tc>
        <w:tc>
          <w:tcPr>
            <w:tcW w:type="dxa" w:w="1728"/>
          </w:tcPr>
          <w:p>
            <w:r/>
            <w:r>
              <w:rPr>
                <w:rFonts w:ascii="Times New Roman" w:hAnsi="Times New Roman"/>
                <w:sz w:val="19"/>
              </w:rPr>
              <w:t>−0.0007604</w:t>
            </w:r>
          </w:p>
        </w:tc>
        <w:tc>
          <w:tcPr>
            <w:tcW w:type="dxa" w:w="1728"/>
          </w:tcPr>
          <w:p>
            <w:r/>
            <w:r>
              <w:rPr>
                <w:rFonts w:ascii="Times New Roman" w:hAnsi="Times New Roman"/>
                <w:sz w:val="19"/>
              </w:rPr>
              <w:t>−0.0006782</w:t>
            </w:r>
          </w:p>
        </w:tc>
        <w:tc>
          <w:tcPr>
            <w:tcW w:type="dxa" w:w="1728"/>
          </w:tcPr>
          <w:p>
            <w:r/>
            <w:r>
              <w:rPr>
                <w:rFonts w:ascii="Times New Roman" w:hAnsi="Times New Roman"/>
                <w:sz w:val="19"/>
              </w:rPr>
              <w:t>10.81</w:t>
            </w:r>
          </w:p>
        </w:tc>
      </w:tr>
      <w:tr>
        <w:tc>
          <w:tcPr>
            <w:tcW w:type="dxa" w:w="1728"/>
          </w:tcPr>
          <w:p>
            <w:r/>
            <w:r>
              <w:rPr>
                <w:rFonts w:ascii="Times New Roman" w:hAnsi="Times New Roman"/>
                <w:sz w:val="19"/>
              </w:rPr>
              <w:t>10</w:t>
            </w:r>
          </w:p>
        </w:tc>
        <w:tc>
          <w:tcPr>
            <w:tcW w:type="dxa" w:w="1728"/>
          </w:tcPr>
          <w:p>
            <w:r/>
            <w:r>
              <w:rPr>
                <w:rFonts w:ascii="Times New Roman" w:hAnsi="Times New Roman"/>
                <w:sz w:val="19"/>
              </w:rPr>
              <w:t>0.3</w:t>
            </w:r>
          </w:p>
        </w:tc>
        <w:tc>
          <w:tcPr>
            <w:tcW w:type="dxa" w:w="1728"/>
          </w:tcPr>
          <w:p>
            <w:r/>
            <w:r>
              <w:rPr>
                <w:rFonts w:ascii="Times New Roman" w:hAnsi="Times New Roman"/>
                <w:sz w:val="19"/>
              </w:rPr>
              <w:t>−0.0008952</w:t>
            </w:r>
          </w:p>
        </w:tc>
        <w:tc>
          <w:tcPr>
            <w:tcW w:type="dxa" w:w="1728"/>
          </w:tcPr>
          <w:p>
            <w:r/>
            <w:r>
              <w:rPr>
                <w:rFonts w:ascii="Times New Roman" w:hAnsi="Times New Roman"/>
                <w:sz w:val="19"/>
              </w:rPr>
              <w:t>−0.0010173</w:t>
            </w:r>
          </w:p>
        </w:tc>
        <w:tc>
          <w:tcPr>
            <w:tcW w:type="dxa" w:w="1728"/>
          </w:tcPr>
          <w:p>
            <w:r/>
            <w:r>
              <w:rPr>
                <w:rFonts w:ascii="Times New Roman" w:hAnsi="Times New Roman"/>
                <w:sz w:val="19"/>
              </w:rPr>
              <w:t>13.64</w:t>
            </w:r>
          </w:p>
        </w:tc>
      </w:tr>
      <w:tr>
        <w:tc>
          <w:tcPr>
            <w:tcW w:type="dxa" w:w="1728"/>
          </w:tcPr>
          <w:p>
            <w:r/>
            <w:r>
              <w:rPr>
                <w:rFonts w:ascii="Times New Roman" w:hAnsi="Times New Roman"/>
                <w:sz w:val="19"/>
              </w:rPr>
              <w:t>10</w:t>
            </w:r>
          </w:p>
        </w:tc>
        <w:tc>
          <w:tcPr>
            <w:tcW w:type="dxa" w:w="1728"/>
          </w:tcPr>
          <w:p>
            <w:r/>
            <w:r>
              <w:rPr>
                <w:rFonts w:ascii="Times New Roman" w:hAnsi="Times New Roman"/>
                <w:sz w:val="19"/>
              </w:rPr>
              <w:t>0.7</w:t>
            </w:r>
          </w:p>
        </w:tc>
        <w:tc>
          <w:tcPr>
            <w:tcW w:type="dxa" w:w="1728"/>
          </w:tcPr>
          <w:p>
            <w:r/>
            <w:r>
              <w:rPr>
                <w:rFonts w:ascii="Times New Roman" w:hAnsi="Times New Roman"/>
                <w:sz w:val="19"/>
              </w:rPr>
              <w:t>−0.0022428</w:t>
            </w:r>
          </w:p>
        </w:tc>
        <w:tc>
          <w:tcPr>
            <w:tcW w:type="dxa" w:w="1728"/>
          </w:tcPr>
          <w:p>
            <w:r/>
            <w:r>
              <w:rPr>
                <w:rFonts w:ascii="Times New Roman" w:hAnsi="Times New Roman"/>
                <w:sz w:val="19"/>
              </w:rPr>
              <w:t>−0.0023736</w:t>
            </w:r>
          </w:p>
        </w:tc>
        <w:tc>
          <w:tcPr>
            <w:tcW w:type="dxa" w:w="1728"/>
          </w:tcPr>
          <w:p>
            <w:r/>
            <w:r>
              <w:rPr>
                <w:rFonts w:ascii="Times New Roman" w:hAnsi="Times New Roman"/>
                <w:sz w:val="19"/>
              </w:rPr>
              <w:t>5.83</w:t>
            </w:r>
          </w:p>
        </w:tc>
      </w:tr>
      <w:tr>
        <w:tc>
          <w:tcPr>
            <w:tcW w:type="dxa" w:w="1728"/>
          </w:tcPr>
          <w:p>
            <w:r/>
            <w:r>
              <w:rPr>
                <w:rFonts w:ascii="Times New Roman" w:hAnsi="Times New Roman"/>
                <w:sz w:val="19"/>
              </w:rPr>
              <w:t>10</w:t>
            </w:r>
          </w:p>
        </w:tc>
        <w:tc>
          <w:tcPr>
            <w:tcW w:type="dxa" w:w="1728"/>
          </w:tcPr>
          <w:p>
            <w:r/>
            <w:r>
              <w:rPr>
                <w:rFonts w:ascii="Times New Roman" w:hAnsi="Times New Roman"/>
                <w:sz w:val="19"/>
              </w:rPr>
              <w:t>0.9</w:t>
            </w:r>
          </w:p>
        </w:tc>
        <w:tc>
          <w:tcPr>
            <w:tcW w:type="dxa" w:w="1728"/>
          </w:tcPr>
          <w:p>
            <w:r/>
            <w:r>
              <w:rPr>
                <w:rFonts w:ascii="Times New Roman" w:hAnsi="Times New Roman"/>
                <w:sz w:val="19"/>
              </w:rPr>
              <w:t>−0.0031135</w:t>
            </w:r>
          </w:p>
        </w:tc>
        <w:tc>
          <w:tcPr>
            <w:tcW w:type="dxa" w:w="1728"/>
          </w:tcPr>
          <w:p>
            <w:r/>
            <w:r>
              <w:rPr>
                <w:rFonts w:ascii="Times New Roman" w:hAnsi="Times New Roman"/>
                <w:sz w:val="19"/>
              </w:rPr>
              <w:t>−0.0030518</w:t>
            </w:r>
          </w:p>
        </w:tc>
        <w:tc>
          <w:tcPr>
            <w:tcW w:type="dxa" w:w="1728"/>
          </w:tcPr>
          <w:p>
            <w:r/>
            <w:r>
              <w:rPr>
                <w:rFonts w:ascii="Times New Roman" w:hAnsi="Times New Roman"/>
                <w:sz w:val="19"/>
              </w:rPr>
              <w:t>1.98</w:t>
            </w:r>
          </w:p>
        </w:tc>
      </w:tr>
      <w:tr>
        <w:tc>
          <w:tcPr>
            <w:tcW w:type="dxa" w:w="1728"/>
          </w:tcPr>
          <w:p>
            <w:r/>
            <w:r>
              <w:rPr>
                <w:rFonts w:ascii="Times New Roman" w:hAnsi="Times New Roman"/>
                <w:sz w:val="19"/>
              </w:rPr>
              <w:t>10</w:t>
            </w:r>
          </w:p>
        </w:tc>
        <w:tc>
          <w:tcPr>
            <w:tcW w:type="dxa" w:w="1728"/>
          </w:tcPr>
          <w:p>
            <w:r/>
            <w:r>
              <w:rPr>
                <w:rFonts w:ascii="Times New Roman" w:hAnsi="Times New Roman"/>
                <w:sz w:val="19"/>
              </w:rPr>
              <w:t>1.0</w:t>
            </w:r>
          </w:p>
        </w:tc>
        <w:tc>
          <w:tcPr>
            <w:tcW w:type="dxa" w:w="1728"/>
          </w:tcPr>
          <w:p>
            <w:r/>
            <w:r>
              <w:rPr>
                <w:rFonts w:ascii="Times New Roman" w:hAnsi="Times New Roman"/>
                <w:sz w:val="19"/>
              </w:rPr>
              <w:t>−0.0035006</w:t>
            </w:r>
          </w:p>
        </w:tc>
        <w:tc>
          <w:tcPr>
            <w:tcW w:type="dxa" w:w="1728"/>
          </w:tcPr>
          <w:p>
            <w:r/>
            <w:r>
              <w:rPr>
                <w:rFonts w:ascii="Times New Roman" w:hAnsi="Times New Roman"/>
                <w:sz w:val="19"/>
              </w:rPr>
              <w:t>−0.0033909</w:t>
            </w:r>
          </w:p>
        </w:tc>
        <w:tc>
          <w:tcPr>
            <w:tcW w:type="dxa" w:w="1728"/>
          </w:tcPr>
          <w:p>
            <w:r/>
            <w:r>
              <w:rPr>
                <w:rFonts w:ascii="Times New Roman" w:hAnsi="Times New Roman"/>
                <w:sz w:val="19"/>
              </w:rPr>
              <w:t>3.14</w:t>
            </w:r>
          </w:p>
        </w:tc>
      </w:tr>
    </w:tbl>
    <w:p>
      <w:pPr>
        <w:spacing w:before="200" w:after="80"/>
        <w:jc w:val="left"/>
      </w:pPr>
      <w:r>
        <w:rPr>
          <w:rFonts w:ascii="Times New Roman" w:hAnsi="Times New Roman"/>
          <w:b/>
          <w:sz w:val="26"/>
        </w:rPr>
        <w:t>Supplementary materials</w:t>
      </w:r>
    </w:p>
    <w:p>
      <w:pPr>
        <w:pStyle w:val="ListBullet"/>
        <w:jc w:val="both"/>
      </w:pPr>
      <w:r>
        <w:rPr>
          <w:rFonts w:ascii="Times New Roman" w:hAnsi="Times New Roman"/>
          <w:b/>
          <w:sz w:val="24"/>
        </w:rPr>
        <w:t>Supplementary Methods S1–S6:</w:t>
      </w:r>
      <w:r>
        <w:rPr>
          <w:rFonts w:ascii="Times New Roman" w:hAnsi="Times New Roman"/>
          <w:b w:val="0"/>
          <w:sz w:val="24"/>
        </w:rPr>
        <w:t xml:space="preserve"> full derivation, two-channel decomposition, boundary proofs, κ thresholds, complete Var(α̂)/Var(β̂) derivations, and Monte Carlo fallback (D61_Supplementary_S1-S6_derivation.md).</w:t>
      </w:r>
    </w:p>
    <w:p>
      <w:pPr>
        <w:pStyle w:val="ListBullet"/>
        <w:jc w:val="both"/>
      </w:pPr>
      <w:r>
        <w:rPr>
          <w:rFonts w:ascii="Times New Roman" w:hAnsi="Times New Roman"/>
          <w:b/>
          <w:sz w:val="24"/>
        </w:rPr>
        <w:t>Supplementary Figures S1, S2, S3 and S4:</w:t>
      </w:r>
      <w:r>
        <w:rPr>
          <w:rFonts w:ascii="Times New Roman" w:hAnsi="Times New Roman"/>
          <w:b w:val="0"/>
          <w:sz w:val="24"/>
        </w:rPr>
        <w:t xml:space="preserve"> the simulation-coverage plot, the targeted validation sweep, the flip-probability scan, and the SE-change forest, respectively; their legends appear in the Figure legends section under their supplementary labels.</w:t>
      </w:r>
    </w:p>
    <w:p>
      <w:pPr>
        <w:pStyle w:val="ListBullet"/>
        <w:jc w:val="both"/>
      </w:pPr>
      <w:r>
        <w:rPr>
          <w:rFonts w:ascii="Times New Roman" w:hAnsi="Times New Roman"/>
          <w:b/>
          <w:sz w:val="24"/>
        </w:rPr>
        <w:t>Supplementary Methods S7:</w:t>
      </w:r>
      <w:r>
        <w:rPr>
          <w:rFonts w:ascii="Times New Roman" w:hAnsi="Times New Roman"/>
          <w:b w:val="0"/>
          <w:sz w:val="24"/>
        </w:rPr>
        <w:t xml:space="preserve"> inter-coder reliability assessment — blind re-coding design, sampling scheme, Cohen's κ results, and coding-completeness findings (D61_Supplementary_S7_kappa.md).</w:t>
      </w:r>
    </w:p>
    <w:p>
      <w:pPr>
        <w:pStyle w:val="ListBullet"/>
        <w:jc w:val="both"/>
      </w:pPr>
      <w:r>
        <w:rPr>
          <w:rFonts w:ascii="Times New Roman" w:hAnsi="Times New Roman"/>
          <w:b/>
          <w:sz w:val="24"/>
        </w:rPr>
        <w:t>Supplementary Methods S8:</w:t>
      </w:r>
      <w:r>
        <w:rPr>
          <w:rFonts w:ascii="Times New Roman" w:hAnsi="Times New Roman"/>
          <w:b w:val="0"/>
          <w:sz w:val="24"/>
        </w:rPr>
        <w:t xml:space="preserve"> MVMR generalization of Cov(α̂, β̂) (derivation outline, structural sign result extending Proposition S2.5) and the audited S110 merged-pool worked example (D61_Supplementary_S8_mvmr.md).</w:t>
      </w:r>
    </w:p>
    <w:p>
      <w:pPr>
        <w:pStyle w:val="ListBullet"/>
        <w:jc w:val="both"/>
      </w:pPr>
      <w:r>
        <w:rPr>
          <w:rFonts w:ascii="Times New Roman" w:hAnsi="Times New Roman"/>
          <w:b/>
          <w:sz w:val="24"/>
        </w:rPr>
        <w:t>Supplementary Codebook S1:</w:t>
      </w:r>
      <w:r>
        <w:rPr>
          <w:rFonts w:ascii="Times New Roman" w:hAnsi="Times New Roman"/>
          <w:b w:val="0"/>
          <w:sz w:val="24"/>
        </w:rPr>
        <w:t xml:space="preserve"> literature coding rules (D61_Supplementary_codebook_S1.md).</w:t>
      </w:r>
    </w:p>
    <w:p>
      <w:pPr>
        <w:pStyle w:val="ListBullet"/>
        <w:jc w:val="both"/>
      </w:pPr>
      <w:r>
        <w:rPr>
          <w:rFonts w:ascii="Times New Roman" w:hAnsi="Times New Roman"/>
          <w:b/>
          <w:sz w:val="24"/>
        </w:rPr>
        <w:t>Supplementary Table S1:</w:t>
      </w:r>
      <w:r>
        <w:rPr>
          <w:rFonts w:ascii="Times New Roman" w:hAnsi="Times New Roman"/>
          <w:b w:val="0"/>
          <w:sz w:val="24"/>
        </w:rPr>
        <w:t xml:space="preserve"> targeted validation sweep at non-degenerate shared-instrument proportions (ρ_MY = 0.5, 12 cells): empirical versus analytical Cov(α̂, β̂) and reliability-bound relative error — shown above. The full 180-cell simulation grid (coverage/MSE by estimator) is tabulated in Supplementary Methods S6.</w:t>
      </w:r>
    </w:p>
    <w:p>
      <w:pPr>
        <w:pStyle w:val="ListBullet"/>
        <w:jc w:val="both"/>
      </w:pPr>
      <w:r>
        <w:rPr>
          <w:rFonts w:ascii="Times New Roman" w:hAnsi="Times New Roman"/>
          <w:b/>
          <w:sz w:val="24"/>
        </w:rPr>
        <w:t>Supplementary Table S2:</w:t>
      </w:r>
      <w:r>
        <w:rPr>
          <w:rFonts w:ascii="Times New Roman" w:hAnsi="Times New Roman"/>
          <w:b w:val="0"/>
          <w:sz w:val="24"/>
        </w:rPr>
        <w:t xml:space="preserve"> T6 structural sensitivity grid linking π_shared to literature at-risk percentages.</w:t>
      </w:r>
    </w:p>
    <w:p>
      <w:pPr>
        <w:pStyle w:val="ListBullet"/>
        <w:jc w:val="both"/>
      </w:pPr>
      <w:r>
        <w:rPr>
          <w:rFonts w:ascii="Times New Roman" w:hAnsi="Times New Roman"/>
          <w:b/>
          <w:sz w:val="24"/>
        </w:rPr>
        <w:t>Supplementary Table S3:</w:t>
      </w:r>
      <w:r>
        <w:rPr>
          <w:rFonts w:ascii="Times New Roman" w:hAnsi="Times New Roman"/>
          <w:b w:val="0"/>
          <w:sz w:val="24"/>
        </w:rPr>
        <w:t xml:space="preserve"> completed PRISMA 2020 checklist for the literature audit, with search strings (D61_Supplementary_S9_prisma_checklist.md).</w:t>
      </w:r>
    </w:p>
    <w:p>
      <w:pPr>
        <w:pStyle w:val="ListBullet"/>
        <w:jc w:val="both"/>
      </w:pPr>
      <w:r>
        <w:rPr>
          <w:rFonts w:ascii="Times New Roman" w:hAnsi="Times New Roman"/>
          <w:b/>
          <w:sz w:val="24"/>
        </w:rPr>
        <w:t>Supplementary Table S5:</w:t>
      </w:r>
      <w:r>
        <w:rPr>
          <w:rFonts w:ascii="Times New Roman" w:hAnsi="Times New Roman"/>
          <w:b w:val="0"/>
          <w:sz w:val="24"/>
        </w:rPr>
        <w:t xml:space="preserve"> worst-case ρ_MY sensitivity (upper 95% CI substitution) for the six overlapping trios.</w:t>
      </w:r>
    </w:p>
    <w:p>
      <w:pPr>
        <w:ind w:firstLine="480"/>
        <w:jc w:val="both"/>
      </w:pPr>
      <w:r>
        <w:rPr>
          <w:rFonts w:ascii="Times New Roman" w:hAnsi="Times New Roman"/>
          <w:b/>
          <w:sz w:val="24"/>
        </w:rPr>
        <w:t>Supplementary Table S6.</w:t>
      </w:r>
      <w:r>
        <w:rPr>
          <w:rFonts w:ascii="Times New Roman" w:hAnsi="Times New Roman"/>
          <w:b w:val="0"/>
          <w:sz w:val="24"/>
        </w:rPr>
        <w:t xml:space="preserve"> Additional two-step MR mediation applications (cited in the text beyond the six Discussion examples).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rFonts w:ascii="Times New Roman" w:hAnsi="Times New Roman"/>
                <w:b/>
                <w:sz w:val="19"/>
              </w:rPr>
              <w:t>Ref</w:t>
            </w:r>
          </w:p>
        </w:tc>
        <w:tc>
          <w:tcPr>
            <w:tcW w:type="dxa" w:w="2880"/>
          </w:tcPr>
          <w:p>
            <w:r/>
            <w:r>
              <w:rPr>
                <w:rFonts w:ascii="Times New Roman" w:hAnsi="Times New Roman"/>
                <w:b/>
                <w:sz w:val="19"/>
              </w:rPr>
              <w:t>Domain</w:t>
            </w:r>
          </w:p>
        </w:tc>
        <w:tc>
          <w:tcPr>
            <w:tcW w:type="dxa" w:w="2880"/>
          </w:tcPr>
          <w:p>
            <w:r/>
            <w:r>
              <w:rPr>
                <w:rFonts w:ascii="Times New Roman" w:hAnsi="Times New Roman"/>
                <w:b/>
                <w:sz w:val="19"/>
              </w:rPr>
              <w:t>Study</w:t>
            </w:r>
          </w:p>
        </w:tc>
      </w:tr>
      <w:tr>
        <w:tc>
          <w:tcPr>
            <w:tcW w:type="dxa" w:w="2880"/>
          </w:tcPr>
          <w:p>
            <w:r/>
            <w:r>
              <w:rPr>
                <w:rFonts w:ascii="Times New Roman" w:hAnsi="Times New Roman"/>
                <w:sz w:val="19"/>
              </w:rPr>
              <w:t>[25]</w:t>
            </w:r>
          </w:p>
        </w:tc>
        <w:tc>
          <w:tcPr>
            <w:tcW w:type="dxa" w:w="2880"/>
          </w:tcPr>
          <w:p>
            <w:r/>
            <w:r>
              <w:rPr>
                <w:rFonts w:ascii="Times New Roman" w:hAnsi="Times New Roman"/>
                <w:sz w:val="19"/>
              </w:rPr>
              <w:t>Psychiatry</w:t>
            </w:r>
          </w:p>
        </w:tc>
        <w:tc>
          <w:tcPr>
            <w:tcW w:type="dxa" w:w="2880"/>
          </w:tcPr>
          <w:p>
            <w:r/>
            <w:r>
              <w:rPr>
                <w:rFonts w:ascii="Times New Roman" w:hAnsi="Times New Roman"/>
                <w:sz w:val="19"/>
              </w:rPr>
              <w:t>Feng et al. — cross-ancestry pleiotropic imaging phenotypes for depression risk stratification</w:t>
            </w:r>
          </w:p>
        </w:tc>
      </w:tr>
      <w:tr>
        <w:tc>
          <w:tcPr>
            <w:tcW w:type="dxa" w:w="2880"/>
          </w:tcPr>
          <w:p>
            <w:r/>
            <w:r>
              <w:rPr>
                <w:rFonts w:ascii="Times New Roman" w:hAnsi="Times New Roman"/>
                <w:sz w:val="19"/>
              </w:rPr>
              <w:t>[29]</w:t>
            </w:r>
          </w:p>
        </w:tc>
        <w:tc>
          <w:tcPr>
            <w:tcW w:type="dxa" w:w="2880"/>
          </w:tcPr>
          <w:p>
            <w:r/>
            <w:r>
              <w:rPr>
                <w:rFonts w:ascii="Times New Roman" w:hAnsi="Times New Roman"/>
                <w:sz w:val="19"/>
              </w:rPr>
              <w:t>Metabolic / endocrine</w:t>
            </w:r>
          </w:p>
        </w:tc>
        <w:tc>
          <w:tcPr>
            <w:tcW w:type="dxa" w:w="2880"/>
          </w:tcPr>
          <w:p>
            <w:r/>
            <w:r>
              <w:rPr>
                <w:rFonts w:ascii="Times New Roman" w:hAnsi="Times New Roman"/>
                <w:sz w:val="19"/>
              </w:rPr>
              <w:t>Hu et al. — body-fat distribution as mediator of diabetogenic action of lipid-modifying drugs</w:t>
            </w:r>
          </w:p>
        </w:tc>
      </w:tr>
      <w:tr>
        <w:tc>
          <w:tcPr>
            <w:tcW w:type="dxa" w:w="2880"/>
          </w:tcPr>
          <w:p>
            <w:r/>
            <w:r>
              <w:rPr>
                <w:rFonts w:ascii="Times New Roman" w:hAnsi="Times New Roman"/>
                <w:sz w:val="19"/>
              </w:rPr>
              <w:t>[30]</w:t>
            </w:r>
          </w:p>
        </w:tc>
        <w:tc>
          <w:tcPr>
            <w:tcW w:type="dxa" w:w="2880"/>
          </w:tcPr>
          <w:p>
            <w:r/>
            <w:r>
              <w:rPr>
                <w:rFonts w:ascii="Times New Roman" w:hAnsi="Times New Roman"/>
                <w:sz w:val="19"/>
              </w:rPr>
              <w:t>Oncology (neuro)</w:t>
            </w:r>
          </w:p>
        </w:tc>
        <w:tc>
          <w:tcPr>
            <w:tcW w:type="dxa" w:w="2880"/>
          </w:tcPr>
          <w:p>
            <w:r/>
            <w:r>
              <w:rPr>
                <w:rFonts w:ascii="Times New Roman" w:hAnsi="Times New Roman"/>
                <w:sz w:val="19"/>
              </w:rPr>
              <w:t>Huang et al. — cyclic cytokines mediating immune-cell effects on meningioma</w:t>
            </w:r>
          </w:p>
        </w:tc>
      </w:tr>
      <w:tr>
        <w:tc>
          <w:tcPr>
            <w:tcW w:type="dxa" w:w="2880"/>
          </w:tcPr>
          <w:p>
            <w:r/>
            <w:r>
              <w:rPr>
                <w:rFonts w:ascii="Times New Roman" w:hAnsi="Times New Roman"/>
                <w:sz w:val="19"/>
              </w:rPr>
              <w:t>[31]</w:t>
            </w:r>
          </w:p>
        </w:tc>
        <w:tc>
          <w:tcPr>
            <w:tcW w:type="dxa" w:w="2880"/>
          </w:tcPr>
          <w:p>
            <w:r/>
            <w:r>
              <w:rPr>
                <w:rFonts w:ascii="Times New Roman" w:hAnsi="Times New Roman"/>
                <w:sz w:val="19"/>
              </w:rPr>
              <w:t>Psychiatry</w:t>
            </w:r>
          </w:p>
        </w:tc>
        <w:tc>
          <w:tcPr>
            <w:tcW w:type="dxa" w:w="2880"/>
          </w:tcPr>
          <w:p>
            <w:r/>
            <w:r>
              <w:rPr>
                <w:rFonts w:ascii="Times New Roman" w:hAnsi="Times New Roman"/>
                <w:sz w:val="19"/>
              </w:rPr>
              <w:t>Zhou et al. — air pollution as risk factor for psychiatric disorders</w:t>
            </w:r>
          </w:p>
        </w:tc>
      </w:tr>
      <w:tr>
        <w:tc>
          <w:tcPr>
            <w:tcW w:type="dxa" w:w="2880"/>
          </w:tcPr>
          <w:p>
            <w:r/>
            <w:r>
              <w:rPr>
                <w:rFonts w:ascii="Times New Roman" w:hAnsi="Times New Roman"/>
                <w:sz w:val="19"/>
              </w:rPr>
              <w:t>[32]</w:t>
            </w:r>
          </w:p>
        </w:tc>
        <w:tc>
          <w:tcPr>
            <w:tcW w:type="dxa" w:w="2880"/>
          </w:tcPr>
          <w:p>
            <w:r/>
            <w:r>
              <w:rPr>
                <w:rFonts w:ascii="Times New Roman" w:hAnsi="Times New Roman"/>
                <w:sz w:val="19"/>
              </w:rPr>
              <w:t>Cardiovascular</w:t>
            </w:r>
          </w:p>
        </w:tc>
        <w:tc>
          <w:tcPr>
            <w:tcW w:type="dxa" w:w="2880"/>
          </w:tcPr>
          <w:p>
            <w:r/>
            <w:r>
              <w:rPr>
                <w:rFonts w:ascii="Times New Roman" w:hAnsi="Times New Roman"/>
                <w:sz w:val="19"/>
              </w:rPr>
              <w:t>Wang et al. — nut-consumption mediators of cardiovascular disease</w:t>
            </w:r>
          </w:p>
        </w:tc>
      </w:tr>
      <w:tr>
        <w:tc>
          <w:tcPr>
            <w:tcW w:type="dxa" w:w="2880"/>
          </w:tcPr>
          <w:p>
            <w:r/>
            <w:r>
              <w:rPr>
                <w:rFonts w:ascii="Times New Roman" w:hAnsi="Times New Roman"/>
                <w:sz w:val="19"/>
              </w:rPr>
              <w:t>[33]</w:t>
            </w:r>
          </w:p>
        </w:tc>
        <w:tc>
          <w:tcPr>
            <w:tcW w:type="dxa" w:w="2880"/>
          </w:tcPr>
          <w:p>
            <w:r/>
            <w:r>
              <w:rPr>
                <w:rFonts w:ascii="Times New Roman" w:hAnsi="Times New Roman"/>
                <w:sz w:val="19"/>
              </w:rPr>
              <w:t>Neurological</w:t>
            </w:r>
          </w:p>
        </w:tc>
        <w:tc>
          <w:tcPr>
            <w:tcW w:type="dxa" w:w="2880"/>
          </w:tcPr>
          <w:p>
            <w:r/>
            <w:r>
              <w:rPr>
                <w:rFonts w:ascii="Times New Roman" w:hAnsi="Times New Roman"/>
                <w:sz w:val="19"/>
              </w:rPr>
              <w:t>Xu et al. — immune-cell-mediated link between sphingomyelin and stroke</w:t>
            </w:r>
          </w:p>
        </w:tc>
      </w:tr>
      <w:tr>
        <w:tc>
          <w:tcPr>
            <w:tcW w:type="dxa" w:w="2880"/>
          </w:tcPr>
          <w:p>
            <w:r/>
            <w:r>
              <w:rPr>
                <w:rFonts w:ascii="Times New Roman" w:hAnsi="Times New Roman"/>
                <w:sz w:val="19"/>
              </w:rPr>
              <w:t>[34]</w:t>
            </w:r>
          </w:p>
        </w:tc>
        <w:tc>
          <w:tcPr>
            <w:tcW w:type="dxa" w:w="2880"/>
          </w:tcPr>
          <w:p>
            <w:r/>
            <w:r>
              <w:rPr>
                <w:rFonts w:ascii="Times New Roman" w:hAnsi="Times New Roman"/>
                <w:sz w:val="19"/>
              </w:rPr>
              <w:t>Immunology / allergy</w:t>
            </w:r>
          </w:p>
        </w:tc>
        <w:tc>
          <w:tcPr>
            <w:tcW w:type="dxa" w:w="2880"/>
          </w:tcPr>
          <w:p>
            <w:r/>
            <w:r>
              <w:rPr>
                <w:rFonts w:ascii="Times New Roman" w:hAnsi="Times New Roman"/>
                <w:sz w:val="19"/>
              </w:rPr>
              <w:t>Wang et al. — lipid-metabolism mediators of allergic diseases</w:t>
            </w:r>
          </w:p>
        </w:tc>
      </w:tr>
      <w:tr>
        <w:tc>
          <w:tcPr>
            <w:tcW w:type="dxa" w:w="2880"/>
          </w:tcPr>
          <w:p>
            <w:r/>
            <w:r>
              <w:rPr>
                <w:rFonts w:ascii="Times New Roman" w:hAnsi="Times New Roman"/>
                <w:sz w:val="19"/>
              </w:rPr>
              <w:t>[35]</w:t>
            </w:r>
          </w:p>
        </w:tc>
        <w:tc>
          <w:tcPr>
            <w:tcW w:type="dxa" w:w="2880"/>
          </w:tcPr>
          <w:p>
            <w:r/>
            <w:r>
              <w:rPr>
                <w:rFonts w:ascii="Times New Roman" w:hAnsi="Times New Roman"/>
                <w:sz w:val="19"/>
              </w:rPr>
              <w:t>Neurology</w:t>
            </w:r>
          </w:p>
        </w:tc>
        <w:tc>
          <w:tcPr>
            <w:tcW w:type="dxa" w:w="2880"/>
          </w:tcPr>
          <w:p>
            <w:r/>
            <w:r>
              <w:rPr>
                <w:rFonts w:ascii="Times New Roman" w:hAnsi="Times New Roman"/>
                <w:sz w:val="19"/>
              </w:rPr>
              <w:t>Sun et al. — peripheral immune-cell phenotypes and Alzheimer's disease</w:t>
            </w:r>
          </w:p>
        </w:tc>
      </w:tr>
      <w:tr>
        <w:tc>
          <w:tcPr>
            <w:tcW w:type="dxa" w:w="2880"/>
          </w:tcPr>
          <w:p>
            <w:r/>
            <w:r>
              <w:rPr>
                <w:rFonts w:ascii="Times New Roman" w:hAnsi="Times New Roman"/>
                <w:sz w:val="19"/>
              </w:rPr>
              <w:t>[36]</w:t>
            </w:r>
          </w:p>
        </w:tc>
        <w:tc>
          <w:tcPr>
            <w:tcW w:type="dxa" w:w="2880"/>
          </w:tcPr>
          <w:p>
            <w:r/>
            <w:r>
              <w:rPr>
                <w:rFonts w:ascii="Times New Roman" w:hAnsi="Times New Roman"/>
                <w:sz w:val="19"/>
              </w:rPr>
              <w:t>Respiratory / allergy</w:t>
            </w:r>
          </w:p>
        </w:tc>
        <w:tc>
          <w:tcPr>
            <w:tcW w:type="dxa" w:w="2880"/>
          </w:tcPr>
          <w:p>
            <w:r/>
            <w:r>
              <w:rPr>
                <w:rFonts w:ascii="Times New Roman" w:hAnsi="Times New Roman"/>
                <w:sz w:val="19"/>
              </w:rPr>
              <w:t>Zhang et al. — allergic-disease mediators of bronchiectasis</w:t>
            </w:r>
          </w:p>
        </w:tc>
      </w:tr>
      <w:tr>
        <w:tc>
          <w:tcPr>
            <w:tcW w:type="dxa" w:w="2880"/>
          </w:tcPr>
          <w:p>
            <w:r/>
            <w:r>
              <w:rPr>
                <w:rFonts w:ascii="Times New Roman" w:hAnsi="Times New Roman"/>
                <w:sz w:val="19"/>
              </w:rPr>
              <w:t>[38]</w:t>
            </w:r>
          </w:p>
        </w:tc>
        <w:tc>
          <w:tcPr>
            <w:tcW w:type="dxa" w:w="2880"/>
          </w:tcPr>
          <w:p>
            <w:r/>
            <w:r>
              <w:rPr>
                <w:rFonts w:ascii="Times New Roman" w:hAnsi="Times New Roman"/>
                <w:sz w:val="19"/>
              </w:rPr>
              <w:t>Cardiology / psychiatry</w:t>
            </w:r>
          </w:p>
        </w:tc>
        <w:tc>
          <w:tcPr>
            <w:tcW w:type="dxa" w:w="2880"/>
          </w:tcPr>
          <w:p>
            <w:r/>
            <w:r>
              <w:rPr>
                <w:rFonts w:ascii="Times New Roman" w:hAnsi="Times New Roman"/>
                <w:sz w:val="19"/>
              </w:rPr>
              <w:t>Wang et al. — neuroticism as protective factor for cardiomyopathy</w:t>
            </w:r>
          </w:p>
        </w:tc>
      </w:tr>
    </w:tbl>
    <w:p>
      <w:pPr>
        <w:pStyle w:val="ListBullet"/>
        <w:jc w:val="both"/>
      </w:pPr>
      <w:r>
        <w:rPr>
          <w:rFonts w:ascii="Times New Roman" w:hAnsi="Times New Roman"/>
          <w:b/>
          <w:sz w:val="24"/>
        </w:rPr>
        <w:t>Supplementary Table S6:</w:t>
      </w:r>
      <w:r>
        <w:rPr>
          <w:rFonts w:ascii="Times New Roman" w:hAnsi="Times New Roman"/>
          <w:b w:val="0"/>
          <w:sz w:val="24"/>
        </w:rPr>
        <w:t xml:space="preserve"> additional two-step MR mediation applications cited in the text, beyond the six worked examples in the Discussion (domain, study and reference).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Correcting for instrument overlap in two-step summary-data Mendelian randomization mediation</dc:title>
  <dc:subject/>
  <dc:creator>Yan Chen, Jianfeng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