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val="0"/>
          <w:i w:val="0"/>
          <w:sz w:val="22"/>
        </w:rPr>
        <w:t>**Authors:** Yan Chen¹ (ORCID: 0009-0001-6328-7403), Jianfeng Wang² (ORCID: 0000-0002-6316-6361)</w:t>
      </w:r>
    </w:p>
    <w:p>
      <w:pPr>
        <w:jc w:val="center"/>
      </w:pPr>
      <w:r>
        <w:rPr>
          <w:rFonts w:ascii="Times New Roman" w:hAnsi="Times New Roman"/>
          <w:b w:val="0"/>
          <w:i w:val="0"/>
          <w:sz w:val="22"/>
        </w:rPr>
        <w:t>**Affiliations:**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val="0"/>
          <w:i w:val="0"/>
          <w:sz w:val="22"/>
        </w:rPr>
        <w:t>**Correspondence:**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The overlap result above applies to an *isolated* estimator, not to the *product*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*direction*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*gain* significance (turn a naively non-significant result significant) and never remove it. The maximum flip probability is 5.7% (at F = 30, ρ_MY = 0, π_shared = 1.0, λ ≈ 2.0); only 3/100 design points exceed 5%. Under discordant mediation or sample overlap the covariance is positive and the corrected SE is larger, so the correction can *lose*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2,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2.</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*same*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sz w:val="24"/>
        </w:rPr>
        <w:t>*Note (full):*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3c.</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*variance*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3b;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3b);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3b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3b.</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*single* two-sample MR estimand (instrument-selection / Winner's Curse, weak-instrument bias, and exposure–outcome sample overlap) by simulating statistically independent summary statistics; it does not derive the covariance of a *product* estimand, so it leaves the two-step mediation term Cov(α̂, β̂) unaddressed. Table 4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4.</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*more*,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*Left:* relative error of the traditional delta-method SE as a function of the proportion of shared instruments (π_shared), for instrument strengths F = 10, 15, 30 and ρ_MY = 0. At π_shared = 0.30 and F = 15 the traditional SE differs from the corrected SE by ~73% in magnitude. *Right:*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*Conservative* counts only merged-IV-pool and MVMR-joint designs (9.3% [95% CI 6.6–12.9%]). *Typical*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*Structural*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*Top:* shared-IV design (n_s = 78), where the corrected SE is 15.5% smaller. *Bottom:*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*Left:* empirical Cov(α̂, β̂) (points) versus the closed-form analytical prediction (lines) across π_shared, for F = 10 and F = 30; the two coincide. *Right:*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*Panel A* (concordant mediation, ρ_MY = 0, F = 10): the correction narrows the CI, so flips are gains of significance; the maximum across the 200-cell grid is 5.7%. *Panel B* (discordant mediation / full sample overlap, ρ_MY = 1, F = 10): the correction widens the CI, so flips are losses of significance; the maximum is 10.4%.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3).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