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sz w:val="22"/>
        </w:rPr>
        <w:t>Authors:</w:t>
      </w:r>
      <w:r>
        <w:rPr>
          <w:rFonts w:ascii="Times New Roman" w:hAnsi="Times New Roman"/>
          <w:b w:val="0"/>
          <w:sz w:val="22"/>
        </w:rPr>
        <w:t xml:space="preserve"> Yan Chen¹, Jianfeng Wang²</w:t>
      </w:r>
    </w:p>
    <w:p>
      <w:pPr>
        <w:jc w:val="center"/>
      </w:pPr>
      <w:r>
        <w:rPr>
          <w:rFonts w:ascii="Times New Roman" w:hAnsi="Times New Roman"/>
          <w:b/>
          <w:sz w:val="22"/>
        </w:rPr>
        <w:t>Affiliations:</w:t>
      </w:r>
      <w:r>
        <w:rPr>
          <w:rFonts w:ascii="Times New Roman" w:hAnsi="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sz w:val="22"/>
        </w:rPr>
        <w:t>Correspondence:</w:t>
      </w:r>
      <w:r>
        <w:rPr>
          <w:rFonts w:ascii="Times New Roman" w:hAnsi="Times New Roman"/>
          <w:b w:val="0"/>
          <w:sz w:val="22"/>
        </w:rPr>
        <w:t xml:space="preserv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Background</w:t>
      </w:r>
      <w:r>
        <w:rPr>
          <w:rFonts w:ascii="Times New Roman" w:hAnsi="Times New Roman"/>
          <w:b w:val="0"/>
          <w:sz w:val="24"/>
        </w:rPr>
        <w:t xml:space="preserve"> Two-step (product-method) Mendelian randomization (MR) mediation assumes that the exposure-step and mediator-step instrument sets are independent. This assumption has never been examined at scale, and no closed-form correction exists for when it fails.</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for instrument-selection design and overlap handling. We derived a closed-form Cov(α̂, β̂) under two overlap channels - shared instruments and mediator-outcome sample overlap - validated it on a 180-cell simulation grid and a 200-cell flip-probability scan, and batch re-estimated 108 trios directly from OpenGWAS summary statistics.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use a design capable of non-zero Cov(α̂, β̂) without disclosing overlap handling, and essentially none correct for it at the covariance level. Genuine overlap occurred in 6.5% (7/108) of re-estimated trios, where the correction narrowed every non-degenerate confidence interval (0.2–16.0%) with zero observed flips (95% CI for the underlying flip rate 0–43.4%). The covariance sign is prior-unknown: negative under concordant mediation, which makes the uncorrected interval conservative, but positive under discordant mediation or sample overlap, where flip probability reaches 10.4%.</w:t>
      </w:r>
    </w:p>
    <w:p>
      <w:pPr>
        <w:ind w:firstLine="480"/>
        <w:jc w:val="both"/>
      </w:pPr>
      <w:r>
        <w:rPr>
          <w:rFonts w:ascii="Times New Roman" w:hAnsi="Times New Roman"/>
          <w:b/>
          <w:sz w:val="24"/>
        </w:rPr>
        <w:t>Conclusions</w:t>
      </w:r>
      <w:r>
        <w:rPr>
          <w:rFonts w:ascii="Times New Roman" w:hAnsi="Times New Roman"/>
          <w:b w:val="0"/>
          <w:sz w:val="24"/>
        </w:rPr>
        <w:t xml:space="preserve"> Instrument overlap is common and systematically uncorrected, and its direction cannot be assumed favourable. Because n_s, π_shared and ρ_MY are rarely reported, the field currently cannot tell which regime any published result occupies. We recommend that two-step MR mediation report these three quantities; our released tool applies the correction from published summary statistics alone.</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xml:space="preserve">. The overlap result above applies to an </w:t>
      </w:r>
      <w:r>
        <w:rPr>
          <w:rFonts w:ascii="Times New Roman" w:hAnsi="Times New Roman"/>
          <w:b w:val="0"/>
          <w:i/>
          <w:sz w:val="24"/>
        </w:rPr>
        <w:t>isolated</w:t>
      </w:r>
      <w:r>
        <w:rPr>
          <w:rFonts w:ascii="Times New Roman" w:hAnsi="Times New Roman"/>
          <w:b w:val="0"/>
          <w:sz w:val="24"/>
        </w:rPr>
        <w:t xml:space="preserve"> estimator, not to the </w:t>
      </w:r>
      <w:r>
        <w:rPr>
          <w:rFonts w:ascii="Times New Roman" w:hAnsi="Times New Roman"/>
          <w:b w:val="0"/>
          <w:i/>
          <w:sz w:val="24"/>
        </w:rPr>
        <w:t>product</w:t>
      </w:r>
      <w:r>
        <w:rPr>
          <w:rFonts w:ascii="Times New Roman" w:hAnsi="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 xml:space="preserve">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b w:val="0"/>
          <w:i/>
          <w:sz w:val="24"/>
        </w:rPr>
        <w:t>direction</w:t>
      </w:r>
      <w:r>
        <w:rPr>
          <w:rFonts w:ascii="Times New Roman" w:hAnsi="Times New Roman"/>
          <w:b w:val="0"/>
          <w:sz w:val="24"/>
        </w:rPr>
        <w:t xml:space="preserve">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3"/>
        </w:rPr>
        <w:t>3.1.1 When does the correction change significance? A flip-probability scan</w:t>
      </w:r>
    </w:p>
    <w:p>
      <w:pPr>
        <w:ind w:firstLine="480"/>
        <w:jc w:val="both"/>
      </w:pPr>
      <w:r>
        <w:rPr>
          <w:rFonts w:ascii="Times New Roman" w:hAnsi="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b w:val="0"/>
          <w:i/>
          <w:sz w:val="24"/>
        </w:rPr>
        <w:t>gain</w:t>
      </w:r>
      <w:r>
        <w:rPr>
          <w:rFonts w:ascii="Times New Roman" w:hAnsi="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b w:val="0"/>
          <w:i/>
          <w:sz w:val="24"/>
        </w:rPr>
        <w:t>lose</w:t>
      </w:r>
      <w:r>
        <w:rPr>
          <w:rFonts w:ascii="Times New Roman" w:hAnsi="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study is correctly labeled as a merged-pool design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 This matters because S110 is a genuine published merged-pool analysis that was simply mislabeled as a different design — it proves the maximal-overlap regime the correction targets is not a theoretical construct but a design the literature already runs, only without the overlap being acknowledged; the same silence is what leaves an opposite-signed trio (§3.7) unable to report whether its correction widens.</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b/>
          <w:sz w:val="24"/>
        </w:rPr>
        <w:t>Which coded fields are load-bearing.</w:t>
      </w:r>
      <w:r>
        <w:rPr>
          <w:rFonts w:ascii="Times New Roman" w:hAnsi="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b w:val="0"/>
          <w:i/>
          <w:sz w:val="24"/>
        </w:rPr>
        <w:t>absence</w:t>
      </w:r>
      <w:r>
        <w:rPr>
          <w:rFonts w:ascii="Times New Roman" w:hAnsi="Times New Roman"/>
          <w:b w:val="0"/>
          <w:sz w:val="24"/>
        </w:rPr>
        <w:t xml:space="preserve"> of any statement about overlap handling. Two features make this attribution favourable. First, judging that a study does </w:t>
      </w:r>
      <w:r>
        <w:rPr>
          <w:rFonts w:ascii="Times New Roman" w:hAnsi="Times New Roman"/>
          <w:b w:val="0"/>
          <w:i/>
          <w:sz w:val="24"/>
        </w:rPr>
        <w:t>not</w:t>
      </w:r>
      <w:r>
        <w:rPr>
          <w:rFonts w:ascii="Times New Roman" w:hAnsi="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b w:val="0"/>
          <w:i/>
          <w:sz w:val="24"/>
        </w:rPr>
        <w:t>lowers</w:t>
      </w:r>
      <w:r>
        <w:rPr>
          <w:rFonts w:ascii="Times New Roman" w:hAnsi="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W w:type="dxa" w:w="960"/>
            <w:tcBorders>
              <w:bottom w:val="single" w:sz="6" w:space="0" w:color="auto"/>
            </w:tcBorders>
          </w:tcPr>
          <w:p>
            <w:r/>
            <w:r>
              <w:rPr>
                <w:rFonts w:ascii="Times New Roman" w:hAnsi="Times New Roman"/>
                <w:b/>
                <w:sz w:val="19"/>
              </w:rPr>
              <w:t>design</w:t>
            </w:r>
          </w:p>
        </w:tc>
        <w:tc>
          <w:tcPr>
            <w:tcW w:type="dxa" w:w="960"/>
            <w:tcBorders>
              <w:bottom w:val="single" w:sz="6" w:space="0" w:color="auto"/>
            </w:tcBorders>
          </w:tcPr>
          <w:p>
            <w:r/>
            <w:r>
              <w:rPr>
                <w:rFonts w:ascii="Times New Roman" w:hAnsi="Times New Roman"/>
                <w:b/>
                <w:sz w:val="19"/>
              </w:rPr>
              <w:t>ρ_MY</w:t>
            </w:r>
          </w:p>
        </w:tc>
        <w:tc>
          <w:tcPr>
            <w:tcW w:type="dxa" w:w="960"/>
            <w:tcBorders>
              <w:bottom w:val="single" w:sz="6" w:space="0" w:color="auto"/>
            </w:tcBorders>
          </w:tcPr>
          <w:p>
            <w:r/>
            <w:r>
              <w:rPr>
                <w:rFonts w:ascii="Times New Roman" w:hAnsi="Times New Roman"/>
                <w:b/>
                <w:sz w:val="19"/>
              </w:rPr>
              <w:t>n_s</w:t>
            </w:r>
          </w:p>
        </w:tc>
        <w:tc>
          <w:tcPr>
            <w:tcW w:type="dxa" w:w="960"/>
            <w:tcBorders>
              <w:bottom w:val="single" w:sz="6" w:space="0" w:color="auto"/>
            </w:tcBorders>
          </w:tcPr>
          <w:p>
            <w:r/>
            <w:r>
              <w:rPr>
                <w:rFonts w:ascii="Times New Roman" w:hAnsi="Times New Roman"/>
                <w:b/>
                <w:sz w:val="19"/>
              </w:rPr>
              <w:t>α̂ (SE)</w:t>
            </w:r>
          </w:p>
        </w:tc>
        <w:tc>
          <w:tcPr>
            <w:tcW w:type="dxa" w:w="960"/>
            <w:tcBorders>
              <w:bottom w:val="single" w:sz="6" w:space="0" w:color="auto"/>
            </w:tcBorders>
          </w:tcPr>
          <w:p>
            <w:r/>
            <w:r>
              <w:rPr>
                <w:rFonts w:ascii="Times New Roman" w:hAnsi="Times New Roman"/>
                <w:b/>
                <w:sz w:val="19"/>
              </w:rPr>
              <w:t>β̂ (SE)</w:t>
            </w:r>
          </w:p>
        </w:tc>
        <w:tc>
          <w:tcPr>
            <w:tcW w:type="dxa" w:w="960"/>
            <w:tcBorders>
              <w:bottom w:val="single" w:sz="6" w:space="0" w:color="auto"/>
            </w:tcBorders>
          </w:tcPr>
          <w:p>
            <w:r/>
            <w:r>
              <w:rPr>
                <w:rFonts w:ascii="Times New Roman" w:hAnsi="Times New Roman"/>
                <w:b/>
                <w:sz w:val="19"/>
              </w:rPr>
              <w:t>indirect</w:t>
            </w:r>
          </w:p>
        </w:tc>
        <w:tc>
          <w:tcPr>
            <w:tcW w:type="dxa" w:w="960"/>
            <w:tcBorders>
              <w:bottom w:val="single" w:sz="6" w:space="0" w:color="auto"/>
            </w:tcBorders>
          </w:tcPr>
          <w:p>
            <w:r/>
            <w:r>
              <w:rPr>
                <w:rFonts w:ascii="Times New Roman" w:hAnsi="Times New Roman"/>
                <w:b/>
                <w:sz w:val="19"/>
              </w:rPr>
              <w:t>SE_naive</w:t>
            </w:r>
          </w:p>
        </w:tc>
        <w:tc>
          <w:tcPr>
            <w:tcW w:type="dxa" w:w="960"/>
            <w:tcBorders>
              <w:bottom w:val="single" w:sz="6" w:space="0" w:color="auto"/>
            </w:tcBorders>
          </w:tcPr>
          <w:p>
            <w:r/>
            <w:r>
              <w:rPr>
                <w:rFonts w:ascii="Times New Roman" w:hAnsi="Times New Roman"/>
                <w:b/>
                <w:sz w:val="19"/>
              </w:rPr>
              <w:t>SE_corr</w:t>
            </w:r>
          </w:p>
        </w:tc>
        <w:tc>
          <w:tcPr>
            <w:tcW w:type="dxa" w:w="960"/>
            <w:tcBorders>
              <w:bottom w:val="single" w:sz="6" w:space="0" w:color="auto"/>
            </w:tcBorders>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1.</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w:t>
      </w:r>
      <w:r>
        <w:rPr>
          <w:rFonts w:ascii="Times New Roman" w:hAnsi="Times New Roman"/>
          <w:b w:val="0"/>
          <w:i/>
          <w:sz w:val="24"/>
        </w:rPr>
        <w:t>same</w:t>
      </w:r>
      <w:r>
        <w:rPr>
          <w:rFonts w:ascii="Times New Roman" w:hAnsi="Times New Roman"/>
          <w:b w:val="0"/>
          <w:sz w:val="24"/>
        </w:rPr>
        <w:t xml:space="preserv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Borders>
              <w:bottom w:val="single" w:sz="6" w:space="0" w:color="auto"/>
            </w:tcBorders>
          </w:tcPr>
          <w:p>
            <w:r/>
            <w:r>
              <w:rPr>
                <w:rFonts w:ascii="Times New Roman" w:hAnsi="Times New Roman"/>
                <w:b/>
                <w:sz w:val="19"/>
              </w:rPr>
              <w:t>Study</w:t>
            </w:r>
          </w:p>
        </w:tc>
        <w:tc>
          <w:tcPr>
            <w:tcW w:type="dxa" w:w="576"/>
            <w:tcBorders>
              <w:bottom w:val="single" w:sz="6" w:space="0" w:color="auto"/>
            </w:tcBorders>
          </w:tcPr>
          <w:p>
            <w:r/>
            <w:r>
              <w:rPr>
                <w:rFonts w:ascii="Times New Roman" w:hAnsi="Times New Roman"/>
                <w:b/>
                <w:sz w:val="19"/>
              </w:rPr>
              <w:t>Pathway (X → M → Y)</w:t>
            </w:r>
          </w:p>
        </w:tc>
        <w:tc>
          <w:tcPr>
            <w:tcW w:type="dxa" w:w="576"/>
            <w:tcBorders>
              <w:bottom w:val="single" w:sz="6" w:space="0" w:color="auto"/>
            </w:tcBorders>
          </w:tcPr>
          <w:p>
            <w:r/>
            <w:r>
              <w:rPr>
                <w:rFonts w:ascii="Times New Roman" w:hAnsi="Times New Roman"/>
                <w:b/>
                <w:sz w:val="19"/>
              </w:rPr>
              <w:t>n_X</w:t>
            </w:r>
          </w:p>
        </w:tc>
        <w:tc>
          <w:tcPr>
            <w:tcW w:type="dxa" w:w="576"/>
            <w:tcBorders>
              <w:bottom w:val="single" w:sz="6" w:space="0" w:color="auto"/>
            </w:tcBorders>
          </w:tcPr>
          <w:p>
            <w:r/>
            <w:r>
              <w:rPr>
                <w:rFonts w:ascii="Times New Roman" w:hAnsi="Times New Roman"/>
                <w:b/>
                <w:sz w:val="19"/>
              </w:rPr>
              <w:t>n_M</w:t>
            </w:r>
          </w:p>
        </w:tc>
        <w:tc>
          <w:tcPr>
            <w:tcW w:type="dxa" w:w="576"/>
            <w:tcBorders>
              <w:bottom w:val="single" w:sz="6" w:space="0" w:color="auto"/>
            </w:tcBorders>
          </w:tcPr>
          <w:p>
            <w:r/>
            <w:r>
              <w:rPr>
                <w:rFonts w:ascii="Times New Roman" w:hAnsi="Times New Roman"/>
                <w:b/>
                <w:sz w:val="19"/>
              </w:rPr>
              <w:t>n_s</w:t>
            </w:r>
          </w:p>
        </w:tc>
        <w:tc>
          <w:tcPr>
            <w:tcW w:type="dxa" w:w="576"/>
            <w:tcBorders>
              <w:bottom w:val="single" w:sz="6" w:space="0" w:color="auto"/>
            </w:tcBorders>
          </w:tcPr>
          <w:p>
            <w:r/>
            <w:r>
              <w:rPr>
                <w:rFonts w:ascii="Times New Roman" w:hAnsi="Times New Roman"/>
                <w:b/>
                <w:sz w:val="19"/>
              </w:rPr>
              <w:t>π_shared</w:t>
            </w:r>
          </w:p>
        </w:tc>
        <w:tc>
          <w:tcPr>
            <w:tcW w:type="dxa" w:w="576"/>
            <w:tcBorders>
              <w:bottom w:val="single" w:sz="6" w:space="0" w:color="auto"/>
            </w:tcBorders>
          </w:tcPr>
          <w:p>
            <w:r/>
            <w:r>
              <w:rPr>
                <w:rFonts w:ascii="Times New Roman" w:hAnsi="Times New Roman"/>
                <w:b/>
                <w:sz w:val="19"/>
              </w:rPr>
              <w:t>α̂ (SE_α)</w:t>
            </w:r>
          </w:p>
        </w:tc>
        <w:tc>
          <w:tcPr>
            <w:tcW w:type="dxa" w:w="576"/>
            <w:tcBorders>
              <w:bottom w:val="single" w:sz="6" w:space="0" w:color="auto"/>
            </w:tcBorders>
          </w:tcPr>
          <w:p>
            <w:r/>
            <w:r>
              <w:rPr>
                <w:rFonts w:ascii="Times New Roman" w:hAnsi="Times New Roman"/>
                <w:b/>
                <w:sz w:val="19"/>
              </w:rPr>
              <w:t>β̂ (SE_β)</w:t>
            </w:r>
          </w:p>
        </w:tc>
        <w:tc>
          <w:tcPr>
            <w:tcW w:type="dxa" w:w="576"/>
            <w:tcBorders>
              <w:bottom w:val="single" w:sz="6" w:space="0" w:color="auto"/>
            </w:tcBorders>
          </w:tcPr>
          <w:p>
            <w:r/>
            <w:r>
              <w:rPr>
                <w:rFonts w:ascii="Times New Roman" w:hAnsi="Times New Roman"/>
                <w:b/>
                <w:sz w:val="19"/>
              </w:rPr>
              <w:t>indirect</w:t>
            </w:r>
          </w:p>
        </w:tc>
        <w:tc>
          <w:tcPr>
            <w:tcW w:type="dxa" w:w="576"/>
            <w:tcBorders>
              <w:bottom w:val="single" w:sz="6" w:space="0" w:color="auto"/>
            </w:tcBorders>
          </w:tcPr>
          <w:p>
            <w:r/>
            <w:r>
              <w:rPr>
                <w:rFonts w:ascii="Times New Roman" w:hAnsi="Times New Roman"/>
                <w:b/>
                <w:sz w:val="19"/>
              </w:rPr>
              <w:t>SE_naive</w:t>
            </w:r>
          </w:p>
        </w:tc>
        <w:tc>
          <w:tcPr>
            <w:tcW w:type="dxa" w:w="576"/>
            <w:tcBorders>
              <w:bottom w:val="single" w:sz="6" w:space="0" w:color="auto"/>
            </w:tcBorders>
          </w:tcPr>
          <w:p>
            <w:r/>
            <w:r>
              <w:rPr>
                <w:rFonts w:ascii="Times New Roman" w:hAnsi="Times New Roman"/>
                <w:b/>
                <w:sz w:val="19"/>
              </w:rPr>
              <w:t>SE_corr</w:t>
            </w:r>
          </w:p>
        </w:tc>
        <w:tc>
          <w:tcPr>
            <w:tcW w:type="dxa" w:w="576"/>
            <w:tcBorders>
              <w:bottom w:val="single" w:sz="6" w:space="0" w:color="auto"/>
            </w:tcBorders>
          </w:tcPr>
          <w:p>
            <w:r/>
            <w:r>
              <w:rPr>
                <w:rFonts w:ascii="Times New Roman" w:hAnsi="Times New Roman"/>
                <w:b/>
                <w:sz w:val="19"/>
              </w:rPr>
              <w:t>widen_%</w:t>
            </w:r>
          </w:p>
        </w:tc>
        <w:tc>
          <w:tcPr>
            <w:tcW w:type="dxa" w:w="576"/>
            <w:tcBorders>
              <w:bottom w:val="single" w:sz="6" w:space="0" w:color="auto"/>
            </w:tcBorders>
          </w:tcPr>
          <w:p>
            <w:r/>
            <w:r>
              <w:rPr>
                <w:rFonts w:ascii="Times New Roman" w:hAnsi="Times New Roman"/>
                <w:b/>
                <w:sz w:val="19"/>
              </w:rPr>
              <w:t>Naive sig</w:t>
            </w:r>
          </w:p>
        </w:tc>
        <w:tc>
          <w:tcPr>
            <w:tcW w:type="dxa" w:w="576"/>
            <w:tcBorders>
              <w:bottom w:val="single" w:sz="6" w:space="0" w:color="auto"/>
            </w:tcBorders>
          </w:tcPr>
          <w:p>
            <w:r/>
            <w:r>
              <w:rPr>
                <w:rFonts w:ascii="Times New Roman" w:hAnsi="Times New Roman"/>
                <w:b/>
                <w:sz w:val="19"/>
              </w:rPr>
              <w:t>Corr. sig</w:t>
            </w:r>
          </w:p>
        </w:tc>
        <w:tc>
          <w:tcPr>
            <w:tcW w:type="dxa" w:w="576"/>
            <w:tcBorders>
              <w:bottom w:val="single" w:sz="6" w:space="0" w:color="auto"/>
            </w:tcBorders>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2.</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i/>
          <w:sz w:val="24"/>
        </w:rPr>
        <w:t>Note (full):</w:t>
      </w:r>
      <w:r>
        <w:rPr>
          <w:rFonts w:ascii="Times New Roman" w:hAnsi="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W w:type="dxa" w:w="1234"/>
            <w:tcBorders>
              <w:bottom w:val="single" w:sz="6" w:space="0" w:color="auto"/>
            </w:tcBorders>
          </w:tcPr>
          <w:p>
            <w:r/>
            <w:r>
              <w:rPr>
                <w:rFonts w:ascii="Times New Roman" w:hAnsi="Times New Roman"/>
                <w:b/>
                <w:sz w:val="19"/>
              </w:rPr>
              <w:t>Study</w:t>
            </w:r>
          </w:p>
        </w:tc>
        <w:tc>
          <w:tcPr>
            <w:tcW w:type="dxa" w:w="1234"/>
            <w:tcBorders>
              <w:bottom w:val="single" w:sz="6" w:space="0" w:color="auto"/>
            </w:tcBorders>
          </w:tcPr>
          <w:p>
            <w:r/>
            <w:r>
              <w:rPr>
                <w:rFonts w:ascii="Times New Roman" w:hAnsi="Times New Roman"/>
                <w:b/>
                <w:sz w:val="19"/>
              </w:rPr>
              <w:t>Step</w:t>
            </w:r>
          </w:p>
        </w:tc>
        <w:tc>
          <w:tcPr>
            <w:tcW w:type="dxa" w:w="1234"/>
            <w:tcBorders>
              <w:bottom w:val="single" w:sz="6" w:space="0" w:color="auto"/>
            </w:tcBorders>
          </w:tcPr>
          <w:p>
            <w:r/>
            <w:r>
              <w:rPr>
                <w:rFonts w:ascii="Times New Roman" w:hAnsi="Times New Roman"/>
                <w:b/>
                <w:sz w:val="19"/>
              </w:rPr>
              <w:t>n_IV</w:t>
            </w:r>
          </w:p>
        </w:tc>
        <w:tc>
          <w:tcPr>
            <w:tcW w:type="dxa" w:w="1234"/>
            <w:tcBorders>
              <w:bottom w:val="single" w:sz="6" w:space="0" w:color="auto"/>
            </w:tcBorders>
          </w:tcPr>
          <w:p>
            <w:r/>
            <w:r>
              <w:rPr>
                <w:rFonts w:ascii="Times New Roman" w:hAnsi="Times New Roman"/>
                <w:b/>
                <w:sz w:val="19"/>
              </w:rPr>
              <w:t>Egger β₀</w:t>
            </w:r>
          </w:p>
        </w:tc>
        <w:tc>
          <w:tcPr>
            <w:tcW w:type="dxa" w:w="1234"/>
            <w:tcBorders>
              <w:bottom w:val="single" w:sz="6" w:space="0" w:color="auto"/>
            </w:tcBorders>
          </w:tcPr>
          <w:p>
            <w:r/>
            <w:r>
              <w:rPr>
                <w:rFonts w:ascii="Times New Roman" w:hAnsi="Times New Roman"/>
                <w:b/>
                <w:sz w:val="19"/>
              </w:rPr>
              <w:t>p</w:t>
            </w:r>
          </w:p>
        </w:tc>
        <w:tc>
          <w:tcPr>
            <w:tcW w:type="dxa" w:w="1234"/>
            <w:tcBorders>
              <w:bottom w:val="single" w:sz="6" w:space="0" w:color="auto"/>
            </w:tcBorders>
          </w:tcPr>
          <w:p>
            <w:r/>
            <w:r>
              <w:rPr>
                <w:rFonts w:ascii="Times New Roman" w:hAnsi="Times New Roman"/>
                <w:b/>
                <w:sz w:val="19"/>
              </w:rPr>
              <w:t>WM slope</w:t>
            </w:r>
          </w:p>
        </w:tc>
        <w:tc>
          <w:tcPr>
            <w:tcW w:type="dxa" w:w="1234"/>
            <w:tcBorders>
              <w:bottom w:val="single" w:sz="6" w:space="0" w:color="auto"/>
            </w:tcBorders>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2b.</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 xml:space="preserve">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w:t>
      </w:r>
      <w:r>
        <w:rPr>
          <w:rFonts w:ascii="Times New Roman" w:hAnsi="Times New Roman"/>
          <w:b w:val="0"/>
          <w:i/>
          <w:sz w:val="24"/>
        </w:rPr>
        <w:t>variance</w:t>
      </w:r>
      <w:r>
        <w:rPr>
          <w:rFonts w:ascii="Times New Roman" w:hAnsi="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2c;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2c);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2c leaves every conclusion unchanged.</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W w:type="dxa" w:w="665"/>
            <w:tcBorders>
              <w:bottom w:val="single" w:sz="6" w:space="0" w:color="auto"/>
            </w:tcBorders>
          </w:tcPr>
          <w:p>
            <w:r/>
            <w:r>
              <w:rPr>
                <w:rFonts w:ascii="Times New Roman" w:hAnsi="Times New Roman"/>
                <w:b/>
                <w:sz w:val="19"/>
              </w:rPr>
              <w:t>Study</w:t>
            </w:r>
          </w:p>
        </w:tc>
        <w:tc>
          <w:tcPr>
            <w:tcW w:type="dxa" w:w="665"/>
            <w:tcBorders>
              <w:bottom w:val="single" w:sz="6" w:space="0" w:color="auto"/>
            </w:tcBorders>
          </w:tcPr>
          <w:p>
            <w:r/>
            <w:r>
              <w:rPr>
                <w:rFonts w:ascii="Times New Roman" w:hAnsi="Times New Roman"/>
                <w:b/>
                <w:sz w:val="19"/>
              </w:rPr>
              <w:t>Pathway (X → M → Y)</w:t>
            </w:r>
          </w:p>
        </w:tc>
        <w:tc>
          <w:tcPr>
            <w:tcW w:type="dxa" w:w="665"/>
            <w:tcBorders>
              <w:bottom w:val="single" w:sz="6" w:space="0" w:color="auto"/>
            </w:tcBorders>
          </w:tcPr>
          <w:p>
            <w:r/>
            <w:r>
              <w:rPr>
                <w:rFonts w:ascii="Times New Roman" w:hAnsi="Times New Roman"/>
                <w:b/>
                <w:sz w:val="19"/>
              </w:rPr>
              <w:t>n_s</w:t>
            </w:r>
          </w:p>
        </w:tc>
        <w:tc>
          <w:tcPr>
            <w:tcW w:type="dxa" w:w="665"/>
            <w:tcBorders>
              <w:bottom w:val="single" w:sz="6" w:space="0" w:color="auto"/>
            </w:tcBorders>
          </w:tcPr>
          <w:p>
            <w:r/>
            <w:r>
              <w:rPr>
                <w:rFonts w:ascii="Times New Roman" w:hAnsi="Times New Roman"/>
                <w:b/>
                <w:sz w:val="19"/>
              </w:rPr>
              <w:t>ρ_g (primary)</w:t>
            </w:r>
          </w:p>
        </w:tc>
        <w:tc>
          <w:tcPr>
            <w:tcW w:type="dxa" w:w="665"/>
            <w:tcBorders>
              <w:bottom w:val="single" w:sz="6" w:space="0" w:color="auto"/>
            </w:tcBorders>
          </w:tcPr>
          <w:p>
            <w:r/>
            <w:r>
              <w:rPr>
                <w:rFonts w:ascii="Times New Roman" w:hAnsi="Times New Roman"/>
                <w:b/>
                <w:sz w:val="19"/>
              </w:rPr>
              <w:t>95% CI</w:t>
            </w:r>
          </w:p>
        </w:tc>
        <w:tc>
          <w:tcPr>
            <w:tcW w:type="dxa" w:w="665"/>
            <w:tcBorders>
              <w:bottom w:val="single" w:sz="6" w:space="0" w:color="auto"/>
            </w:tcBorders>
          </w:tcPr>
          <w:p>
            <w:r/>
            <w:r>
              <w:rPr>
                <w:rFonts w:ascii="Times New Roman" w:hAnsi="Times New Roman"/>
                <w:b/>
                <w:sz w:val="19"/>
              </w:rPr>
              <w:t>ρ_g (residualized)</w:t>
            </w:r>
          </w:p>
        </w:tc>
        <w:tc>
          <w:tcPr>
            <w:tcW w:type="dxa" w:w="665"/>
            <w:tcBorders>
              <w:bottom w:val="single" w:sz="6" w:space="0" w:color="auto"/>
            </w:tcBorders>
          </w:tcPr>
          <w:p>
            <w:r/>
            <w:r>
              <w:rPr>
                <w:rFonts w:ascii="Times New Roman" w:hAnsi="Times New Roman"/>
                <w:b/>
                <w:sz w:val="19"/>
              </w:rPr>
              <w:t>sample overlap</w:t>
            </w:r>
          </w:p>
        </w:tc>
        <w:tc>
          <w:tcPr>
            <w:tcW w:type="dxa" w:w="665"/>
            <w:tcBorders>
              <w:bottom w:val="single" w:sz="6" w:space="0" w:color="auto"/>
            </w:tcBorders>
          </w:tcPr>
          <w:p>
            <w:r/>
            <w:r>
              <w:rPr>
                <w:rFonts w:ascii="Times New Roman" w:hAnsi="Times New Roman"/>
                <w:b/>
                <w:sz w:val="19"/>
              </w:rPr>
              <w:t>widen% (ρ=0)</w:t>
            </w:r>
          </w:p>
        </w:tc>
        <w:tc>
          <w:tcPr>
            <w:tcW w:type="dxa" w:w="665"/>
            <w:tcBorders>
              <w:bottom w:val="single" w:sz="6" w:space="0" w:color="auto"/>
            </w:tcBorders>
          </w:tcPr>
          <w:p>
            <w:r/>
            <w:r>
              <w:rPr>
                <w:rFonts w:ascii="Times New Roman" w:hAnsi="Times New Roman"/>
                <w:b/>
                <w:sz w:val="19"/>
              </w:rPr>
              <w:t>widen% (ρ_g)</w:t>
            </w:r>
          </w:p>
        </w:tc>
        <w:tc>
          <w:tcPr>
            <w:tcW w:type="dxa" w:w="665"/>
            <w:tcBorders>
              <w:bottom w:val="single" w:sz="6" w:space="0" w:color="auto"/>
            </w:tcBorders>
          </w:tcPr>
          <w:p>
            <w:r/>
            <w:r>
              <w:rPr>
                <w:rFonts w:ascii="Times New Roman" w:hAnsi="Times New Roman"/>
                <w:b/>
                <w:sz w:val="19"/>
              </w:rPr>
              <w:t>widen% (ρ_g upper CI)</w:t>
            </w:r>
          </w:p>
        </w:tc>
        <w:tc>
          <w:tcPr>
            <w:tcW w:type="dxa" w:w="665"/>
            <w:tcBorders>
              <w:bottom w:val="single" w:sz="6" w:space="0" w:color="auto"/>
            </w:tcBorders>
          </w:tcPr>
          <w:p>
            <w:r/>
            <w:r>
              <w:rPr>
                <w:rFonts w:ascii="Times New Roman" w:hAnsi="Times New Roman"/>
                <w:b/>
                <w:sz w:val="19"/>
              </w:rPr>
              <w:t>Δ (pp)</w:t>
            </w:r>
          </w:p>
        </w:tc>
        <w:tc>
          <w:tcPr>
            <w:tcW w:type="dxa" w:w="665"/>
            <w:tcBorders>
              <w:bottom w:val="single" w:sz="6" w:space="0" w:color="auto"/>
            </w:tcBorders>
          </w:tcPr>
          <w:p>
            <w:r/>
            <w:r>
              <w:rPr>
                <w:rFonts w:ascii="Times New Roman" w:hAnsi="Times New Roman"/>
                <w:b/>
                <w:sz w:val="19"/>
              </w:rPr>
              <w:t>Flip (point)</w:t>
            </w:r>
          </w:p>
        </w:tc>
        <w:tc>
          <w:tcPr>
            <w:tcW w:type="dxa" w:w="665"/>
            <w:tcBorders>
              <w:bottom w:val="single" w:sz="6" w:space="0" w:color="auto"/>
            </w:tcBorders>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2c.</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4"/>
        </w:rPr>
        <w:t>3.7 A realistic widening scenario on real effect estimates</w:t>
      </w:r>
    </w:p>
    <w:p>
      <w:pPr>
        <w:ind w:firstLine="480"/>
        <w:jc w:val="both"/>
      </w:pPr>
      <w:r>
        <w:rPr>
          <w:rFonts w:ascii="Times New Roman" w:hAnsi="Times New Roman"/>
          <w:b w:val="0"/>
          <w:sz w:val="24"/>
        </w:rPr>
        <w:t xml:space="preserve">The benign direction of every resolvable overlapping trio (§3.5) is a property of the same-signed cases we happened to observe, not a law: Proposition S2.5 and the flip-probability scan (§3.1.1, Fig. S3) show that the correction widens whenever α̂ and β̂ carry opposite signs (α̂β̂ &lt; 0), because the shared-instrument covariance is then positive. To verify that this harmful regime is reachable with </w:t>
      </w:r>
      <w:r>
        <w:rPr>
          <w:rFonts w:ascii="Times New Roman" w:hAnsi="Times New Roman"/>
          <w:b w:val="0"/>
          <w:i/>
          <w:sz w:val="24"/>
        </w:rPr>
        <w:t>real</w:t>
      </w:r>
      <w:r>
        <w:rPr>
          <w:rFonts w:ascii="Times New Roman" w:hAnsi="Times New Roman"/>
          <w:b w:val="0"/>
          <w:sz w:val="24"/>
        </w:rPr>
        <w:t xml:space="preserve"> parameters rather than only in simulation, we took the 20 opposite-signed mediation trios we were able to resolve to public summary statistics and applied the closed-form correction under the merged-pool instrument configuration — n_s set to the full overlap min(p_X, p_M) — that the field uses without disclosure (§3.2; S110 is a real, mislabeled merged-pool example). Nineteen of twenty widen (maximum +38.3%), confirming Cov(α̂, β̂) &gt; 0 under opposite signs on genuine data. None flipped significance solely because opposite-signed mediation is typically non-significant in our sample; the substantive point is that an opposite-signed study sitting near the naive boundary (λ ≈ 1.7–2.4, §3.6) would have its uncertainty materially </w:t>
      </w:r>
      <w:r>
        <w:rPr>
          <w:rFonts w:ascii="Times New Roman" w:hAnsi="Times New Roman"/>
          <w:b w:val="0"/>
          <w:i/>
          <w:sz w:val="24"/>
        </w:rPr>
        <w:t>understated</w:t>
      </w:r>
      <w:r>
        <w:rPr>
          <w:rFonts w:ascii="Times New Roman" w:hAnsi="Times New Roman"/>
          <w:b w:val="0"/>
          <w:sz w:val="24"/>
        </w:rPr>
        <w:t xml:space="preserve"> by the naive delta method. Table 2d lists the six largest real-parameter widenings.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W w:type="dxa" w:w="1080"/>
            <w:tcBorders>
              <w:bottom w:val="single" w:sz="6" w:space="0" w:color="auto"/>
            </w:tcBorders>
          </w:tcPr>
          <w:p>
            <w:r/>
            <w:r>
              <w:rPr>
                <w:rFonts w:ascii="Times New Roman" w:hAnsi="Times New Roman"/>
                <w:b/>
                <w:sz w:val="19"/>
              </w:rPr>
              <w:t>Study</w:t>
            </w:r>
          </w:p>
        </w:tc>
        <w:tc>
          <w:tcPr>
            <w:tcW w:type="dxa" w:w="1080"/>
            <w:tcBorders>
              <w:bottom w:val="single" w:sz="6" w:space="0" w:color="auto"/>
            </w:tcBorders>
          </w:tcPr>
          <w:p>
            <w:r/>
            <w:r>
              <w:rPr>
                <w:rFonts w:ascii="Times New Roman" w:hAnsi="Times New Roman"/>
                <w:b/>
                <w:sz w:val="19"/>
              </w:rPr>
              <w:t>Pathway (X → M → Y)</w:t>
            </w:r>
          </w:p>
        </w:tc>
        <w:tc>
          <w:tcPr>
            <w:tcW w:type="dxa" w:w="1080"/>
            <w:tcBorders>
              <w:bottom w:val="single" w:sz="6" w:space="0" w:color="auto"/>
            </w:tcBorders>
          </w:tcPr>
          <w:p>
            <w:r/>
            <w:r>
              <w:rPr>
                <w:rFonts w:ascii="Times New Roman" w:hAnsi="Times New Roman"/>
                <w:b/>
                <w:sz w:val="19"/>
              </w:rPr>
              <w:t>α̂ (SE)</w:t>
            </w:r>
          </w:p>
        </w:tc>
        <w:tc>
          <w:tcPr>
            <w:tcW w:type="dxa" w:w="1080"/>
            <w:tcBorders>
              <w:bottom w:val="single" w:sz="6" w:space="0" w:color="auto"/>
            </w:tcBorders>
          </w:tcPr>
          <w:p>
            <w:r/>
            <w:r>
              <w:rPr>
                <w:rFonts w:ascii="Times New Roman" w:hAnsi="Times New Roman"/>
                <w:b/>
                <w:sz w:val="19"/>
              </w:rPr>
              <w:t>β̂ (SE)</w:t>
            </w:r>
          </w:p>
        </w:tc>
        <w:tc>
          <w:tcPr>
            <w:tcW w:type="dxa" w:w="1080"/>
            <w:tcBorders>
              <w:bottom w:val="single" w:sz="6" w:space="0" w:color="auto"/>
            </w:tcBorders>
          </w:tcPr>
          <w:p>
            <w:r/>
            <w:r>
              <w:rPr>
                <w:rFonts w:ascii="Times New Roman" w:hAnsi="Times New Roman"/>
                <w:b/>
                <w:sz w:val="19"/>
              </w:rPr>
              <w:t>n_s†</w:t>
            </w:r>
          </w:p>
        </w:tc>
        <w:tc>
          <w:tcPr>
            <w:tcW w:type="dxa" w:w="1080"/>
            <w:tcBorders>
              <w:bottom w:val="single" w:sz="6" w:space="0" w:color="auto"/>
            </w:tcBorders>
          </w:tcPr>
          <w:p>
            <w:r/>
            <w:r>
              <w:rPr>
                <w:rFonts w:ascii="Times New Roman" w:hAnsi="Times New Roman"/>
                <w:b/>
                <w:sz w:val="19"/>
              </w:rPr>
              <w:t>widen%</w:t>
            </w:r>
          </w:p>
        </w:tc>
        <w:tc>
          <w:tcPr>
            <w:tcW w:type="dxa" w:w="1080"/>
            <w:tcBorders>
              <w:bottom w:val="single" w:sz="6" w:space="0" w:color="auto"/>
            </w:tcBorders>
          </w:tcPr>
          <w:p>
            <w:r/>
            <w:r>
              <w:rPr>
                <w:rFonts w:ascii="Times New Roman" w:hAnsi="Times New Roman"/>
                <w:b/>
                <w:sz w:val="19"/>
              </w:rPr>
              <w:t>λ_naive</w:t>
            </w:r>
          </w:p>
        </w:tc>
        <w:tc>
          <w:tcPr>
            <w:tcW w:type="dxa" w:w="1080"/>
            <w:tcBorders>
              <w:bottom w:val="single" w:sz="6" w:space="0" w:color="auto"/>
            </w:tcBorders>
          </w:tcPr>
          <w:p>
            <w:r/>
            <w:r>
              <w:rPr>
                <w:rFonts w:ascii="Times New Roman" w:hAnsi="Times New Roman"/>
                <w:b/>
                <w:sz w:val="19"/>
              </w:rPr>
              <w:t>Flip</w:t>
            </w:r>
          </w:p>
        </w:tc>
      </w:tr>
      <w:tr>
        <w:tc>
          <w:tcPr>
            <w:tcW w:type="dxa" w:w="1080"/>
          </w:tcPr>
          <w:p>
            <w:r/>
            <w:r>
              <w:rPr>
                <w:rFonts w:ascii="Times New Roman" w:hAnsi="Times New Roman"/>
                <w:sz w:val="19"/>
              </w:rPr>
              <w:t>S366</w:t>
            </w:r>
          </w:p>
        </w:tc>
        <w:tc>
          <w:tcPr>
            <w:tcW w:type="dxa" w:w="1080"/>
          </w:tcPr>
          <w:p>
            <w:r/>
            <w:r>
              <w:rPr>
                <w:rFonts w:ascii="Times New Roman" w:hAnsi="Times New Roman"/>
                <w:sz w:val="19"/>
              </w:rPr>
              <w:t>plasma metabolites → immune cells → MI</w:t>
            </w:r>
          </w:p>
        </w:tc>
        <w:tc>
          <w:tcPr>
            <w:tcW w:type="dxa" w:w="1080"/>
          </w:tcPr>
          <w:p>
            <w:r/>
            <w:r>
              <w:rPr>
                <w:rFonts w:ascii="Times New Roman" w:hAnsi="Times New Roman"/>
                <w:sz w:val="19"/>
              </w:rPr>
              <w:t>−0.0187 (0.0080)</w:t>
            </w:r>
          </w:p>
        </w:tc>
        <w:tc>
          <w:tcPr>
            <w:tcW w:type="dxa" w:w="1080"/>
          </w:tcPr>
          <w:p>
            <w:r/>
            <w:r>
              <w:rPr>
                <w:rFonts w:ascii="Times New Roman" w:hAnsi="Times New Roman"/>
                <w:sz w:val="19"/>
              </w:rPr>
              <w:t>+0.0019 (0.0006)</w:t>
            </w:r>
          </w:p>
        </w:tc>
        <w:tc>
          <w:tcPr>
            <w:tcW w:type="dxa" w:w="1080"/>
          </w:tcPr>
          <w:p>
            <w:r/>
            <w:r>
              <w:rPr>
                <w:rFonts w:ascii="Times New Roman" w:hAnsi="Times New Roman"/>
                <w:sz w:val="19"/>
              </w:rPr>
              <w:t>1</w:t>
            </w:r>
          </w:p>
        </w:tc>
        <w:tc>
          <w:tcPr>
            <w:tcW w:type="dxa" w:w="1080"/>
          </w:tcPr>
          <w:p>
            <w:r/>
            <w:r>
              <w:rPr>
                <w:rFonts w:ascii="Times New Roman" w:hAnsi="Times New Roman"/>
                <w:sz w:val="19"/>
              </w:rPr>
              <w:t>+38.3</w:t>
            </w:r>
          </w:p>
        </w:tc>
        <w:tc>
          <w:tcPr>
            <w:tcW w:type="dxa" w:w="1080"/>
          </w:tcPr>
          <w:p>
            <w:r/>
            <w:r>
              <w:rPr>
                <w:rFonts w:ascii="Times New Roman" w:hAnsi="Times New Roman"/>
                <w:sz w:val="19"/>
              </w:rPr>
              <w:t>1.90</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S271</w:t>
            </w:r>
          </w:p>
        </w:tc>
        <w:tc>
          <w:tcPr>
            <w:tcW w:type="dxa" w:w="1080"/>
          </w:tcPr>
          <w:p>
            <w:r/>
            <w:r>
              <w:rPr>
                <w:rFonts w:ascii="Times New Roman" w:hAnsi="Times New Roman"/>
                <w:sz w:val="19"/>
              </w:rPr>
              <w:t>blood metabolites → risk factors → glaucoma/AMD</w:t>
            </w:r>
          </w:p>
        </w:tc>
        <w:tc>
          <w:tcPr>
            <w:tcW w:type="dxa" w:w="1080"/>
          </w:tcPr>
          <w:p>
            <w:r/>
            <w:r>
              <w:rPr>
                <w:rFonts w:ascii="Times New Roman" w:hAnsi="Times New Roman"/>
                <w:sz w:val="19"/>
              </w:rPr>
              <w:t>−0.0307 (0.0461)</w:t>
            </w:r>
          </w:p>
        </w:tc>
        <w:tc>
          <w:tcPr>
            <w:tcW w:type="dxa" w:w="1080"/>
          </w:tcPr>
          <w:p>
            <w:r/>
            <w:r>
              <w:rPr>
                <w:rFonts w:ascii="Times New Roman" w:hAnsi="Times New Roman"/>
                <w:sz w:val="19"/>
              </w:rPr>
              <w:t>+0.0021 (0.0019)</w:t>
            </w:r>
          </w:p>
        </w:tc>
        <w:tc>
          <w:tcPr>
            <w:tcW w:type="dxa" w:w="1080"/>
          </w:tcPr>
          <w:p>
            <w:r/>
            <w:r>
              <w:rPr>
                <w:rFonts w:ascii="Times New Roman" w:hAnsi="Times New Roman"/>
                <w:sz w:val="19"/>
              </w:rPr>
              <w:t>2</w:t>
            </w:r>
          </w:p>
        </w:tc>
        <w:tc>
          <w:tcPr>
            <w:tcW w:type="dxa" w:w="1080"/>
          </w:tcPr>
          <w:p>
            <w:r/>
            <w:r>
              <w:rPr>
                <w:rFonts w:ascii="Times New Roman" w:hAnsi="Times New Roman"/>
                <w:sz w:val="19"/>
              </w:rPr>
              <w:t>+37.1</w:t>
            </w:r>
          </w:p>
        </w:tc>
        <w:tc>
          <w:tcPr>
            <w:tcW w:type="dxa" w:w="1080"/>
          </w:tcPr>
          <w:p>
            <w:r/>
            <w:r>
              <w:rPr>
                <w:rFonts w:ascii="Times New Roman" w:hAnsi="Times New Roman"/>
                <w:sz w:val="19"/>
              </w:rPr>
              <w:t>0.57</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S247</w:t>
            </w:r>
          </w:p>
        </w:tc>
        <w:tc>
          <w:tcPr>
            <w:tcW w:type="dxa" w:w="1080"/>
          </w:tcPr>
          <w:p>
            <w:r/>
            <w:r>
              <w:rPr>
                <w:rFonts w:ascii="Times New Roman" w:hAnsi="Times New Roman"/>
                <w:sz w:val="19"/>
              </w:rPr>
              <w:t>urticaria → inflammatory cytokines → mental disorders</w:t>
            </w:r>
          </w:p>
        </w:tc>
        <w:tc>
          <w:tcPr>
            <w:tcW w:type="dxa" w:w="1080"/>
          </w:tcPr>
          <w:p>
            <w:r/>
            <w:r>
              <w:rPr>
                <w:rFonts w:ascii="Times New Roman" w:hAnsi="Times New Roman"/>
                <w:sz w:val="19"/>
              </w:rPr>
              <w:t>+0.0019 (0.0011)</w:t>
            </w:r>
          </w:p>
        </w:tc>
        <w:tc>
          <w:tcPr>
            <w:tcW w:type="dxa" w:w="1080"/>
          </w:tcPr>
          <w:p>
            <w:r/>
            <w:r>
              <w:rPr>
                <w:rFonts w:ascii="Times New Roman" w:hAnsi="Times New Roman"/>
                <w:sz w:val="19"/>
              </w:rPr>
              <w:t>−0.2920 (0.2989)</w:t>
            </w:r>
          </w:p>
        </w:tc>
        <w:tc>
          <w:tcPr>
            <w:tcW w:type="dxa" w:w="1080"/>
          </w:tcPr>
          <w:p>
            <w:r/>
            <w:r>
              <w:rPr>
                <w:rFonts w:ascii="Times New Roman" w:hAnsi="Times New Roman"/>
                <w:sz w:val="19"/>
              </w:rPr>
              <w:t>2</w:t>
            </w:r>
          </w:p>
        </w:tc>
        <w:tc>
          <w:tcPr>
            <w:tcW w:type="dxa" w:w="1080"/>
          </w:tcPr>
          <w:p>
            <w:r/>
            <w:r>
              <w:rPr>
                <w:rFonts w:ascii="Times New Roman" w:hAnsi="Times New Roman"/>
                <w:sz w:val="19"/>
              </w:rPr>
              <w:t>+36.0</w:t>
            </w:r>
          </w:p>
        </w:tc>
        <w:tc>
          <w:tcPr>
            <w:tcW w:type="dxa" w:w="1080"/>
          </w:tcPr>
          <w:p>
            <w:r/>
            <w:r>
              <w:rPr>
                <w:rFonts w:ascii="Times New Roman" w:hAnsi="Times New Roman"/>
                <w:sz w:val="19"/>
              </w:rPr>
              <w:t>0.85</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S390</w:t>
            </w:r>
          </w:p>
        </w:tc>
        <w:tc>
          <w:tcPr>
            <w:tcW w:type="dxa" w:w="1080"/>
          </w:tcPr>
          <w:p>
            <w:r/>
            <w:r>
              <w:rPr>
                <w:rFonts w:ascii="Times New Roman" w:hAnsi="Times New Roman"/>
                <w:sz w:val="19"/>
              </w:rPr>
              <w:t>brain networks → inflammatory proteins → neuropathic pain</w:t>
            </w:r>
          </w:p>
        </w:tc>
        <w:tc>
          <w:tcPr>
            <w:tcW w:type="dxa" w:w="1080"/>
          </w:tcPr>
          <w:p>
            <w:r/>
            <w:r>
              <w:rPr>
                <w:rFonts w:ascii="Times New Roman" w:hAnsi="Times New Roman"/>
                <w:sz w:val="19"/>
              </w:rPr>
              <w:t>+0.1025 (0.0787)</w:t>
            </w:r>
          </w:p>
        </w:tc>
        <w:tc>
          <w:tcPr>
            <w:tcW w:type="dxa" w:w="1080"/>
          </w:tcPr>
          <w:p>
            <w:r/>
            <w:r>
              <w:rPr>
                <w:rFonts w:ascii="Times New Roman" w:hAnsi="Times New Roman"/>
                <w:sz w:val="19"/>
              </w:rPr>
              <w:t>−0.2759 (0.3835)</w:t>
            </w:r>
          </w:p>
        </w:tc>
        <w:tc>
          <w:tcPr>
            <w:tcW w:type="dxa" w:w="1080"/>
          </w:tcPr>
          <w:p>
            <w:r/>
            <w:r>
              <w:rPr>
                <w:rFonts w:ascii="Times New Roman" w:hAnsi="Times New Roman"/>
                <w:sz w:val="19"/>
              </w:rPr>
              <w:t>1</w:t>
            </w:r>
          </w:p>
        </w:tc>
        <w:tc>
          <w:tcPr>
            <w:tcW w:type="dxa" w:w="1080"/>
          </w:tcPr>
          <w:p>
            <w:r/>
            <w:r>
              <w:rPr>
                <w:rFonts w:ascii="Times New Roman" w:hAnsi="Times New Roman"/>
                <w:sz w:val="19"/>
              </w:rPr>
              <w:t>+35.8</w:t>
            </w:r>
          </w:p>
        </w:tc>
        <w:tc>
          <w:tcPr>
            <w:tcW w:type="dxa" w:w="1080"/>
          </w:tcPr>
          <w:p>
            <w:r/>
            <w:r>
              <w:rPr>
                <w:rFonts w:ascii="Times New Roman" w:hAnsi="Times New Roman"/>
                <w:sz w:val="19"/>
              </w:rPr>
              <w:t>0.63</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S348</w:t>
            </w:r>
          </w:p>
        </w:tc>
        <w:tc>
          <w:tcPr>
            <w:tcW w:type="dxa" w:w="1080"/>
          </w:tcPr>
          <w:p>
            <w:r/>
            <w:r>
              <w:rPr>
                <w:rFonts w:ascii="Times New Roman" w:hAnsi="Times New Roman"/>
                <w:sz w:val="19"/>
              </w:rPr>
              <w:t>LADA → immune cells → breast cancer</w:t>
            </w:r>
          </w:p>
        </w:tc>
        <w:tc>
          <w:tcPr>
            <w:tcW w:type="dxa" w:w="1080"/>
          </w:tcPr>
          <w:p>
            <w:r/>
            <w:r>
              <w:rPr>
                <w:rFonts w:ascii="Times New Roman" w:hAnsi="Times New Roman"/>
                <w:sz w:val="19"/>
              </w:rPr>
              <w:t>−0.0150 (0.0018)</w:t>
            </w:r>
          </w:p>
        </w:tc>
        <w:tc>
          <w:tcPr>
            <w:tcW w:type="dxa" w:w="1080"/>
          </w:tcPr>
          <w:p>
            <w:r/>
            <w:r>
              <w:rPr>
                <w:rFonts w:ascii="Times New Roman" w:hAnsi="Times New Roman"/>
                <w:sz w:val="19"/>
              </w:rPr>
              <w:t>+0.0529 (0.0200)</w:t>
            </w:r>
          </w:p>
        </w:tc>
        <w:tc>
          <w:tcPr>
            <w:tcW w:type="dxa" w:w="1080"/>
          </w:tcPr>
          <w:p>
            <w:r/>
            <w:r>
              <w:rPr>
                <w:rFonts w:ascii="Times New Roman" w:hAnsi="Times New Roman"/>
                <w:sz w:val="19"/>
              </w:rPr>
              <w:t>3</w:t>
            </w:r>
          </w:p>
        </w:tc>
        <w:tc>
          <w:tcPr>
            <w:tcW w:type="dxa" w:w="1080"/>
          </w:tcPr>
          <w:p>
            <w:r/>
            <w:r>
              <w:rPr>
                <w:rFonts w:ascii="Times New Roman" w:hAnsi="Times New Roman"/>
                <w:sz w:val="19"/>
              </w:rPr>
              <w:t>+12.8</w:t>
            </w:r>
          </w:p>
        </w:tc>
        <w:tc>
          <w:tcPr>
            <w:tcW w:type="dxa" w:w="1080"/>
          </w:tcPr>
          <w:p>
            <w:r/>
            <w:r>
              <w:rPr>
                <w:rFonts w:ascii="Times New Roman" w:hAnsi="Times New Roman"/>
                <w:sz w:val="19"/>
              </w:rPr>
              <w:t>2.52</w:t>
            </w:r>
          </w:p>
        </w:tc>
        <w:tc>
          <w:tcPr>
            <w:tcW w:type="dxa" w:w="1080"/>
          </w:tcPr>
          <w:p>
            <w:r/>
            <w:r>
              <w:rPr>
                <w:rFonts w:ascii="Times New Roman" w:hAnsi="Times New Roman"/>
                <w:sz w:val="19"/>
              </w:rPr>
              <w:t>none</w:t>
            </w:r>
          </w:p>
        </w:tc>
      </w:tr>
      <w:tr>
        <w:tc>
          <w:tcPr>
            <w:tcW w:type="dxa" w:w="1080"/>
          </w:tcPr>
          <w:p>
            <w:r/>
            <w:r>
              <w:rPr>
                <w:rFonts w:ascii="Times New Roman" w:hAnsi="Times New Roman"/>
                <w:sz w:val="19"/>
              </w:rPr>
              <w:t>S150</w:t>
            </w:r>
          </w:p>
        </w:tc>
        <w:tc>
          <w:tcPr>
            <w:tcW w:type="dxa" w:w="1080"/>
          </w:tcPr>
          <w:p>
            <w:r/>
            <w:r>
              <w:rPr>
                <w:rFonts w:ascii="Times New Roman" w:hAnsi="Times New Roman"/>
                <w:sz w:val="19"/>
              </w:rPr>
              <w:t>25(OH)D → total testosterone → osteoporosis</w:t>
            </w:r>
          </w:p>
        </w:tc>
        <w:tc>
          <w:tcPr>
            <w:tcW w:type="dxa" w:w="1080"/>
          </w:tcPr>
          <w:p>
            <w:r/>
            <w:r>
              <w:rPr>
                <w:rFonts w:ascii="Times New Roman" w:hAnsi="Times New Roman"/>
                <w:sz w:val="19"/>
              </w:rPr>
              <w:t>+0.0044 (0.0108)</w:t>
            </w:r>
          </w:p>
        </w:tc>
        <w:tc>
          <w:tcPr>
            <w:tcW w:type="dxa" w:w="1080"/>
          </w:tcPr>
          <w:p>
            <w:r/>
            <w:r>
              <w:rPr>
                <w:rFonts w:ascii="Times New Roman" w:hAnsi="Times New Roman"/>
                <w:sz w:val="19"/>
              </w:rPr>
              <w:t>−0.0024 (0.0009)</w:t>
            </w:r>
          </w:p>
        </w:tc>
        <w:tc>
          <w:tcPr>
            <w:tcW w:type="dxa" w:w="1080"/>
          </w:tcPr>
          <w:p>
            <w:r/>
            <w:r>
              <w:rPr>
                <w:rFonts w:ascii="Times New Roman" w:hAnsi="Times New Roman"/>
                <w:sz w:val="19"/>
              </w:rPr>
              <w:t>105</w:t>
            </w:r>
          </w:p>
        </w:tc>
        <w:tc>
          <w:tcPr>
            <w:tcW w:type="dxa" w:w="1080"/>
          </w:tcPr>
          <w:p>
            <w:r/>
            <w:r>
              <w:rPr>
                <w:rFonts w:ascii="Times New Roman" w:hAnsi="Times New Roman"/>
                <w:sz w:val="19"/>
              </w:rPr>
              <w:t>+13.2</w:t>
            </w:r>
          </w:p>
        </w:tc>
        <w:tc>
          <w:tcPr>
            <w:tcW w:type="dxa" w:w="1080"/>
          </w:tcPr>
          <w:p>
            <w:r/>
            <w:r>
              <w:rPr>
                <w:rFonts w:ascii="Times New Roman" w:hAnsi="Times New Roman"/>
                <w:sz w:val="19"/>
              </w:rPr>
              <w:t>0.40</w:t>
            </w:r>
          </w:p>
        </w:tc>
        <w:tc>
          <w:tcPr>
            <w:tcW w:type="dxa" w:w="1080"/>
          </w:tcPr>
          <w:p>
            <w:r/>
            <w:r>
              <w:rPr>
                <w:rFonts w:ascii="Times New Roman" w:hAnsi="Times New Roman"/>
                <w:sz w:val="19"/>
              </w:rPr>
              <w:t>none</w:t>
            </w:r>
          </w:p>
        </w:tc>
      </w:tr>
    </w:tbl>
    <w:p>
      <w:pPr>
        <w:jc w:val="left"/>
      </w:pPr>
      <w:r>
        <w:rPr>
          <w:rFonts w:ascii="Times New Roman" w:hAnsi="Times New Roman"/>
          <w:b/>
          <w:i/>
          <w:sz w:val="20"/>
        </w:rPr>
        <w:t>Table 2d.</w:t>
      </w:r>
      <w:r>
        <w:rPr>
          <w:rFonts w:ascii="Times New Roman" w:hAnsi="Times New Roman"/>
          <w:b w:val="0"/>
          <w:sz w:val="20"/>
        </w:rPr>
        <w:t xml:space="preserve"> Largest closed-form widenings on real opposite-signed mediation estimates under a counterfactual merged-pool overlap (n_s = min(p_X, p_M); ρ_MY = 0). α̂, β̂ and their SEs are the actually published point estimates; only the instrument-overlap configuration is counterfactual, because the field does not report n_s (§3.2). λ_naive = |α̂β̂| / SE_naive.</w:t>
      </w:r>
    </w:p>
    <w:p>
      <w:pPr>
        <w:ind w:firstLine="480"/>
        <w:jc w:val="both"/>
      </w:pPr>
      <w:r>
        <w:rPr>
          <w:rFonts w:ascii="Times New Roman" w:hAnsi="Times New Roman"/>
          <w:b w:val="0"/>
          <w:sz w:val="24"/>
        </w:rPr>
        <w:t>† Counterfactual merged-pool overlap; the same studies' realized n_s is unknown because overlap is not reported. S348 is a genuinely significant mediation (λ_naive = 2.52) yet its CI is still widened by 12.8% under undisclosed overlap, and S366 sits exactly in the flip-prone band (λ = 1.90, §3.6). These real-parameter results convert the theoretical "opposite-sign widens" statement (Proposition S2.5, Fig. S3) from a simulation finding into a demonstrable property of published estimates, and show why the missing n_s / π_shared / ρ_MY reporting (§3.2) leaves a reader unable to tell whether any given opposite-signed result is benign or harmful.</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 That the harmful widening regime is not merely theoretical is shown in §3.7: applying the correction to real opposite-signed mediation estimates under the undisclosed merged-pool design widens confidence intervals by up to 38%, so the missing n_s / π_shared / ρ_MY reporting can hide anti-conservative inference in published work.</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w:t>
      </w:r>
      <w:r>
        <w:rPr>
          <w:rFonts w:ascii="Times New Roman" w:hAnsi="Times New Roman"/>
          <w:b w:val="0"/>
          <w:i/>
          <w:sz w:val="24"/>
        </w:rPr>
        <w:t>single</w:t>
      </w:r>
      <w:r>
        <w:rPr>
          <w:rFonts w:ascii="Times New Roman" w:hAnsi="Times New Roman"/>
          <w:b w:val="0"/>
          <w:sz w:val="24"/>
        </w:rPr>
        <w:t xml:space="preserve"> two-sample MR estimand (instrument-selection / Winner's Curse, weak-instrument bias, and exposure–outcome sample overlap) by simulating statistically independent summary statistics; it does not derive the covariance of a </w:t>
      </w:r>
      <w:r>
        <w:rPr>
          <w:rFonts w:ascii="Times New Roman" w:hAnsi="Times New Roman"/>
          <w:b w:val="0"/>
          <w:i/>
          <w:sz w:val="24"/>
        </w:rPr>
        <w:t>product</w:t>
      </w:r>
      <w:r>
        <w:rPr>
          <w:rFonts w:ascii="Times New Roman" w:hAnsi="Times New Roman"/>
          <w:b w:val="0"/>
          <w:sz w:val="24"/>
        </w:rPr>
        <w:t xml:space="preserve"> estimand, so it leaves the two-step mediation term Cov(α̂, β̂) unaddressed. Importantly, Forde et al. </w:t>
      </w:r>
      <w:r>
        <w:rPr>
          <w:rFonts w:ascii="Times New Roman" w:hAnsi="Times New Roman"/>
          <w:b w:val="0"/>
          <w:sz w:val="24"/>
          <w:vertAlign w:val="superscript"/>
        </w:rPr>
        <w:t>23</w:t>
      </w:r>
      <w:r>
        <w:rPr>
          <w:rFonts w:ascii="Times New Roman" w:hAnsi="Times New Roman"/>
          <w:b w:val="0"/>
          <w:sz w:val="24"/>
        </w:rPr>
        <w:t xml:space="preserve"> document that instrument-selection and participant-overlap bias is a real, non-negligible feature of single-estimand two-sample MR in practice; because the product estimand α̂β̂ inherits both channels and adds the shared-instrument covariance, that practical hazard carries over to — and is amplified within — two-step mediation, the exact regime our correction addresses. Table 3 contrasts the three.</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bottom w:val="single" w:sz="6" w:space="0" w:color="auto"/>
            </w:tcBorders>
          </w:tcPr>
          <w:p>
            <w:r/>
            <w:r>
              <w:rPr>
                <w:rFonts w:ascii="Times New Roman" w:hAnsi="Times New Roman"/>
                <w:b/>
                <w:sz w:val="19"/>
              </w:rPr>
              <w:t>Feature</w:t>
            </w:r>
          </w:p>
        </w:tc>
        <w:tc>
          <w:tcPr>
            <w:tcW w:type="dxa" w:w="2160"/>
            <w:tcBorders>
              <w:bottom w:val="single" w:sz="6" w:space="0" w:color="auto"/>
            </w:tcBorders>
          </w:tcPr>
          <w:p>
            <w:r/>
            <w:r>
              <w:rPr>
                <w:rFonts w:ascii="Times New Roman" w:hAnsi="Times New Roman"/>
                <w:b/>
                <w:sz w:val="19"/>
              </w:rPr>
              <w:t>This work</w:t>
            </w:r>
          </w:p>
        </w:tc>
        <w:tc>
          <w:tcPr>
            <w:tcW w:type="dxa" w:w="2160"/>
            <w:tcBorders>
              <w:bottom w:val="single" w:sz="6" w:space="0" w:color="auto"/>
            </w:tcBorders>
          </w:tcPr>
          <w:p>
            <w:r/>
            <w:r>
              <w:rPr>
                <w:rFonts w:ascii="Times New Roman" w:hAnsi="Times New Roman"/>
                <w:b/>
                <w:sz w:val="19"/>
              </w:rPr>
              <w:t>Forde et al. 2026 (MR-SimSS)</w:t>
            </w:r>
          </w:p>
        </w:tc>
        <w:tc>
          <w:tcPr>
            <w:tcW w:type="dxa" w:w="2160"/>
            <w:tcBorders>
              <w:bottom w:val="single" w:sz="6" w:space="0" w:color="auto"/>
            </w:tcBorders>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b w:val="0"/>
          <w:i/>
          <w:sz w:val="24"/>
        </w:rPr>
        <w:t>more</w:t>
      </w:r>
      <w:r>
        <w:rPr>
          <w:rFonts w:ascii="Times New Roman" w:hAnsi="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b w:val="0"/>
          <w:sz w:val="24"/>
          <w:vertAlign w:val="superscript"/>
        </w:rPr>
        <w:t>41</w:t>
      </w:r>
      <w:r>
        <w:rPr>
          <w:rFonts w:ascii="Times New Roman" w:hAnsi="Times New Roman"/>
          <w:b w:val="0"/>
          <w:sz w:val="24"/>
        </w:rPr>
        <w:t>.</w:t>
      </w:r>
    </w:p>
    <w:p>
      <w:pPr>
        <w:ind w:firstLine="480"/>
        <w:jc w:val="both"/>
      </w:pPr>
      <w:r>
        <w:rPr>
          <w:rFonts w:ascii="Times New Roman" w:hAnsi="Times New Roman"/>
          <w:b/>
          <w:sz w:val="24"/>
        </w:rPr>
        <w:t>Practical recommendations.</w:t>
      </w:r>
      <w:r>
        <w:rPr>
          <w:rFonts w:ascii="Times New Roman" w:hAnsi="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the sign of the covariance - and hence whether an uncorrected interval was conservative or anti-conservative - cannot be anticipated without first computing these quantities, so the correction should be routine rather than conditional on an expected direction.</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Omitting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the resolved, EUR-ancestry subset the realized same-sign trios happen to sit in the benign (narrowing) tail — but this observation rests on a small, non-representative sample (§3.6, Limitations 2b) and cannot be extrapolated to the full audited corpus, because the sign is prior-unknown and the opposite-sign / sample-overlap regime widens. The contribution of this paper is therefore the closed-form tool, the empirical boundary conditions under which the direction flips, and the audit baseline needed to make overlap routine to report and correct — not a retrospective correction of individual conclusions. Reporting n_s, π_shared and ρ_MY should become standard for every two-step MR mediation, so that the field can tell, for any result, which regime it occupies.</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Funding</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b/>
          <w:sz w:val="26"/>
        </w:rPr>
        <w:t>Acknowledgements</w:t>
      </w:r>
    </w:p>
    <w:p>
      <w:pPr>
        <w:ind w:firstLine="480"/>
        <w:jc w:val="both"/>
      </w:pPr>
      <w:r>
        <w:rPr>
          <w:rFonts w:ascii="Times New Roman" w:hAnsi="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w:t>
      </w:r>
    </w:p>
    <w:p>
      <w:pPr>
        <w:ind w:left="420" w:hanging="420"/>
        <w:jc w:val="left"/>
      </w:pPr>
      <w:r>
        <w:rPr>
          <w:rFonts w:ascii="Times New Roman" w:hAnsi="Times New Roman"/>
          <w:b w:val="0"/>
          <w:sz w:val="20"/>
        </w:rPr>
        <w:t xml:space="preserve">40. Skrivankova VW, Richmond RC, Woolf BAR, Yarmolinsky J, Davies NM, Swanson SA, et al. Strengthening the Reporting of Observational Studies in Epidemiology Using Mendelian Randomization: The STROBE-MR Statement. JAMA. 2021;326(16):1614-1621. doi:10.1001/jama.2021.18236. </w:t>
      </w:r>
    </w:p>
    <w:p>
      <w:pPr>
        <w:ind w:left="420" w:hanging="420"/>
        <w:jc w:val="left"/>
      </w:pPr>
      <w:r>
        <w:rPr>
          <w:rFonts w:ascii="Times New Roman" w:hAnsi="Times New Roman"/>
          <w:b w:val="0"/>
          <w:sz w:val="20"/>
        </w:rPr>
        <w:t>41. Sanderson E, Levin MG, Walker V, Yuan S, Badini I, Dolce J, Mahida KJ, Nho JW, Pingault JB, Damrauer SM, Hemani G, Davies NM. Challenges and future directions for Mendelian randomization. Nat Genet. 2026;58:984-994. doi:10.1038/s41588-026-02546-6.</w:t>
      </w:r>
    </w:p>
    <w:p>
      <w:pPr>
        <w:spacing w:before="200" w:after="80"/>
        <w:jc w:val="left"/>
      </w:pPr>
      <w:r>
        <w:rPr>
          <w:rFonts w:ascii="Times New Roman" w:hAnsi="Times New Roman"/>
          <w:b/>
          <w:sz w:val="26"/>
        </w:rPr>
        <w:t>Figure legends</w:t>
      </w:r>
    </w:p>
    <w:p>
      <w:pPr>
        <w:jc w:val="both"/>
      </w:pPr>
      <w:r>
        <w:rPr>
          <w:rFonts w:ascii="Times New Roman" w:hAnsi="Times New Roman"/>
          <w:b w:val="0"/>
          <w:sz w:val="24"/>
        </w:rPr>
        <w:t>Figures are provided as separate electronic files (Fig. 1-4 and Supplementary Fig. S1-S4).</w:t>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both"/>
      </w:pPr>
      <w:r>
        <w:rPr>
          <w:rFonts w:ascii="Times New Roman" w:hAnsi="Times New Roman"/>
          <w:b/>
          <w:sz w:val="24"/>
        </w:rPr>
        <w:t>Supplementary Figure S1.</w:t>
      </w:r>
      <w:r>
        <w:rPr>
          <w:rFonts w:ascii="Times New Roman" w:hAnsi="Times New Roman"/>
          <w:b w:val="0"/>
          <w:sz w:val="24"/>
        </w:rPr>
        <w:t xml:space="preserve"> </w:t>
      </w:r>
      <w:r>
        <w:rPr>
          <w:rFonts w:ascii="Times New Roman" w:hAnsi="Times New Roman"/>
          <w:b w:val="0"/>
          <w:i/>
          <w:sz w:val="24"/>
        </w:rPr>
        <w:t>Left:</w:t>
      </w:r>
      <w:r>
        <w:rPr>
          <w:rFonts w:ascii="Times New Roman" w:hAnsi="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b w:val="0"/>
          <w:i/>
          <w:sz w:val="24"/>
        </w:rPr>
        <w:t>Right:</w:t>
      </w:r>
      <w:r>
        <w:rPr>
          <w:rFonts w:ascii="Times New Roman" w:hAnsi="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w:t>
      </w:r>
      <w:r>
        <w:rPr>
          <w:rFonts w:ascii="Times New Roman" w:hAnsi="Times New Roman"/>
          <w:b w:val="0"/>
          <w:i/>
          <w:sz w:val="24"/>
        </w:rPr>
        <w:t>Conservative</w:t>
      </w:r>
      <w:r>
        <w:rPr>
          <w:rFonts w:ascii="Times New Roman" w:hAnsi="Times New Roman"/>
          <w:b w:val="0"/>
          <w:sz w:val="24"/>
        </w:rPr>
        <w:t xml:space="preserve"> counts only merged-IV-pool and MVMR-joint designs (9.3% [95% CI 6.6–12.9%]). </w:t>
      </w:r>
      <w:r>
        <w:rPr>
          <w:rFonts w:ascii="Times New Roman" w:hAnsi="Times New Roman"/>
          <w:b w:val="0"/>
          <w:i/>
          <w:sz w:val="24"/>
        </w:rPr>
        <w:t>Typical</w:t>
      </w:r>
      <w:r>
        <w:rPr>
          <w:rFonts w:ascii="Times New Roman" w:hAnsi="Times New Roman"/>
          <w:b w:val="0"/>
          <w:sz w:val="24"/>
        </w:rPr>
        <w:t xml:space="preserve">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xml:space="preserve">. </w:t>
      </w:r>
      <w:r>
        <w:rPr>
          <w:rFonts w:ascii="Times New Roman" w:hAnsi="Times New Roman"/>
          <w:b w:val="0"/>
          <w:i/>
          <w:sz w:val="24"/>
        </w:rPr>
        <w:t>Structural</w:t>
      </w:r>
      <w:r>
        <w:rPr>
          <w:rFonts w:ascii="Times New Roman" w:hAnsi="Times New Roman"/>
          <w:b w:val="0"/>
          <w:sz w:val="24"/>
        </w:rPr>
        <w:t xml:space="preserve"> counts all separate-IV designs as capable of overlap (41.1% [95% CI 36.0–46.5%]).</w:t>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w:t>
      </w:r>
      <w:r>
        <w:rPr>
          <w:rFonts w:ascii="Times New Roman" w:hAnsi="Times New Roman"/>
          <w:b w:val="0"/>
          <w:i/>
          <w:sz w:val="24"/>
        </w:rPr>
        <w:t>Top:</w:t>
      </w:r>
      <w:r>
        <w:rPr>
          <w:rFonts w:ascii="Times New Roman" w:hAnsi="Times New Roman"/>
          <w:b w:val="0"/>
          <w:sz w:val="24"/>
        </w:rPr>
        <w:t xml:space="preserve"> shared-IV design (n_s = 78), where the corrected SE is 15.5% smaller. </w:t>
      </w:r>
      <w:r>
        <w:rPr>
          <w:rFonts w:ascii="Times New Roman" w:hAnsi="Times New Roman"/>
          <w:b w:val="0"/>
          <w:i/>
          <w:sz w:val="24"/>
        </w:rPr>
        <w:t>Bottom:</w:t>
      </w:r>
      <w:r>
        <w:rPr>
          <w:rFonts w:ascii="Times New Roman" w:hAnsi="Times New Roman"/>
          <w:b w:val="0"/>
          <w:sz w:val="24"/>
        </w:rPr>
        <w:t xml:space="preserve"> natural overlap (n_s = 13), where the corrected SE is 2.8% smaller.</w:t>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w:t>
      </w:r>
      <w:r>
        <w:rPr>
          <w:rFonts w:ascii="Times New Roman" w:hAnsi="Times New Roman"/>
          <w:b w:val="0"/>
          <w:i/>
          <w:sz w:val="24"/>
        </w:rPr>
        <w:t>Left:</w:t>
      </w:r>
      <w:r>
        <w:rPr>
          <w:rFonts w:ascii="Times New Roman" w:hAnsi="Times New Roman"/>
          <w:b w:val="0"/>
          <w:sz w:val="24"/>
        </w:rPr>
        <w:t xml:space="preserve"> empirical Cov(α̂, β̂) (points) versus the closed-form analytical prediction (lines) across π_shared, for F = 10 and F = 30; the two coincide. </w:t>
      </w:r>
      <w:r>
        <w:rPr>
          <w:rFonts w:ascii="Times New Roman" w:hAnsi="Times New Roman"/>
          <w:b w:val="0"/>
          <w:i/>
          <w:sz w:val="24"/>
        </w:rPr>
        <w:t>Right:</w:t>
      </w:r>
      <w:r>
        <w:rPr>
          <w:rFonts w:ascii="Times New Roman" w:hAnsi="Times New Roman"/>
          <w:b w:val="0"/>
          <w:sz w:val="24"/>
        </w:rPr>
        <w:t xml:space="preserve"> relative error of the analytical covariance versus the conservative reliability bound B(F, ρ_MY, π_shared) for all 12 cells; all points fall below the bound, with the worst cell at 14.1%.</w:t>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b w:val="0"/>
          <w:i/>
          <w:sz w:val="24"/>
        </w:rPr>
        <w:t>Panel A</w:t>
      </w:r>
      <w:r>
        <w:rPr>
          <w:rFonts w:ascii="Times New Roman" w:hAnsi="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b w:val="0"/>
          <w:i/>
          <w:sz w:val="24"/>
        </w:rPr>
        <w:t>Panel B</w:t>
      </w:r>
      <w:r>
        <w:rPr>
          <w:rFonts w:ascii="Times New Roman" w:hAnsi="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2).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bottom w:val="single" w:sz="6" w:space="0" w:color="auto"/>
            </w:tcBorders>
          </w:tcPr>
          <w:p>
            <w:r/>
            <w:r>
              <w:rPr>
                <w:rFonts w:ascii="Times New Roman" w:hAnsi="Times New Roman"/>
                <w:b/>
                <w:sz w:val="19"/>
              </w:rPr>
              <w:t>F</w:t>
            </w:r>
          </w:p>
        </w:tc>
        <w:tc>
          <w:tcPr>
            <w:tcW w:type="dxa" w:w="1728"/>
            <w:tcBorders>
              <w:bottom w:val="single" w:sz="6" w:space="0" w:color="auto"/>
            </w:tcBorders>
          </w:tcPr>
          <w:p>
            <w:r/>
            <w:r>
              <w:rPr>
                <w:rFonts w:ascii="Times New Roman" w:hAnsi="Times New Roman"/>
                <w:b/>
                <w:sz w:val="19"/>
              </w:rPr>
              <w:t>π_shared</w:t>
            </w:r>
          </w:p>
        </w:tc>
        <w:tc>
          <w:tcPr>
            <w:tcW w:type="dxa" w:w="1728"/>
            <w:tcBorders>
              <w:bottom w:val="single" w:sz="6" w:space="0" w:color="auto"/>
            </w:tcBorders>
          </w:tcPr>
          <w:p>
            <w:r/>
            <w:r>
              <w:rPr>
                <w:rFonts w:ascii="Times New Roman" w:hAnsi="Times New Roman"/>
                <w:b/>
                <w:sz w:val="19"/>
              </w:rPr>
              <w:t>emp_cov</w:t>
            </w:r>
          </w:p>
        </w:tc>
        <w:tc>
          <w:tcPr>
            <w:tcW w:type="dxa" w:w="1728"/>
            <w:tcBorders>
              <w:bottom w:val="single" w:sz="6" w:space="0" w:color="auto"/>
            </w:tcBorders>
          </w:tcPr>
          <w:p>
            <w:r/>
            <w:r>
              <w:rPr>
                <w:rFonts w:ascii="Times New Roman" w:hAnsi="Times New Roman"/>
                <w:b/>
                <w:sz w:val="19"/>
              </w:rPr>
              <w:t>theory_total</w:t>
            </w:r>
          </w:p>
        </w:tc>
        <w:tc>
          <w:tcPr>
            <w:tcW w:type="dxa" w:w="1728"/>
            <w:tcBorders>
              <w:bottom w:val="single" w:sz="6" w:space="0" w:color="auto"/>
            </w:tcBorders>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2880"/>
        <w:gridCol w:w="2880"/>
        <w:gridCol w:w="2880"/>
      </w:tblGrid>
      <w:tr>
        <w:tc>
          <w:tcPr>
            <w:tcW w:type="dxa" w:w="2880"/>
            <w:tcBorders>
              <w:bottom w:val="single" w:sz="6" w:space="0" w:color="auto"/>
            </w:tcBorders>
          </w:tcPr>
          <w:p>
            <w:r/>
            <w:r>
              <w:rPr>
                <w:rFonts w:ascii="Times New Roman" w:hAnsi="Times New Roman"/>
                <w:b/>
                <w:sz w:val="19"/>
              </w:rPr>
              <w:t>Ref</w:t>
            </w:r>
          </w:p>
        </w:tc>
        <w:tc>
          <w:tcPr>
            <w:tcW w:type="dxa" w:w="2880"/>
            <w:tcBorders>
              <w:bottom w:val="single" w:sz="6" w:space="0" w:color="auto"/>
            </w:tcBorders>
          </w:tcPr>
          <w:p>
            <w:r/>
            <w:r>
              <w:rPr>
                <w:rFonts w:ascii="Times New Roman" w:hAnsi="Times New Roman"/>
                <w:b/>
                <w:sz w:val="19"/>
              </w:rPr>
              <w:t>Domain</w:t>
            </w:r>
          </w:p>
        </w:tc>
        <w:tc>
          <w:tcPr>
            <w:tcW w:type="dxa" w:w="2880"/>
            <w:tcBorders>
              <w:bottom w:val="single" w:sz="6" w:space="0" w:color="auto"/>
            </w:tcBorders>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