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sz w:val="22"/>
        </w:rPr>
        <w:t>Authors:</w:t>
      </w:r>
      <w:r>
        <w:rPr>
          <w:rFonts w:ascii="Times New Roman" w:hAnsi="Times New Roman"/>
          <w:b w:val="0"/>
          <w:sz w:val="22"/>
        </w:rPr>
        <w:t xml:space="preserve"> Yan Chen¹ (ORCID: 0009-0001-6328-7403), Jianfeng Wang² (ORCID: 0000-0002-6316-6361)</w:t>
      </w:r>
    </w:p>
    <w:p>
      <w:pPr>
        <w:jc w:val="center"/>
      </w:pPr>
      <w:r>
        <w:rPr>
          <w:rFonts w:ascii="Times New Roman" w:hAnsi="Times New Roman"/>
          <w:b/>
          <w:sz w:val="22"/>
        </w:rPr>
        <w:t>Affiliations:</w:t>
      </w:r>
      <w:r>
        <w:rPr>
          <w:rFonts w:ascii="Times New Roman" w:hAnsi="Times New Roman"/>
          <w:b w:val="0"/>
          <w:sz w:val="22"/>
        </w:rPr>
        <w:t xml:space="preserve">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sz w:val="22"/>
        </w:rPr>
        <w:t>Correspondence:</w:t>
      </w:r>
      <w:r>
        <w:rPr>
          <w:rFonts w:ascii="Times New Roman" w:hAnsi="Times New Roman"/>
          <w:b w:val="0"/>
          <w:sz w:val="22"/>
        </w:rPr>
        <w:t xml:space="preserv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sz w:val="24"/>
        </w:rPr>
        <w:t>Background</w:t>
      </w:r>
      <w:r>
        <w:rPr>
          <w:rFonts w:ascii="Times New Roman" w:hAnsi="Times New Roman"/>
          <w:b w:val="0"/>
          <w:sz w:val="24"/>
        </w:rPr>
        <w:t xml:space="preserve"> Two-step (product-method) Mendelian randomization (MR) mediation assumes that the exposure-step and mediator-step instrument sets are independent. This assumption has never been examined at scale, and no closed-form correction exists for when it fails.</w:t>
      </w:r>
    </w:p>
    <w:p>
      <w:pPr>
        <w:ind w:firstLine="480"/>
        <w:jc w:val="both"/>
      </w:pPr>
      <w:r>
        <w:rPr>
          <w:rFonts w:ascii="Times New Roman" w:hAnsi="Times New Roman"/>
          <w:b/>
          <w:sz w:val="24"/>
        </w:rPr>
        <w:t>Methods</w:t>
      </w:r>
      <w:r>
        <w:rPr>
          <w:rFonts w:ascii="Times New Roman" w:hAnsi="Times New Roman"/>
          <w:b w:val="0"/>
          <w:sz w:val="24"/>
        </w:rPr>
        <w:t xml:space="preserve"> We screened 333 published two-step MR mediation studies (from 695 records; PRISMA 2020) for instrument-selection design and overlap handling. We derived a closed-form Cov(α̂, β̂) under two overlap channels - shared instruments and mediator-outcome sample overlap - validated it on a 180-cell simulation grid and a 200-cell flip-probability scan, and batch re-estimated 108 trios directly from OpenGWAS summary statistics.</w:t>
      </w:r>
    </w:p>
    <w:p>
      <w:pPr>
        <w:ind w:firstLine="480"/>
        <w:jc w:val="both"/>
      </w:pPr>
      <w:r>
        <w:rPr>
          <w:rFonts w:ascii="Times New Roman" w:hAnsi="Times New Roman"/>
          <w:b/>
          <w:sz w:val="24"/>
        </w:rPr>
        <w:t>Results</w:t>
      </w:r>
      <w:r>
        <w:rPr>
          <w:rFonts w:ascii="Times New Roman" w:hAnsi="Times New Roman"/>
          <w:b w:val="0"/>
          <w:sz w:val="24"/>
        </w:rPr>
        <w:t xml:space="preserve"> 39.3% (95% CI 34.2–44.7%) of the 333 studies use a design capable of non-zero Cov(α̂, β̂) without disclosing overlap handling, and essentially none correct for it at the covariance level. Genuine overlap occurred in 6.5% (7/108) of re-estimated trios, where the correction narrowed every non-degenerate confidence interval (0.2–16.0%) with zero observed flips (95% CI for the underlying flip rate 0–43.4%). The covariance sign is prior-unknown: negative under concordant mediation, which makes the uncorrected interval conservative, but positive under discordant mediation or sample overlap, where flip probability reaches 10.4%.</w:t>
      </w:r>
    </w:p>
    <w:p>
      <w:pPr>
        <w:ind w:firstLine="480"/>
        <w:jc w:val="both"/>
      </w:pPr>
      <w:r>
        <w:rPr>
          <w:rFonts w:ascii="Times New Roman" w:hAnsi="Times New Roman"/>
          <w:b/>
          <w:sz w:val="24"/>
        </w:rPr>
        <w:t>Conclusions</w:t>
      </w:r>
      <w:r>
        <w:rPr>
          <w:rFonts w:ascii="Times New Roman" w:hAnsi="Times New Roman"/>
          <w:b w:val="0"/>
          <w:sz w:val="24"/>
        </w:rPr>
        <w:t xml:space="preserve"> Instrument overlap is common and systematically uncorrected, and its direction cannot be assumed favourable. Because n_s, π_shared and ρ_MY are rarely reported, the field currently cannot tell which regime any published result occupies. We recommend that two-step MR mediation report these three quantities; our released tool applies the correction from published summary statistics alone.</w:t>
      </w:r>
    </w:p>
    <w:p>
      <w:pPr>
        <w:jc w:val="both"/>
      </w:pPr>
      <w:r>
        <w:rPr>
          <w:rFonts w:ascii="Times New Roman" w:hAnsi="Times New Roman"/>
          <w:b/>
          <w:sz w:val="22"/>
        </w:rPr>
        <w:t>Keywords:</w:t>
      </w:r>
      <w:r>
        <w:rPr>
          <w:rFonts w:ascii="Times New Roman" w:hAnsi="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xml:space="preserve">. The overlap result above applies to an </w:t>
      </w:r>
      <w:r>
        <w:rPr>
          <w:rFonts w:ascii="Times New Roman" w:hAnsi="Times New Roman"/>
          <w:b w:val="0"/>
          <w:i/>
          <w:sz w:val="24"/>
        </w:rPr>
        <w:t>isolated</w:t>
      </w:r>
      <w:r>
        <w:rPr>
          <w:rFonts w:ascii="Times New Roman" w:hAnsi="Times New Roman"/>
          <w:b w:val="0"/>
          <w:sz w:val="24"/>
        </w:rPr>
        <w:t xml:space="preserve"> estimator, not to the </w:t>
      </w:r>
      <w:r>
        <w:rPr>
          <w:rFonts w:ascii="Times New Roman" w:hAnsi="Times New Roman"/>
          <w:b w:val="0"/>
          <w:i/>
          <w:sz w:val="24"/>
        </w:rPr>
        <w:t>product</w:t>
      </w:r>
      <w:r>
        <w:rPr>
          <w:rFonts w:ascii="Times New Roman" w:hAnsi="Times New Roman"/>
          <w:b w:val="0"/>
          <w:sz w:val="24"/>
        </w:rPr>
        <w:t xml:space="preserve">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 xml:space="preserve">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w:t>
      </w:r>
      <w:r>
        <w:rPr>
          <w:rFonts w:ascii="Times New Roman" w:hAnsi="Times New Roman"/>
          <w:b w:val="0"/>
          <w:i/>
          <w:sz w:val="24"/>
        </w:rPr>
        <w:t>direction</w:t>
      </w:r>
      <w:r>
        <w:rPr>
          <w:rFonts w:ascii="Times New Roman" w:hAnsi="Times New Roman"/>
          <w:b w:val="0"/>
          <w:sz w:val="24"/>
        </w:rPr>
        <w:t xml:space="preserve">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w:r>
        <w:drawing>
          <wp:inline xmlns:a="http://schemas.openxmlformats.org/drawingml/2006/main" xmlns:pic="http://schemas.openxmlformats.org/drawingml/2006/picture">
            <wp:extent cx="5120640" cy="1012061"/>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5120640" cy="1012061"/>
                    </a:xfrm>
                    <a:prstGeom prst="rect"/>
                  </pic:spPr>
                </pic:pic>
              </a:graphicData>
            </a:graphic>
          </wp:inline>
        </w:drawing>
      </w:r>
    </w:p>
    <w:p>
      <w:pPr>
        <w:ind w:firstLine="480"/>
        <w:jc w:val="both"/>
      </w:pPr>
      <w:r>
        <w:rPr>
          <w:rFonts w:ascii="Times New Roman" w:hAnsi="Times New Roman"/>
          <w:b w:val="0"/>
          <w:sz w:val="24"/>
        </w:rPr>
        <w:t xml:space="preserve">which omits 2α̂β̂·Cov(α̂, β̂). This omitted term is non-zero in two structurally different situations: (i) a </w:t>
      </w:r>
      <w:r>
        <w:rPr>
          <w:rFonts w:ascii="Times New Roman" w:hAnsi="Times New Roman"/>
          <w:b/>
          <w:sz w:val="24"/>
        </w:rPr>
        <w:t>shared-instrument channel</w:t>
      </w:r>
      <w:r>
        <w:rPr>
          <w:rFonts w:ascii="Times New Roman" w:hAnsi="Times New Roman"/>
          <w:b w:val="0"/>
          <w:sz w:val="24"/>
        </w:rPr>
        <w:t xml:space="preserve">, in which the step-1 and step-2 instrument sets have a non-empty intersection, n_s = |G′_X ∩ G′_M| &gt; 0; and (ii) a </w:t>
      </w:r>
      <w:r>
        <w:rPr>
          <w:rFonts w:ascii="Times New Roman" w:hAnsi="Times New Roman"/>
          <w:b/>
          <w:sz w:val="24"/>
        </w:rPr>
        <w:t>sample-overlap channel</w:t>
      </w:r>
      <w:r>
        <w:rPr>
          <w:rFonts w:ascii="Times New Roman" w:hAnsi="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w:r>
        <w:drawing>
          <wp:inline xmlns:a="http://schemas.openxmlformats.org/drawingml/2006/main" xmlns:pic="http://schemas.openxmlformats.org/drawingml/2006/picture">
            <wp:extent cx="5120640" cy="853440"/>
            <wp:docPr id="2" name="Picture 2"/>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5120640" cy="853440"/>
                    </a:xfrm>
                    <a:prstGeom prst="rect"/>
                  </pic:spPr>
                </pic:pic>
              </a:graphicData>
            </a:graphic>
          </wp:inline>
        </w:drawing>
      </w:r>
    </w:p>
    <w:p>
      <w:pPr>
        <w:ind w:firstLine="480"/>
        <w:jc w:val="both"/>
      </w:pPr>
      <w:r>
        <w:rPr>
          <w:rFonts w:ascii="Times New Roman" w:hAnsi="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w:r>
        <w:drawing>
          <wp:inline xmlns:a="http://schemas.openxmlformats.org/drawingml/2006/main" xmlns:pic="http://schemas.openxmlformats.org/drawingml/2006/picture">
            <wp:extent cx="5120640" cy="683052"/>
            <wp:docPr id="3" name="Picture 3"/>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5120640" cy="683052"/>
                    </a:xfrm>
                    <a:prstGeom prst="rect"/>
                  </pic:spPr>
                </pic:pic>
              </a:graphicData>
            </a:graphic>
          </wp:inline>
        </w:drawing>
      </w:r>
    </w:p>
    <w:p>
      <w:pPr>
        <w:ind w:firstLine="480"/>
        <w:jc w:val="both"/>
      </w:pPr>
      <w:r>
        <w:rPr>
          <w:rFonts w:ascii="Times New Roman" w:hAnsi="Times New Roman"/>
          <w:b w:val="0"/>
          <w:sz w:val="24"/>
        </w:rPr>
        <w:t>Because the correction rests on a first-order delta approximation, we also derive a single conservative relative-error bound</w:t>
      </w:r>
    </w:p>
    <w:p>
      <w:pPr>
        <w:spacing w:before="120" w:after="120"/>
        <w:jc w:val="center"/>
      </w:pPr>
      <w:r>
        <w:drawing>
          <wp:inline xmlns:a="http://schemas.openxmlformats.org/drawingml/2006/main" xmlns:pic="http://schemas.openxmlformats.org/drawingml/2006/picture">
            <wp:extent cx="5120640" cy="823953"/>
            <wp:docPr id="4" name="Picture 4"/>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5120640" cy="823953"/>
                    </a:xfrm>
                    <a:prstGeom prst="rect"/>
                  </pic:spPr>
                </pic:pic>
              </a:graphicData>
            </a:graphic>
          </wp:inline>
        </w:drawing>
      </w:r>
    </w:p>
    <w:p>
      <w:pPr>
        <w:ind w:firstLine="480"/>
        <w:jc w:val="both"/>
      </w:pPr>
      <w:r>
        <w:rPr>
          <w:rFonts w:ascii="Times New Roman" w:hAnsi="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Supplementary Table S1).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S3).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3"/>
        </w:rPr>
        <w:t>3.1.1 When does the correction change significance? A flip-probability scan</w:t>
      </w:r>
    </w:p>
    <w:p>
      <w:pPr>
        <w:ind w:firstLine="480"/>
        <w:jc w:val="both"/>
      </w:pPr>
      <w:r>
        <w:rPr>
          <w:rFonts w:ascii="Times New Roman" w:hAnsi="Times New Roman"/>
          <w:b w:val="0"/>
          <w:sz w:val="24"/>
        </w:rPr>
        <w:t xml:space="preserve">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w:t>
      </w:r>
      <w:r>
        <w:rPr>
          <w:rFonts w:ascii="Times New Roman" w:hAnsi="Times New Roman"/>
          <w:b w:val="0"/>
          <w:i/>
          <w:sz w:val="24"/>
        </w:rPr>
        <w:t>gain</w:t>
      </w:r>
      <w:r>
        <w:rPr>
          <w:rFonts w:ascii="Times New Roman" w:hAnsi="Times New Roman"/>
          <w:b w:val="0"/>
          <w:sz w:val="24"/>
        </w:rPr>
        <w:t xml:space="preserve"> significance (turn a naively non-significant result significant) and never remove it. The grid-wide maximum flip probability in the concordant arm is 5.7% (at F = 30, ρ_MY = 0, π_shared = 1.0, λ ≈ 2.0); the F = 10 panel displayed in Supplementary Fig. S3 peaks at 5.1%, and only 3/100 design points exceed 5%. Under discordant mediation or sample overlap the covariance is positive and the corrected SE is larger, so the correction can </w:t>
      </w:r>
      <w:r>
        <w:rPr>
          <w:rFonts w:ascii="Times New Roman" w:hAnsi="Times New Roman"/>
          <w:b w:val="0"/>
          <w:i/>
          <w:sz w:val="24"/>
        </w:rPr>
        <w:t>lose</w:t>
      </w:r>
      <w:r>
        <w:rPr>
          <w:rFonts w:ascii="Times New Roman" w:hAnsi="Times New Roman"/>
          <w:b w:val="0"/>
          <w:sz w:val="24"/>
        </w:rPr>
        <w:t xml:space="preserv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clean published example of the merged-pool design exists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by co-author C. Yan (C.Y.)—independent of the original coder (J.W., excluded) and blind to the sealed answer key—on a stratified 50-study sample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ind w:firstLine="480"/>
        <w:jc w:val="both"/>
      </w:pPr>
      <w:r>
        <w:rPr>
          <w:rFonts w:ascii="Times New Roman" w:hAnsi="Times New Roman"/>
          <w:b/>
          <w:sz w:val="24"/>
        </w:rPr>
        <w:t>Which coded fields are load-bearing.</w:t>
      </w:r>
      <w:r>
        <w:rPr>
          <w:rFonts w:ascii="Times New Roman" w:hAnsi="Times New Roman"/>
          <w:b w:val="0"/>
          <w:sz w:val="24"/>
        </w:rPr>
        <w:t xml:space="preserve"> The lowest-reliability field, IV_selection_strategy (κ = 0.44), carries no reported result anywhere in this paper; it is coded and reported for transparency and reuse, but no estimate depends on it. The headline prevalence estimate (39.3%) rests on only two judgments: design_type, on which agreement was complete (100.0% observed agreement, PABAK 1.00), and the </w:t>
      </w:r>
      <w:r>
        <w:rPr>
          <w:rFonts w:ascii="Times New Roman" w:hAnsi="Times New Roman"/>
          <w:b w:val="0"/>
          <w:i/>
          <w:sz w:val="24"/>
        </w:rPr>
        <w:t>absence</w:t>
      </w:r>
      <w:r>
        <w:rPr>
          <w:rFonts w:ascii="Times New Roman" w:hAnsi="Times New Roman"/>
          <w:b w:val="0"/>
          <w:sz w:val="24"/>
        </w:rPr>
        <w:t xml:space="preserve"> of any statement about overlap handling. Two features make this attribution favourable. First, judging that a study does </w:t>
      </w:r>
      <w:r>
        <w:rPr>
          <w:rFonts w:ascii="Times New Roman" w:hAnsi="Times New Roman"/>
          <w:b w:val="0"/>
          <w:i/>
          <w:sz w:val="24"/>
        </w:rPr>
        <w:t>not</w:t>
      </w:r>
      <w:r>
        <w:rPr>
          <w:rFonts w:ascii="Times New Roman" w:hAnsi="Times New Roman"/>
          <w:b w:val="0"/>
          <w:sz w:val="24"/>
        </w:rPr>
        <w:t xml:space="preserve"> disclose something is an absence judgment, which is mechanically more reproducible than assigning a positive category, so the κ = 0.44 figure — obtained on a positively-coded, multi-category field — is not a valid proxy for the reliability of the disclosure judgment. Second, and more decisively, the direction of any residual error is one-sided: a disagreement can only reclassify a study as "did disclose", which removes it from the numerator and </w:t>
      </w:r>
      <w:r>
        <w:rPr>
          <w:rFonts w:ascii="Times New Roman" w:hAnsi="Times New Roman"/>
          <w:b w:val="0"/>
          <w:i/>
          <w:sz w:val="24"/>
        </w:rPr>
        <w:t>lowers</w:t>
      </w:r>
      <w:r>
        <w:rPr>
          <w:rFonts w:ascii="Times New Roman" w:hAnsi="Times New Roman"/>
          <w:b w:val="0"/>
          <w:sz w:val="24"/>
        </w:rPr>
        <w:t xml:space="preserve"> the estimate. The 39.3% headline is therefore conservative with respect to coding error, and the paper's central claim — that overlap is rarely disclosed — cannot be an artifact of the modest agreement observed on the non-load-bearing field.</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1,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1.</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w:t>
      </w:r>
      <w:r>
        <w:rPr>
          <w:rFonts w:ascii="Times New Roman" w:hAnsi="Times New Roman"/>
          <w:b w:val="0"/>
          <w:i/>
          <w:sz w:val="24"/>
        </w:rPr>
        <w:t>same</w:t>
      </w:r>
      <w:r>
        <w:rPr>
          <w:rFonts w:ascii="Times New Roman" w:hAnsi="Times New Roman"/>
          <w:b w:val="0"/>
          <w:sz w:val="24"/>
        </w:rPr>
        <w:t xml:space="preserv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S4 shows the SE-change forest across the overlapping trios.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2.</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i/>
          <w:sz w:val="24"/>
        </w:rPr>
        <w:t>Note (full):</w:t>
      </w:r>
      <w:r>
        <w:rPr>
          <w:rFonts w:ascii="Times New Roman" w:hAnsi="Times New Roman"/>
          <w:b w:val="0"/>
          <w:sz w:val="24"/>
        </w:rPr>
        <w:t xml:space="preserve">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3.4.1 Horizontal pleiotropy sensitivity</w:t>
      </w:r>
    </w:p>
    <w:p>
      <w:pPr>
        <w:ind w:firstLine="480"/>
        <w:jc w:val="both"/>
      </w:pPr>
      <w:r>
        <w:rPr>
          <w:rFonts w:ascii="Times New Roman" w:hAnsi="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9"/>
              </w:rPr>
              <w:t>Study</w:t>
            </w:r>
          </w:p>
        </w:tc>
        <w:tc>
          <w:tcPr>
            <w:tcW w:type="dxa" w:w="1234"/>
          </w:tcPr>
          <w:p>
            <w:r/>
            <w:r>
              <w:rPr>
                <w:rFonts w:ascii="Times New Roman" w:hAnsi="Times New Roman"/>
                <w:b/>
                <w:sz w:val="19"/>
              </w:rPr>
              <w:t>Step</w:t>
            </w:r>
          </w:p>
        </w:tc>
        <w:tc>
          <w:tcPr>
            <w:tcW w:type="dxa" w:w="1234"/>
          </w:tcPr>
          <w:p>
            <w:r/>
            <w:r>
              <w:rPr>
                <w:rFonts w:ascii="Times New Roman" w:hAnsi="Times New Roman"/>
                <w:b/>
                <w:sz w:val="19"/>
              </w:rPr>
              <w:t>n_IV</w:t>
            </w:r>
          </w:p>
        </w:tc>
        <w:tc>
          <w:tcPr>
            <w:tcW w:type="dxa" w:w="1234"/>
          </w:tcPr>
          <w:p>
            <w:r/>
            <w:r>
              <w:rPr>
                <w:rFonts w:ascii="Times New Roman" w:hAnsi="Times New Roman"/>
                <w:b/>
                <w:sz w:val="19"/>
              </w:rPr>
              <w:t>Egger β₀</w:t>
            </w:r>
          </w:p>
        </w:tc>
        <w:tc>
          <w:tcPr>
            <w:tcW w:type="dxa" w:w="1234"/>
          </w:tcPr>
          <w:p>
            <w:r/>
            <w:r>
              <w:rPr>
                <w:rFonts w:ascii="Times New Roman" w:hAnsi="Times New Roman"/>
                <w:b/>
                <w:sz w:val="19"/>
              </w:rPr>
              <w:t>p</w:t>
            </w:r>
          </w:p>
        </w:tc>
        <w:tc>
          <w:tcPr>
            <w:tcW w:type="dxa" w:w="1234"/>
          </w:tcPr>
          <w:p>
            <w:r/>
            <w:r>
              <w:rPr>
                <w:rFonts w:ascii="Times New Roman" w:hAnsi="Times New Roman"/>
                <w:b/>
                <w:sz w:val="19"/>
              </w:rPr>
              <w:t>WM slope</w:t>
            </w:r>
          </w:p>
        </w:tc>
        <w:tc>
          <w:tcPr>
            <w:tcW w:type="dxa" w:w="1234"/>
          </w:tcPr>
          <w:p>
            <w:r/>
            <w:r>
              <w:rPr>
                <w:rFonts w:ascii="Times New Roman" w:hAnsi="Times New Roman"/>
                <w:b/>
                <w:sz w:val="19"/>
              </w:rPr>
              <w:t>Sign agrees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X→M</w:t>
            </w:r>
          </w:p>
        </w:tc>
        <w:tc>
          <w:tcPr>
            <w:tcW w:type="dxa" w:w="1234"/>
          </w:tcPr>
          <w:p>
            <w:r/>
            <w:r>
              <w:rPr>
                <w:rFonts w:ascii="Times New Roman" w:hAnsi="Times New Roman"/>
                <w:sz w:val="19"/>
              </w:rPr>
              <w:t>17</w:t>
            </w:r>
          </w:p>
        </w:tc>
        <w:tc>
          <w:tcPr>
            <w:tcW w:type="dxa" w:w="1234"/>
          </w:tcPr>
          <w:p>
            <w:r/>
            <w:r>
              <w:rPr>
                <w:rFonts w:ascii="Times New Roman" w:hAnsi="Times New Roman"/>
                <w:sz w:val="19"/>
              </w:rPr>
              <w:t>−0.0004</w:t>
            </w:r>
          </w:p>
        </w:tc>
        <w:tc>
          <w:tcPr>
            <w:tcW w:type="dxa" w:w="1234"/>
          </w:tcPr>
          <w:p>
            <w:r/>
            <w:r>
              <w:rPr>
                <w:rFonts w:ascii="Times New Roman" w:hAnsi="Times New Roman"/>
                <w:sz w:val="19"/>
              </w:rPr>
              <w:t>0.73</w:t>
            </w:r>
          </w:p>
        </w:tc>
        <w:tc>
          <w:tcPr>
            <w:tcW w:type="dxa" w:w="1234"/>
          </w:tcPr>
          <w:p>
            <w:r/>
            <w:r>
              <w:rPr>
                <w:rFonts w:ascii="Times New Roman" w:hAnsi="Times New Roman"/>
                <w:sz w:val="19"/>
              </w:rPr>
              <w:t>−0.0021</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M→Y</w:t>
            </w:r>
          </w:p>
        </w:tc>
        <w:tc>
          <w:tcPr>
            <w:tcW w:type="dxa" w:w="1234"/>
          </w:tcPr>
          <w:p>
            <w:r/>
            <w:r>
              <w:rPr>
                <w:rFonts w:ascii="Times New Roman" w:hAnsi="Times New Roman"/>
                <w:sz w:val="19"/>
              </w:rPr>
              <w:t>203</w:t>
            </w:r>
          </w:p>
        </w:tc>
        <w:tc>
          <w:tcPr>
            <w:tcW w:type="dxa" w:w="1234"/>
          </w:tcPr>
          <w:p>
            <w:r/>
            <w:r>
              <w:rPr>
                <w:rFonts w:ascii="Times New Roman" w:hAnsi="Times New Roman"/>
                <w:sz w:val="19"/>
              </w:rPr>
              <w:t>0.0001</w:t>
            </w:r>
          </w:p>
        </w:tc>
        <w:tc>
          <w:tcPr>
            <w:tcW w:type="dxa" w:w="1234"/>
          </w:tcPr>
          <w:p>
            <w:r/>
            <w:r>
              <w:rPr>
                <w:rFonts w:ascii="Times New Roman" w:hAnsi="Times New Roman"/>
                <w:sz w:val="19"/>
              </w:rPr>
              <w:t>1.0e-3</w:t>
            </w:r>
          </w:p>
        </w:tc>
        <w:tc>
          <w:tcPr>
            <w:tcW w:type="dxa" w:w="1234"/>
          </w:tcPr>
          <w:p>
            <w:r/>
            <w:r>
              <w:rPr>
                <w:rFonts w:ascii="Times New Roman" w:hAnsi="Times New Roman"/>
                <w:sz w:val="19"/>
              </w:rPr>
              <w:t>0.2856</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X→M</w:t>
            </w:r>
          </w:p>
        </w:tc>
        <w:tc>
          <w:tcPr>
            <w:tcW w:type="dxa" w:w="1234"/>
          </w:tcPr>
          <w:p>
            <w:r/>
            <w:r>
              <w:rPr>
                <w:rFonts w:ascii="Times New Roman" w:hAnsi="Times New Roman"/>
                <w:sz w:val="19"/>
              </w:rPr>
              <w:t>27</w:t>
            </w:r>
          </w:p>
        </w:tc>
        <w:tc>
          <w:tcPr>
            <w:tcW w:type="dxa" w:w="1234"/>
          </w:tcPr>
          <w:p>
            <w:r/>
            <w:r>
              <w:rPr>
                <w:rFonts w:ascii="Times New Roman" w:hAnsi="Times New Roman"/>
                <w:sz w:val="19"/>
              </w:rPr>
              <w:t>−0.0011</w:t>
            </w:r>
          </w:p>
        </w:tc>
        <w:tc>
          <w:tcPr>
            <w:tcW w:type="dxa" w:w="1234"/>
          </w:tcPr>
          <w:p>
            <w:r/>
            <w:r>
              <w:rPr>
                <w:rFonts w:ascii="Times New Roman" w:hAnsi="Times New Roman"/>
                <w:sz w:val="19"/>
              </w:rPr>
              <w:t>0.58</w:t>
            </w:r>
          </w:p>
        </w:tc>
        <w:tc>
          <w:tcPr>
            <w:tcW w:type="dxa" w:w="1234"/>
          </w:tcPr>
          <w:p>
            <w:r/>
            <w:r>
              <w:rPr>
                <w:rFonts w:ascii="Times New Roman" w:hAnsi="Times New Roman"/>
                <w:sz w:val="19"/>
              </w:rPr>
              <w:t>0.0524</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M→Y</w:t>
            </w:r>
          </w:p>
        </w:tc>
        <w:tc>
          <w:tcPr>
            <w:tcW w:type="dxa" w:w="1234"/>
          </w:tcPr>
          <w:p>
            <w:r/>
            <w:r>
              <w:rPr>
                <w:rFonts w:ascii="Times New Roman" w:hAnsi="Times New Roman"/>
                <w:sz w:val="19"/>
              </w:rPr>
              <w:t>220</w:t>
            </w:r>
          </w:p>
        </w:tc>
        <w:tc>
          <w:tcPr>
            <w:tcW w:type="dxa" w:w="1234"/>
          </w:tcPr>
          <w:p>
            <w:r/>
            <w:r>
              <w:rPr>
                <w:rFonts w:ascii="Times New Roman" w:hAnsi="Times New Roman"/>
                <w:sz w:val="19"/>
              </w:rPr>
              <w:t>0.0000</w:t>
            </w:r>
          </w:p>
        </w:tc>
        <w:tc>
          <w:tcPr>
            <w:tcW w:type="dxa" w:w="1234"/>
          </w:tcPr>
          <w:p>
            <w:r/>
            <w:r>
              <w:rPr>
                <w:rFonts w:ascii="Times New Roman" w:hAnsi="Times New Roman"/>
                <w:sz w:val="19"/>
              </w:rPr>
              <w:t>0.58</w:t>
            </w:r>
          </w:p>
        </w:tc>
        <w:tc>
          <w:tcPr>
            <w:tcW w:type="dxa" w:w="1234"/>
          </w:tcPr>
          <w:p>
            <w:r/>
            <w:r>
              <w:rPr>
                <w:rFonts w:ascii="Times New Roman" w:hAnsi="Times New Roman"/>
                <w:sz w:val="19"/>
              </w:rPr>
              <w:t>−0.0143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X→M</w:t>
            </w:r>
          </w:p>
        </w:tc>
        <w:tc>
          <w:tcPr>
            <w:tcW w:type="dxa" w:w="1234"/>
          </w:tcPr>
          <w:p>
            <w:r/>
            <w:r>
              <w:rPr>
                <w:rFonts w:ascii="Times New Roman" w:hAnsi="Times New Roman"/>
                <w:sz w:val="19"/>
              </w:rPr>
              <w:t>6</w:t>
            </w:r>
          </w:p>
        </w:tc>
        <w:tc>
          <w:tcPr>
            <w:tcW w:type="dxa" w:w="1234"/>
          </w:tcPr>
          <w:p>
            <w:r/>
            <w:r>
              <w:rPr>
                <w:rFonts w:ascii="Times New Roman" w:hAnsi="Times New Roman"/>
                <w:sz w:val="19"/>
              </w:rPr>
              <w:t>0.0039</w:t>
            </w:r>
          </w:p>
        </w:tc>
        <w:tc>
          <w:tcPr>
            <w:tcW w:type="dxa" w:w="1234"/>
          </w:tcPr>
          <w:p>
            <w:r/>
            <w:r>
              <w:rPr>
                <w:rFonts w:ascii="Times New Roman" w:hAnsi="Times New Roman"/>
                <w:sz w:val="19"/>
              </w:rPr>
              <w:t>0.93</w:t>
            </w:r>
          </w:p>
        </w:tc>
        <w:tc>
          <w:tcPr>
            <w:tcW w:type="dxa" w:w="1234"/>
          </w:tcPr>
          <w:p>
            <w:r/>
            <w:r>
              <w:rPr>
                <w:rFonts w:ascii="Times New Roman" w:hAnsi="Times New Roman"/>
                <w:sz w:val="19"/>
              </w:rPr>
              <w:t>60.8063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M→Y</w:t>
            </w:r>
          </w:p>
        </w:tc>
        <w:tc>
          <w:tcPr>
            <w:tcW w:type="dxa" w:w="1234"/>
          </w:tcPr>
          <w:p>
            <w:r/>
            <w:r>
              <w:rPr>
                <w:rFonts w:ascii="Times New Roman" w:hAnsi="Times New Roman"/>
                <w:sz w:val="19"/>
              </w:rPr>
              <w:t>10</w:t>
            </w:r>
          </w:p>
        </w:tc>
        <w:tc>
          <w:tcPr>
            <w:tcW w:type="dxa" w:w="1234"/>
          </w:tcPr>
          <w:p>
            <w:r/>
            <w:r>
              <w:rPr>
                <w:rFonts w:ascii="Times New Roman" w:hAnsi="Times New Roman"/>
                <w:sz w:val="19"/>
              </w:rPr>
              <w:t>−0.0170</w:t>
            </w:r>
          </w:p>
        </w:tc>
        <w:tc>
          <w:tcPr>
            <w:tcW w:type="dxa" w:w="1234"/>
          </w:tcPr>
          <w:p>
            <w:r/>
            <w:r>
              <w:rPr>
                <w:rFonts w:ascii="Times New Roman" w:hAnsi="Times New Roman"/>
                <w:sz w:val="19"/>
              </w:rPr>
              <w:t>2.7e-4</w:t>
            </w:r>
          </w:p>
        </w:tc>
        <w:tc>
          <w:tcPr>
            <w:tcW w:type="dxa" w:w="1234"/>
          </w:tcPr>
          <w:p>
            <w:r/>
            <w:r>
              <w:rPr>
                <w:rFonts w:ascii="Times New Roman" w:hAnsi="Times New Roman"/>
                <w:sz w:val="19"/>
              </w:rPr>
              <w:t>0.3345</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X→M</w:t>
            </w:r>
          </w:p>
        </w:tc>
        <w:tc>
          <w:tcPr>
            <w:tcW w:type="dxa" w:w="1234"/>
          </w:tcPr>
          <w:p>
            <w:r/>
            <w:r>
              <w:rPr>
                <w:rFonts w:ascii="Times New Roman" w:hAnsi="Times New Roman"/>
                <w:sz w:val="19"/>
              </w:rPr>
              <w:t>439</w:t>
            </w:r>
          </w:p>
        </w:tc>
        <w:tc>
          <w:tcPr>
            <w:tcW w:type="dxa" w:w="1234"/>
          </w:tcPr>
          <w:p>
            <w:r/>
            <w:r>
              <w:rPr>
                <w:rFonts w:ascii="Times New Roman" w:hAnsi="Times New Roman"/>
                <w:sz w:val="19"/>
              </w:rPr>
              <w:t>0.0000</w:t>
            </w:r>
          </w:p>
        </w:tc>
        <w:tc>
          <w:tcPr>
            <w:tcW w:type="dxa" w:w="1234"/>
          </w:tcPr>
          <w:p>
            <w:r/>
            <w:r>
              <w:rPr>
                <w:rFonts w:ascii="Times New Roman" w:hAnsi="Times New Roman"/>
                <w:sz w:val="19"/>
              </w:rPr>
              <w:t>4.2e-3</w:t>
            </w:r>
          </w:p>
        </w:tc>
        <w:tc>
          <w:tcPr>
            <w:tcW w:type="dxa" w:w="1234"/>
          </w:tcPr>
          <w:p>
            <w:r/>
            <w:r>
              <w:rPr>
                <w:rFonts w:ascii="Times New Roman" w:hAnsi="Times New Roman"/>
                <w:sz w:val="19"/>
              </w:rPr>
              <w:t>−0.0258</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M→Y</w:t>
            </w:r>
          </w:p>
        </w:tc>
        <w:tc>
          <w:tcPr>
            <w:tcW w:type="dxa" w:w="1234"/>
          </w:tcPr>
          <w:p>
            <w:r/>
            <w:r>
              <w:rPr>
                <w:rFonts w:ascii="Times New Roman" w:hAnsi="Times New Roman"/>
                <w:sz w:val="19"/>
              </w:rPr>
              <w:t>13</w:t>
            </w:r>
          </w:p>
        </w:tc>
        <w:tc>
          <w:tcPr>
            <w:tcW w:type="dxa" w:w="1234"/>
          </w:tcPr>
          <w:p>
            <w:r/>
            <w:r>
              <w:rPr>
                <w:rFonts w:ascii="Times New Roman" w:hAnsi="Times New Roman"/>
                <w:sz w:val="19"/>
              </w:rPr>
              <w:t>−0.0012</w:t>
            </w:r>
          </w:p>
        </w:tc>
        <w:tc>
          <w:tcPr>
            <w:tcW w:type="dxa" w:w="1234"/>
          </w:tcPr>
          <w:p>
            <w:r/>
            <w:r>
              <w:rPr>
                <w:rFonts w:ascii="Times New Roman" w:hAnsi="Times New Roman"/>
                <w:sz w:val="19"/>
              </w:rPr>
              <w:t>0.87</w:t>
            </w:r>
          </w:p>
        </w:tc>
        <w:tc>
          <w:tcPr>
            <w:tcW w:type="dxa" w:w="1234"/>
          </w:tcPr>
          <w:p>
            <w:r/>
            <w:r>
              <w:rPr>
                <w:rFonts w:ascii="Times New Roman" w:hAnsi="Times New Roman"/>
                <w:sz w:val="19"/>
              </w:rPr>
              <w:t>2.4023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X→M</w:t>
            </w:r>
          </w:p>
        </w:tc>
        <w:tc>
          <w:tcPr>
            <w:tcW w:type="dxa" w:w="1234"/>
          </w:tcPr>
          <w:p>
            <w:r/>
            <w:r>
              <w:rPr>
                <w:rFonts w:ascii="Times New Roman" w:hAnsi="Times New Roman"/>
                <w:sz w:val="19"/>
              </w:rPr>
              <w:t>88</w:t>
            </w:r>
          </w:p>
        </w:tc>
        <w:tc>
          <w:tcPr>
            <w:tcW w:type="dxa" w:w="1234"/>
          </w:tcPr>
          <w:p>
            <w:r/>
            <w:r>
              <w:rPr>
                <w:rFonts w:ascii="Times New Roman" w:hAnsi="Times New Roman"/>
                <w:sz w:val="19"/>
              </w:rPr>
              <w:t>−0.0012</w:t>
            </w:r>
          </w:p>
        </w:tc>
        <w:tc>
          <w:tcPr>
            <w:tcW w:type="dxa" w:w="1234"/>
          </w:tcPr>
          <w:p>
            <w:r/>
            <w:r>
              <w:rPr>
                <w:rFonts w:ascii="Times New Roman" w:hAnsi="Times New Roman"/>
                <w:sz w:val="19"/>
              </w:rPr>
              <w:t>0.74</w:t>
            </w:r>
          </w:p>
        </w:tc>
        <w:tc>
          <w:tcPr>
            <w:tcW w:type="dxa" w:w="1234"/>
          </w:tcPr>
          <w:p>
            <w:r/>
            <w:r>
              <w:rPr>
                <w:rFonts w:ascii="Times New Roman" w:hAnsi="Times New Roman"/>
                <w:sz w:val="19"/>
              </w:rPr>
              <w:t>−1.9002</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M→Y</w:t>
            </w:r>
          </w:p>
        </w:tc>
        <w:tc>
          <w:tcPr>
            <w:tcW w:type="dxa" w:w="1234"/>
          </w:tcPr>
          <w:p>
            <w:r/>
            <w:r>
              <w:rPr>
                <w:rFonts w:ascii="Times New Roman" w:hAnsi="Times New Roman"/>
                <w:sz w:val="19"/>
              </w:rPr>
              <w:t>47</w:t>
            </w:r>
          </w:p>
        </w:tc>
        <w:tc>
          <w:tcPr>
            <w:tcW w:type="dxa" w:w="1234"/>
          </w:tcPr>
          <w:p>
            <w:r/>
            <w:r>
              <w:rPr>
                <w:rFonts w:ascii="Times New Roman" w:hAnsi="Times New Roman"/>
                <w:sz w:val="19"/>
              </w:rPr>
              <w:t>0.0029</w:t>
            </w:r>
          </w:p>
        </w:tc>
        <w:tc>
          <w:tcPr>
            <w:tcW w:type="dxa" w:w="1234"/>
          </w:tcPr>
          <w:p>
            <w:r/>
            <w:r>
              <w:rPr>
                <w:rFonts w:ascii="Times New Roman" w:hAnsi="Times New Roman"/>
                <w:sz w:val="19"/>
              </w:rPr>
              <w:t>0.20</w:t>
            </w:r>
          </w:p>
        </w:tc>
        <w:tc>
          <w:tcPr>
            <w:tcW w:type="dxa" w:w="1234"/>
          </w:tcPr>
          <w:p>
            <w:r/>
            <w:r>
              <w:rPr>
                <w:rFonts w:ascii="Times New Roman" w:hAnsi="Times New Roman"/>
                <w:sz w:val="19"/>
              </w:rPr>
              <w:t>−0.6870</w:t>
            </w:r>
          </w:p>
        </w:tc>
        <w:tc>
          <w:tcPr>
            <w:tcW w:type="dxa" w:w="1234"/>
          </w:tcPr>
          <w:p>
            <w:r/>
            <w:r>
              <w:rPr>
                <w:rFonts w:ascii="Times New Roman" w:hAnsi="Times New Roman"/>
                <w:sz w:val="19"/>
              </w:rPr>
              <w:t>yes</w:t>
            </w:r>
          </w:p>
        </w:tc>
      </w:tr>
    </w:tbl>
    <w:p>
      <w:pPr>
        <w:jc w:val="left"/>
      </w:pPr>
      <w:r>
        <w:rPr>
          <w:rFonts w:ascii="Times New Roman" w:hAnsi="Times New Roman"/>
          <w:b/>
          <w:i/>
          <w:sz w:val="20"/>
        </w:rPr>
        <w:t>Table 2b.</w:t>
      </w:r>
      <w:r>
        <w:rPr>
          <w:rFonts w:ascii="Times New Roman" w:hAnsi="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b w:val="0"/>
          <w:sz w:val="24"/>
        </w:rPr>
        <w:t xml:space="preserve">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w:t>
      </w:r>
      <w:r>
        <w:rPr>
          <w:rFonts w:ascii="Times New Roman" w:hAnsi="Times New Roman"/>
          <w:b w:val="0"/>
          <w:i/>
          <w:sz w:val="24"/>
        </w:rPr>
        <w:t>variance</w:t>
      </w:r>
      <w:r>
        <w:rPr>
          <w:rFonts w:ascii="Times New Roman" w:hAnsi="Times New Roman"/>
          <w:b w:val="0"/>
          <w:sz w:val="24"/>
        </w:rPr>
        <w:t xml:space="preserv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2c;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2c);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2c leaves every conclusion unchanged.</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2c.</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w:t>
      </w:r>
      <w:r>
        <w:rPr>
          <w:rFonts w:ascii="Times New Roman" w:hAnsi="Times New Roman"/>
          <w:b w:val="0"/>
          <w:i/>
          <w:sz w:val="24"/>
        </w:rPr>
        <w:t>single</w:t>
      </w:r>
      <w:r>
        <w:rPr>
          <w:rFonts w:ascii="Times New Roman" w:hAnsi="Times New Roman"/>
          <w:b w:val="0"/>
          <w:sz w:val="24"/>
        </w:rPr>
        <w:t xml:space="preserve"> two-sample MR estimand (instrument-selection / Winner's Curse, weak-instrument bias, and exposure–outcome sample overlap) by simulating statistically independent summary statistics; it does not derive the covariance of a </w:t>
      </w:r>
      <w:r>
        <w:rPr>
          <w:rFonts w:ascii="Times New Roman" w:hAnsi="Times New Roman"/>
          <w:b w:val="0"/>
          <w:i/>
          <w:sz w:val="24"/>
        </w:rPr>
        <w:t>product</w:t>
      </w:r>
      <w:r>
        <w:rPr>
          <w:rFonts w:ascii="Times New Roman" w:hAnsi="Times New Roman"/>
          <w:b w:val="0"/>
          <w:sz w:val="24"/>
        </w:rPr>
        <w:t xml:space="preserve"> estimand, so it leaves the two-step mediation term Cov(α̂, β̂) unaddressed. Table 3 contrasts the three.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9"/>
              </w:rPr>
              <w:t>Feature</w:t>
            </w:r>
          </w:p>
        </w:tc>
        <w:tc>
          <w:tcPr>
            <w:tcW w:type="dxa" w:w="2160"/>
          </w:tcPr>
          <w:p>
            <w:r/>
            <w:r>
              <w:rPr>
                <w:rFonts w:ascii="Times New Roman" w:hAnsi="Times New Roman"/>
                <w:b/>
                <w:sz w:val="19"/>
              </w:rPr>
              <w:t>This work</w:t>
            </w:r>
          </w:p>
        </w:tc>
        <w:tc>
          <w:tcPr>
            <w:tcW w:type="dxa" w:w="2160"/>
          </w:tcPr>
          <w:p>
            <w:r/>
            <w:r>
              <w:rPr>
                <w:rFonts w:ascii="Times New Roman" w:hAnsi="Times New Roman"/>
                <w:b/>
                <w:sz w:val="19"/>
              </w:rPr>
              <w:t>Forde et al. 2026 (MR-SimSS)</w:t>
            </w:r>
          </w:p>
        </w:tc>
        <w:tc>
          <w:tcPr>
            <w:tcW w:type="dxa" w:w="2160"/>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six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 Ten further domain examples (metabolic, psychiatric, neurological and oncologic) are tabulated in Supplementary Table S6.</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w:t>
      </w:r>
      <w:r>
        <w:rPr>
          <w:rFonts w:ascii="Times New Roman" w:hAnsi="Times New Roman"/>
          <w:b w:val="0"/>
          <w:i/>
          <w:sz w:val="24"/>
        </w:rPr>
        <w:t>more</w:t>
      </w:r>
      <w:r>
        <w:rPr>
          <w:rFonts w:ascii="Times New Roman" w:hAnsi="Times New Roman"/>
          <w:b w:val="0"/>
          <w:sz w:val="24"/>
        </w:rPr>
        <w:t>,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co-author C. Yan (C.Y.), who was independent of the original coder (J.W., excluded) and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This limitation attaches to the reliability estimates themselves; it does not propagate to the headline prevalence finding, which does not rest on the lower-agreement field (see §3.2, "Which coded fields are load-bearing").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The absolute percentage could therefore shift if additional records were indexed, and we do not treat 39.3% as a database-independent constant. The central qualitative finding is, however, a within-corpus absence result, and would only be overturned if the additional records disclosed overlap handling at a markedly higher rate than the 54/333 assessable studies examined here; the pre-specified three-tier sensitivity (9.3–41.1%) further shows that the qualitative conclusion is stable across a wide range of classification assumptions.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 A recent perspective on the wider MR literature reaches the same conclusion: MR studies do not yet systematically use the data and techniques available to interrogate the reliability of their own assumptions </w:t>
      </w:r>
      <w:r>
        <w:rPr>
          <w:rFonts w:ascii="Times New Roman" w:hAnsi="Times New Roman"/>
          <w:b w:val="0"/>
          <w:sz w:val="24"/>
          <w:vertAlign w:val="superscript"/>
        </w:rPr>
        <w:t>41</w:t>
      </w:r>
      <w:r>
        <w:rPr>
          <w:rFonts w:ascii="Times New Roman" w:hAnsi="Times New Roman"/>
          <w:b w:val="0"/>
          <w:sz w:val="24"/>
        </w:rPr>
        <w:t>.</w:t>
      </w:r>
    </w:p>
    <w:p>
      <w:pPr>
        <w:ind w:firstLine="480"/>
        <w:jc w:val="both"/>
      </w:pPr>
      <w:r>
        <w:rPr>
          <w:rFonts w:ascii="Times New Roman" w:hAnsi="Times New Roman"/>
          <w:b/>
          <w:sz w:val="24"/>
        </w:rPr>
        <w:t>Practical recommendations.</w:t>
      </w:r>
      <w:r>
        <w:rPr>
          <w:rFonts w:ascii="Times New Roman" w:hAnsi="Times New Roman"/>
          <w:b w:val="0"/>
          <w:sz w:val="24"/>
        </w:rPr>
        <w:t xml:space="preserve"> Three quantities decide whether the traditional variance is adequate in any given two-step MR mediation: the number of shared instruments n_s (equivalently the shared proportion π_shared) and the mediator-outcome sample overlap ρ_MY. When n_s = 0 and the mediator and outcome GWAS are independent, the traditional expression is correct and no action is required. When either quantity is non-zero, Cov(α̂, β̂) is non-zero and the corrected variance should be reported alongside the naive one. Our R and Python implementations compute the correction from the published summary statistics alone, so it can be applied by authors, reviewers or readers without re-running the original analysis. In the weak-instrument, high-overlap corner (F &lt; 15 with π_shared &gt; 0.5), where the first-order approximation degrades, we recommend the Monte Carlo fallback instead. Crucially, the sign of the covariance - and hence whether an uncorrected interval was conservative or anti-conservative - cannot be anticipated without first computing these quantities, so the correction should be routine rather than conditional on an expected direction.</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realized same-sign mediation the bias is typically conservative (narrowing; the only batch-observed flip is a degenerate self-mediating boundary case), so published conclusions are robust — but because the sign is prior-unknown and the positive-covariance/sample-overlap regime widens, correction is necessary for valid inference in every two-step MR mediation report.</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C. Yan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placeholder will be replaced with the permanent archival DOI once the tagged repository release has been deposited; the GitHub repository is public at submission.</w:t>
      </w:r>
    </w:p>
    <w:p>
      <w:pPr>
        <w:spacing w:before="200" w:after="80"/>
        <w:jc w:val="left"/>
      </w:pPr>
      <w:r>
        <w:rPr>
          <w:rFonts w:ascii="Times New Roman" w:hAnsi="Times New Roman"/>
          <w:b/>
          <w:sz w:val="26"/>
        </w:rPr>
        <w:t>Funding</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w:t>
      </w:r>
    </w:p>
    <w:p>
      <w:pPr>
        <w:spacing w:before="200" w:after="80"/>
        <w:jc w:val="left"/>
      </w:pPr>
      <w:r>
        <w:rPr>
          <w:rFonts w:ascii="Times New Roman" w:hAnsi="Times New Roman"/>
          <w:b/>
          <w:sz w:val="26"/>
        </w:rPr>
        <w:t>Acknowledgements</w:t>
      </w:r>
    </w:p>
    <w:p>
      <w:pPr>
        <w:ind w:firstLine="480"/>
        <w:jc w:val="both"/>
      </w:pPr>
      <w:r>
        <w:rPr>
          <w:rFonts w:ascii="Times New Roman" w:hAnsi="Times New Roman"/>
          <w:b w:val="0"/>
          <w:sz w:val="24"/>
        </w:rPr>
        <w:t>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 Consent to participate: not applicable. Consent for publication: not applicable.</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Artificial intelligence disclosure</w:t>
      </w:r>
    </w:p>
    <w:p>
      <w:pPr>
        <w:ind w:firstLine="480"/>
        <w:jc w:val="both"/>
      </w:pPr>
      <w:r>
        <w:rPr>
          <w:rFonts w:ascii="Times New Roman" w:hAnsi="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w:t>
      </w:r>
    </w:p>
    <w:p>
      <w:pPr>
        <w:ind w:left="420" w:hanging="420"/>
        <w:jc w:val="left"/>
      </w:pPr>
      <w:r>
        <w:rPr>
          <w:rFonts w:ascii="Times New Roman" w:hAnsi="Times New Roman"/>
          <w:b w:val="0"/>
          <w:sz w:val="20"/>
        </w:rPr>
        <w:t xml:space="preserve">40. Skrivankova VW, Richmond RC, Woolf BAR, Yarmolinsky J, Davies NM, Swanson SA, et al. Strengthening the Reporting of Observational Studies in Epidemiology Using Mendelian Randomization: The STROBE-MR Statement. JAMA. 2021;326(16):1614-1621. doi:10.1001/jama.2021.18236. </w:t>
      </w:r>
    </w:p>
    <w:p>
      <w:pPr>
        <w:ind w:left="420" w:hanging="420"/>
        <w:jc w:val="left"/>
      </w:pPr>
      <w:r>
        <w:rPr>
          <w:rFonts w:ascii="Times New Roman" w:hAnsi="Times New Roman"/>
          <w:b w:val="0"/>
          <w:sz w:val="20"/>
        </w:rPr>
        <w:t>41. Sanderson E, Levin MG, Walker V, Yuan S, Badini I, Dolce J, Mahida KJ, Nho JW, Pingault JB, Damrauer SM, Hemani G, Davies NM. Challenges and future directions for Mendelian randomization. Nat Genet. 2026;58:984-994. doi:10.1038/s41588-026-02546-6.</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5" name="Picture 5"/>
            <wp:cNvGraphicFramePr>
              <a:graphicFrameLocks noChangeAspect="1"/>
            </wp:cNvGraphicFramePr>
            <a:graphic>
              <a:graphicData uri="http://schemas.openxmlformats.org/drawingml/2006/picture">
                <pic:pic>
                  <pic:nvPicPr>
                    <pic:cNvPr id="0" name="Fig1_conceptual.png"/>
                    <pic:cNvPicPr/>
                  </pic:nvPicPr>
                  <pic:blipFill>
                    <a:blip r:embed="rId13"/>
                    <a:stretch>
                      <a:fillRect/>
                    </a:stretch>
                  </pic:blipFill>
                  <pic:spPr>
                    <a:xfrm>
                      <a:off x="0" y="0"/>
                      <a:ext cx="5486400" cy="3587262"/>
                    </a:xfrm>
                    <a:prstGeom prst="rect"/>
                  </pic:spPr>
                </pic:pic>
              </a:graphicData>
            </a:graphic>
          </wp:inline>
        </w:drawing>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2_PRISMA.png"/>
                    <pic:cNvPicPr/>
                  </pic:nvPicPr>
                  <pic:blipFill>
                    <a:blip r:embed="rId14"/>
                    <a:stretch>
                      <a:fillRect/>
                    </a:stretch>
                  </pic:blipFill>
                  <pic:spPr>
                    <a:xfrm>
                      <a:off x="0" y="0"/>
                      <a:ext cx="5486400" cy="5486400"/>
                    </a:xfrm>
                    <a:prstGeom prst="rect"/>
                  </pic:spPr>
                </pic:pic>
              </a:graphicData>
            </a:graphic>
          </wp:inline>
        </w:drawing>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jc w:val="center"/>
      </w:pPr>
      <w:r>
        <w:drawing>
          <wp:inline xmlns:a="http://schemas.openxmlformats.org/drawingml/2006/main" xmlns:pic="http://schemas.openxmlformats.org/drawingml/2006/picture">
            <wp:extent cx="5486400" cy="2493818"/>
            <wp:docPr id="7" name="Picture 7"/>
            <wp:cNvGraphicFramePr>
              <a:graphicFrameLocks noChangeAspect="1"/>
            </wp:cNvGraphicFramePr>
            <a:graphic>
              <a:graphicData uri="http://schemas.openxmlformats.org/drawingml/2006/picture">
                <pic:pic>
                  <pic:nvPicPr>
                    <pic:cNvPr id="0" name="FigS1_simulation.png"/>
                    <pic:cNvPicPr/>
                  </pic:nvPicPr>
                  <pic:blipFill>
                    <a:blip r:embed="rId15"/>
                    <a:stretch>
                      <a:fillRect/>
                    </a:stretch>
                  </pic:blipFill>
                  <pic:spPr>
                    <a:xfrm>
                      <a:off x="0" y="0"/>
                      <a:ext cx="5486400" cy="2493818"/>
                    </a:xfrm>
                    <a:prstGeom prst="rect"/>
                  </pic:spPr>
                </pic:pic>
              </a:graphicData>
            </a:graphic>
          </wp:inline>
        </w:drawing>
      </w:r>
    </w:p>
    <w:p>
      <w:pPr>
        <w:jc w:val="both"/>
      </w:pPr>
      <w:r>
        <w:rPr>
          <w:rFonts w:ascii="Times New Roman" w:hAnsi="Times New Roman"/>
          <w:b/>
          <w:sz w:val="24"/>
        </w:rPr>
        <w:t>Supplementary Figure S1.</w:t>
      </w:r>
      <w:r>
        <w:rPr>
          <w:rFonts w:ascii="Times New Roman" w:hAnsi="Times New Roman"/>
          <w:b w:val="0"/>
          <w:sz w:val="24"/>
        </w:rPr>
        <w:t xml:space="preserve"> </w:t>
      </w:r>
      <w:r>
        <w:rPr>
          <w:rFonts w:ascii="Times New Roman" w:hAnsi="Times New Roman"/>
          <w:b w:val="0"/>
          <w:i/>
          <w:sz w:val="24"/>
        </w:rPr>
        <w:t>Left:</w:t>
      </w:r>
      <w:r>
        <w:rPr>
          <w:rFonts w:ascii="Times New Roman" w:hAnsi="Times New Roman"/>
          <w:b w:val="0"/>
          <w:sz w:val="24"/>
        </w:rPr>
        <w:t xml:space="preserve"> relative error of the traditional delta-method SE as a function of the proportion of shared instruments (π_shared), for instrument strengths F = 10, 15, 30 and ρ_MY = 0. At π_shared = 0.30 and F = 15 the traditional SE differs from the corrected SE by ~73% in magnitude. </w:t>
      </w:r>
      <w:r>
        <w:rPr>
          <w:rFonts w:ascii="Times New Roman" w:hAnsi="Times New Roman"/>
          <w:b w:val="0"/>
          <w:i/>
          <w:sz w:val="24"/>
        </w:rPr>
        <w:t>Right:</w:t>
      </w:r>
      <w:r>
        <w:rPr>
          <w:rFonts w:ascii="Times New Roman" w:hAnsi="Times New Roman"/>
          <w:b w:val="0"/>
          <w:sz w:val="24"/>
        </w:rPr>
        <w:t xml:space="preserve">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center"/>
      </w:pPr>
      <w:r>
        <w:drawing>
          <wp:inline xmlns:a="http://schemas.openxmlformats.org/drawingml/2006/main" xmlns:pic="http://schemas.openxmlformats.org/drawingml/2006/picture">
            <wp:extent cx="5486400" cy="4096512"/>
            <wp:docPr id="8" name="Picture 8"/>
            <wp:cNvGraphicFramePr>
              <a:graphicFrameLocks noChangeAspect="1"/>
            </wp:cNvGraphicFramePr>
            <a:graphic>
              <a:graphicData uri="http://schemas.openxmlformats.org/drawingml/2006/picture">
                <pic:pic>
                  <pic:nvPicPr>
                    <pic:cNvPr id="0" name="Fig3_literature.png"/>
                    <pic:cNvPicPr/>
                  </pic:nvPicPr>
                  <pic:blipFill>
                    <a:blip r:embed="rId16"/>
                    <a:stretch>
                      <a:fillRect/>
                    </a:stretch>
                  </pic:blipFill>
                  <pic:spPr>
                    <a:xfrm>
                      <a:off x="0" y="0"/>
                      <a:ext cx="5486400" cy="4096512"/>
                    </a:xfrm>
                    <a:prstGeom prst="rect"/>
                  </pic:spPr>
                </pic:pic>
              </a:graphicData>
            </a:graphic>
          </wp:inline>
        </w:drawing>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w:t>
      </w:r>
      <w:r>
        <w:rPr>
          <w:rFonts w:ascii="Times New Roman" w:hAnsi="Times New Roman"/>
          <w:b w:val="0"/>
          <w:i/>
          <w:sz w:val="24"/>
        </w:rPr>
        <w:t>Conservative</w:t>
      </w:r>
      <w:r>
        <w:rPr>
          <w:rFonts w:ascii="Times New Roman" w:hAnsi="Times New Roman"/>
          <w:b w:val="0"/>
          <w:sz w:val="24"/>
        </w:rPr>
        <w:t xml:space="preserve"> counts only merged-IV-pool and MVMR-joint designs (9.3% [95% CI 6.6–12.9%]). </w:t>
      </w:r>
      <w:r>
        <w:rPr>
          <w:rFonts w:ascii="Times New Roman" w:hAnsi="Times New Roman"/>
          <w:b w:val="0"/>
          <w:i/>
          <w:sz w:val="24"/>
        </w:rPr>
        <w:t>Typical</w:t>
      </w:r>
      <w:r>
        <w:rPr>
          <w:rFonts w:ascii="Times New Roman" w:hAnsi="Times New Roman"/>
          <w:b w:val="0"/>
          <w:sz w:val="24"/>
        </w:rPr>
        <w:t xml:space="preserve">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xml:space="preserve">. </w:t>
      </w:r>
      <w:r>
        <w:rPr>
          <w:rFonts w:ascii="Times New Roman" w:hAnsi="Times New Roman"/>
          <w:b w:val="0"/>
          <w:i/>
          <w:sz w:val="24"/>
        </w:rPr>
        <w:t>Structural</w:t>
      </w:r>
      <w:r>
        <w:rPr>
          <w:rFonts w:ascii="Times New Roman" w:hAnsi="Times New Roman"/>
          <w:b w:val="0"/>
          <w:sz w:val="24"/>
        </w:rPr>
        <w:t xml:space="preserve"> counts all separate-IV designs as capable of overlap (41.1% [95% CI 36.0–46.5%]).</w:t>
      </w:r>
    </w:p>
    <w:p>
      <w:pPr>
        <w:jc w:val="center"/>
      </w:pPr>
      <w:r>
        <w:drawing>
          <wp:inline xmlns:a="http://schemas.openxmlformats.org/drawingml/2006/main" xmlns:pic="http://schemas.openxmlformats.org/drawingml/2006/picture">
            <wp:extent cx="5486400" cy="3211362"/>
            <wp:docPr id="9" name="Picture 9"/>
            <wp:cNvGraphicFramePr>
              <a:graphicFrameLocks noChangeAspect="1"/>
            </wp:cNvGraphicFramePr>
            <a:graphic>
              <a:graphicData uri="http://schemas.openxmlformats.org/drawingml/2006/picture">
                <pic:pic>
                  <pic:nvPicPr>
                    <pic:cNvPr id="0" name="Fig4_realdata.png"/>
                    <pic:cNvPicPr/>
                  </pic:nvPicPr>
                  <pic:blipFill>
                    <a:blip r:embed="rId17"/>
                    <a:stretch>
                      <a:fillRect/>
                    </a:stretch>
                  </pic:blipFill>
                  <pic:spPr>
                    <a:xfrm>
                      <a:off x="0" y="0"/>
                      <a:ext cx="5486400" cy="3211362"/>
                    </a:xfrm>
                    <a:prstGeom prst="rect"/>
                  </pic:spPr>
                </pic:pic>
              </a:graphicData>
            </a:graphic>
          </wp:inline>
        </w:drawing>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w:t>
      </w:r>
      <w:r>
        <w:rPr>
          <w:rFonts w:ascii="Times New Roman" w:hAnsi="Times New Roman"/>
          <w:b w:val="0"/>
          <w:i/>
          <w:sz w:val="24"/>
        </w:rPr>
        <w:t>Top:</w:t>
      </w:r>
      <w:r>
        <w:rPr>
          <w:rFonts w:ascii="Times New Roman" w:hAnsi="Times New Roman"/>
          <w:b w:val="0"/>
          <w:sz w:val="24"/>
        </w:rPr>
        <w:t xml:space="preserve"> shared-IV design (n_s = 78), where the corrected SE is 15.5% smaller. </w:t>
      </w:r>
      <w:r>
        <w:rPr>
          <w:rFonts w:ascii="Times New Roman" w:hAnsi="Times New Roman"/>
          <w:b w:val="0"/>
          <w:i/>
          <w:sz w:val="24"/>
        </w:rPr>
        <w:t>Bottom:</w:t>
      </w:r>
      <w:r>
        <w:rPr>
          <w:rFonts w:ascii="Times New Roman" w:hAnsi="Times New Roman"/>
          <w:b w:val="0"/>
          <w:sz w:val="24"/>
        </w:rPr>
        <w:t xml:space="preserve"> natural overlap (n_s = 13), where the corrected SE is 2.8% smaller.</w:t>
      </w:r>
    </w:p>
    <w:p>
      <w:pPr>
        <w:jc w:val="center"/>
      </w:pPr>
      <w:r>
        <w:drawing>
          <wp:inline xmlns:a="http://schemas.openxmlformats.org/drawingml/2006/main" xmlns:pic="http://schemas.openxmlformats.org/drawingml/2006/picture">
            <wp:extent cx="5486400" cy="2499110"/>
            <wp:docPr id="10" name="Picture 10"/>
            <wp:cNvGraphicFramePr>
              <a:graphicFrameLocks noChangeAspect="1"/>
            </wp:cNvGraphicFramePr>
            <a:graphic>
              <a:graphicData uri="http://schemas.openxmlformats.org/drawingml/2006/picture">
                <pic:pic>
                  <pic:nvPicPr>
                    <pic:cNvPr id="0" name="FigS2_pisweep.png"/>
                    <pic:cNvPicPr/>
                  </pic:nvPicPr>
                  <pic:blipFill>
                    <a:blip r:embed="rId18"/>
                    <a:stretch>
                      <a:fillRect/>
                    </a:stretch>
                  </pic:blipFill>
                  <pic:spPr>
                    <a:xfrm>
                      <a:off x="0" y="0"/>
                      <a:ext cx="5486400" cy="2499110"/>
                    </a:xfrm>
                    <a:prstGeom prst="rect"/>
                  </pic:spPr>
                </pic:pic>
              </a:graphicData>
            </a:graphic>
          </wp:inline>
        </w:drawing>
      </w:r>
    </w:p>
    <w:p>
      <w:pPr>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w:t>
      </w:r>
      <w:r>
        <w:rPr>
          <w:rFonts w:ascii="Times New Roman" w:hAnsi="Times New Roman"/>
          <w:b w:val="0"/>
          <w:i/>
          <w:sz w:val="24"/>
        </w:rPr>
        <w:t>Left:</w:t>
      </w:r>
      <w:r>
        <w:rPr>
          <w:rFonts w:ascii="Times New Roman" w:hAnsi="Times New Roman"/>
          <w:b w:val="0"/>
          <w:sz w:val="24"/>
        </w:rPr>
        <w:t xml:space="preserve"> empirical Cov(α̂, β̂) (points) versus the closed-form analytical prediction (lines) across π_shared, for F = 10 and F = 30; the two coincide. </w:t>
      </w:r>
      <w:r>
        <w:rPr>
          <w:rFonts w:ascii="Times New Roman" w:hAnsi="Times New Roman"/>
          <w:b w:val="0"/>
          <w:i/>
          <w:sz w:val="24"/>
        </w:rPr>
        <w:t>Right:</w:t>
      </w:r>
      <w:r>
        <w:rPr>
          <w:rFonts w:ascii="Times New Roman" w:hAnsi="Times New Roman"/>
          <w:b w:val="0"/>
          <w:sz w:val="24"/>
        </w:rPr>
        <w:t xml:space="preserve"> relative error of the analytical covariance versus the conservative reliability bound B(F, ρ_MY, π_shared) for all 12 cells; all points fall below the bound, with the worst cell at 14.1%.</w:t>
      </w:r>
    </w:p>
    <w:p>
      <w:pPr>
        <w:jc w:val="center"/>
      </w:pPr>
      <w:r>
        <w:drawing>
          <wp:inline xmlns:a="http://schemas.openxmlformats.org/drawingml/2006/main" xmlns:pic="http://schemas.openxmlformats.org/drawingml/2006/picture">
            <wp:extent cx="5486400" cy="2275394"/>
            <wp:docPr id="11" name="Picture 11"/>
            <wp:cNvGraphicFramePr>
              <a:graphicFrameLocks noChangeAspect="1"/>
            </wp:cNvGraphicFramePr>
            <a:graphic>
              <a:graphicData uri="http://schemas.openxmlformats.org/drawingml/2006/picture">
                <pic:pic>
                  <pic:nvPicPr>
                    <pic:cNvPr id="0" name="FigS3_flip_probability.png"/>
                    <pic:cNvPicPr/>
                  </pic:nvPicPr>
                  <pic:blipFill>
                    <a:blip r:embed="rId19"/>
                    <a:stretch>
                      <a:fillRect/>
                    </a:stretch>
                  </pic:blipFill>
                  <pic:spPr>
                    <a:xfrm>
                      <a:off x="0" y="0"/>
                      <a:ext cx="5486400" cy="2275394"/>
                    </a:xfrm>
                    <a:prstGeom prst="rect"/>
                  </pic:spPr>
                </pic:pic>
              </a:graphicData>
            </a:graphic>
          </wp:inline>
        </w:drawing>
      </w:r>
    </w:p>
    <w:p>
      <w:pPr>
        <w:jc w:val="both"/>
      </w:pPr>
      <w:r>
        <w:rPr>
          <w:rFonts w:ascii="Times New Roman" w:hAnsi="Times New Roman"/>
          <w:b/>
          <w:sz w:val="24"/>
        </w:rPr>
        <w:t>Supplementary Figure S3.</w:t>
      </w:r>
      <w:r>
        <w:rPr>
          <w:rFonts w:ascii="Times New Roman" w:hAnsi="Times New Roman"/>
          <w:b w:val="0"/>
          <w:sz w:val="24"/>
        </w:rPr>
        <w:t xml:space="preserve"> Flip probability as a function of the true indirect-effect non-centrality λ = δ/σ_naive, by shared-instrument proportion π_shared, under the corrected variance. </w:t>
      </w:r>
      <w:r>
        <w:rPr>
          <w:rFonts w:ascii="Times New Roman" w:hAnsi="Times New Roman"/>
          <w:b w:val="0"/>
          <w:i/>
          <w:sz w:val="24"/>
        </w:rPr>
        <w:t>Panel A</w:t>
      </w:r>
      <w:r>
        <w:rPr>
          <w:rFonts w:ascii="Times New Roman" w:hAnsi="Times New Roman"/>
          <w:b w:val="0"/>
          <w:sz w:val="24"/>
        </w:rPr>
        <w:t xml:space="preserve"> (concordant mediation, ρ_MY = 0, F = 10): the correction narrows the CI, so flips are gains of significance; the displayed F = 10 panel peaks at 5.1%, while the worst cell across the full concordant 100-design grid is 5.7% (F = 30, π_shared = 1.0, λ ≈ 2.0). </w:t>
      </w:r>
      <w:r>
        <w:rPr>
          <w:rFonts w:ascii="Times New Roman" w:hAnsi="Times New Roman"/>
          <w:b w:val="0"/>
          <w:i/>
          <w:sz w:val="24"/>
        </w:rPr>
        <w:t>Panel B</w:t>
      </w:r>
      <w:r>
        <w:rPr>
          <w:rFonts w:ascii="Times New Roman" w:hAnsi="Times New Roman"/>
          <w:b w:val="0"/>
          <w:sz w:val="24"/>
        </w:rPr>
        <w:t xml:space="preserve"> (discordant mediation / full sample overlap, ρ_MY = 1, F = 10): the correction widens the CI, so flips are losses of significance; the displayed panel and the grid-wide discordant maximum coincide at 10.4% (π_shared = 1.0, λ ≈ 2.25). The dashed vertical line marks the naive 1.96 threshold; both panels confine the flip band to λ ≈ 1.7–2.4.</w:t>
      </w:r>
    </w:p>
    <w:p>
      <w:pPr>
        <w:jc w:val="center"/>
      </w:pPr>
      <w:r>
        <w:drawing>
          <wp:inline xmlns:a="http://schemas.openxmlformats.org/drawingml/2006/main" xmlns:pic="http://schemas.openxmlformats.org/drawingml/2006/picture">
            <wp:extent cx="5486400" cy="2403920"/>
            <wp:docPr id="12" name="Picture 12"/>
            <wp:cNvGraphicFramePr>
              <a:graphicFrameLocks noChangeAspect="1"/>
            </wp:cNvGraphicFramePr>
            <a:graphic>
              <a:graphicData uri="http://schemas.openxmlformats.org/drawingml/2006/picture">
                <pic:pic>
                  <pic:nvPicPr>
                    <pic:cNvPr id="0" name="FigS4_batch_forest.png"/>
                    <pic:cNvPicPr/>
                  </pic:nvPicPr>
                  <pic:blipFill>
                    <a:blip r:embed="rId20"/>
                    <a:stretch>
                      <a:fillRect/>
                    </a:stretch>
                  </pic:blipFill>
                  <pic:spPr>
                    <a:xfrm>
                      <a:off x="0" y="0"/>
                      <a:ext cx="5486400" cy="2403920"/>
                    </a:xfrm>
                    <a:prstGeom prst="rect"/>
                  </pic:spPr>
                </pic:pic>
              </a:graphicData>
            </a:graphic>
          </wp:inline>
        </w:drawing>
      </w:r>
    </w:p>
    <w:p>
      <w:pPr>
        <w:jc w:val="both"/>
      </w:pPr>
      <w:r>
        <w:rPr>
          <w:rFonts w:ascii="Times New Roman" w:hAnsi="Times New Roman"/>
          <w:b/>
          <w:sz w:val="24"/>
        </w:rPr>
        <w:t>Supplementary Figure S4.</w:t>
      </w:r>
      <w:r>
        <w:rPr>
          <w:rFonts w:ascii="Times New Roman" w:hAnsi="Times New Roman"/>
          <w:b w:val="0"/>
          <w:sz w:val="24"/>
        </w:rPr>
        <w:t xml:space="preserve"> Relative change in the indirect-effect SE after the S10 correction across the adequately powered overlapping studies from the batch re-estimation (Table 2).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the targeted validation sweep, the flip-probability scan, and the SE-change forest, respectively;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S3:</w:t>
      </w:r>
      <w:r>
        <w:rPr>
          <w:rFonts w:ascii="Times New Roman" w:hAnsi="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p>
      <w:pPr>
        <w:ind w:firstLine="480"/>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Discussion examples).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19"/>
              </w:rPr>
              <w:t>Ref</w:t>
            </w:r>
          </w:p>
        </w:tc>
        <w:tc>
          <w:tcPr>
            <w:tcW w:type="dxa" w:w="2880"/>
          </w:tcPr>
          <w:p>
            <w:r/>
            <w:r>
              <w:rPr>
                <w:rFonts w:ascii="Times New Roman" w:hAnsi="Times New Roman"/>
                <w:b/>
                <w:sz w:val="19"/>
              </w:rPr>
              <w:t>Domain</w:t>
            </w:r>
          </w:p>
        </w:tc>
        <w:tc>
          <w:tcPr>
            <w:tcW w:type="dxa" w:w="2880"/>
          </w:tcPr>
          <w:p>
            <w:r/>
            <w:r>
              <w:rPr>
                <w:rFonts w:ascii="Times New Roman" w:hAnsi="Times New Roman"/>
                <w:b/>
                <w:sz w:val="19"/>
              </w:rPr>
              <w:t>Study</w:t>
            </w:r>
          </w:p>
        </w:tc>
      </w:tr>
      <w:tr>
        <w:tc>
          <w:tcPr>
            <w:tcW w:type="dxa" w:w="2880"/>
          </w:tcPr>
          <w:p>
            <w:r/>
            <w:r>
              <w:rPr>
                <w:rFonts w:ascii="Times New Roman" w:hAnsi="Times New Roman"/>
                <w:sz w:val="19"/>
              </w:rPr>
              <w:t>[25]</w:t>
            </w:r>
          </w:p>
        </w:tc>
        <w:tc>
          <w:tcPr>
            <w:tcW w:type="dxa" w:w="2880"/>
          </w:tcPr>
          <w:p>
            <w:r/>
            <w:r>
              <w:rPr>
                <w:rFonts w:ascii="Times New Roman" w:hAnsi="Times New Roman"/>
                <w:sz w:val="19"/>
              </w:rPr>
              <w:t>Psychiatry</w:t>
            </w:r>
          </w:p>
        </w:tc>
        <w:tc>
          <w:tcPr>
            <w:tcW w:type="dxa" w:w="2880"/>
          </w:tcPr>
          <w:p>
            <w:r/>
            <w:r>
              <w:rPr>
                <w:rFonts w:ascii="Times New Roman" w:hAnsi="Times New Roman"/>
                <w:sz w:val="19"/>
              </w:rPr>
              <w:t>Feng et al. — cross-ancestry pleiotropic imaging phenotypes for depression risk stratification</w:t>
            </w:r>
          </w:p>
        </w:tc>
      </w:tr>
      <w:tr>
        <w:tc>
          <w:tcPr>
            <w:tcW w:type="dxa" w:w="2880"/>
          </w:tcPr>
          <w:p>
            <w:r/>
            <w:r>
              <w:rPr>
                <w:rFonts w:ascii="Times New Roman" w:hAnsi="Times New Roman"/>
                <w:sz w:val="19"/>
              </w:rPr>
              <w:t>[29]</w:t>
            </w:r>
          </w:p>
        </w:tc>
        <w:tc>
          <w:tcPr>
            <w:tcW w:type="dxa" w:w="2880"/>
          </w:tcPr>
          <w:p>
            <w:r/>
            <w:r>
              <w:rPr>
                <w:rFonts w:ascii="Times New Roman" w:hAnsi="Times New Roman"/>
                <w:sz w:val="19"/>
              </w:rPr>
              <w:t>Metabolic / endocrine</w:t>
            </w:r>
          </w:p>
        </w:tc>
        <w:tc>
          <w:tcPr>
            <w:tcW w:type="dxa" w:w="2880"/>
          </w:tcPr>
          <w:p>
            <w:r/>
            <w:r>
              <w:rPr>
                <w:rFonts w:ascii="Times New Roman" w:hAnsi="Times New Roman"/>
                <w:sz w:val="19"/>
              </w:rPr>
              <w:t>Hu et al. — body-fat distribution as mediator of diabetogenic action of lipid-modifying drugs</w:t>
            </w:r>
          </w:p>
        </w:tc>
      </w:tr>
      <w:tr>
        <w:tc>
          <w:tcPr>
            <w:tcW w:type="dxa" w:w="2880"/>
          </w:tcPr>
          <w:p>
            <w:r/>
            <w:r>
              <w:rPr>
                <w:rFonts w:ascii="Times New Roman" w:hAnsi="Times New Roman"/>
                <w:sz w:val="19"/>
              </w:rPr>
              <w:t>[30]</w:t>
            </w:r>
          </w:p>
        </w:tc>
        <w:tc>
          <w:tcPr>
            <w:tcW w:type="dxa" w:w="2880"/>
          </w:tcPr>
          <w:p>
            <w:r/>
            <w:r>
              <w:rPr>
                <w:rFonts w:ascii="Times New Roman" w:hAnsi="Times New Roman"/>
                <w:sz w:val="19"/>
              </w:rPr>
              <w:t>Oncology (neuro)</w:t>
            </w:r>
          </w:p>
        </w:tc>
        <w:tc>
          <w:tcPr>
            <w:tcW w:type="dxa" w:w="2880"/>
          </w:tcPr>
          <w:p>
            <w:r/>
            <w:r>
              <w:rPr>
                <w:rFonts w:ascii="Times New Roman" w:hAnsi="Times New Roman"/>
                <w:sz w:val="19"/>
              </w:rPr>
              <w:t>Huang et al. — cyclic cytokines mediating immune-cell effects on meningioma</w:t>
            </w:r>
          </w:p>
        </w:tc>
      </w:tr>
      <w:tr>
        <w:tc>
          <w:tcPr>
            <w:tcW w:type="dxa" w:w="2880"/>
          </w:tcPr>
          <w:p>
            <w:r/>
            <w:r>
              <w:rPr>
                <w:rFonts w:ascii="Times New Roman" w:hAnsi="Times New Roman"/>
                <w:sz w:val="19"/>
              </w:rPr>
              <w:t>[31]</w:t>
            </w:r>
          </w:p>
        </w:tc>
        <w:tc>
          <w:tcPr>
            <w:tcW w:type="dxa" w:w="2880"/>
          </w:tcPr>
          <w:p>
            <w:r/>
            <w:r>
              <w:rPr>
                <w:rFonts w:ascii="Times New Roman" w:hAnsi="Times New Roman"/>
                <w:sz w:val="19"/>
              </w:rPr>
              <w:t>Psychiatry</w:t>
            </w:r>
          </w:p>
        </w:tc>
        <w:tc>
          <w:tcPr>
            <w:tcW w:type="dxa" w:w="2880"/>
          </w:tcPr>
          <w:p>
            <w:r/>
            <w:r>
              <w:rPr>
                <w:rFonts w:ascii="Times New Roman" w:hAnsi="Times New Roman"/>
                <w:sz w:val="19"/>
              </w:rPr>
              <w:t>Zhou et al. — air pollution as risk factor for psychiatric disorders</w:t>
            </w:r>
          </w:p>
        </w:tc>
      </w:tr>
      <w:tr>
        <w:tc>
          <w:tcPr>
            <w:tcW w:type="dxa" w:w="2880"/>
          </w:tcPr>
          <w:p>
            <w:r/>
            <w:r>
              <w:rPr>
                <w:rFonts w:ascii="Times New Roman" w:hAnsi="Times New Roman"/>
                <w:sz w:val="19"/>
              </w:rPr>
              <w:t>[32]</w:t>
            </w:r>
          </w:p>
        </w:tc>
        <w:tc>
          <w:tcPr>
            <w:tcW w:type="dxa" w:w="2880"/>
          </w:tcPr>
          <w:p>
            <w:r/>
            <w:r>
              <w:rPr>
                <w:rFonts w:ascii="Times New Roman" w:hAnsi="Times New Roman"/>
                <w:sz w:val="19"/>
              </w:rPr>
              <w:t>Cardiovascular</w:t>
            </w:r>
          </w:p>
        </w:tc>
        <w:tc>
          <w:tcPr>
            <w:tcW w:type="dxa" w:w="2880"/>
          </w:tcPr>
          <w:p>
            <w:r/>
            <w:r>
              <w:rPr>
                <w:rFonts w:ascii="Times New Roman" w:hAnsi="Times New Roman"/>
                <w:sz w:val="19"/>
              </w:rPr>
              <w:t>Wang et al. — nut-consumption mediators of cardiovascular disease</w:t>
            </w:r>
          </w:p>
        </w:tc>
      </w:tr>
      <w:tr>
        <w:tc>
          <w:tcPr>
            <w:tcW w:type="dxa" w:w="2880"/>
          </w:tcPr>
          <w:p>
            <w:r/>
            <w:r>
              <w:rPr>
                <w:rFonts w:ascii="Times New Roman" w:hAnsi="Times New Roman"/>
                <w:sz w:val="19"/>
              </w:rPr>
              <w:t>[33]</w:t>
            </w:r>
          </w:p>
        </w:tc>
        <w:tc>
          <w:tcPr>
            <w:tcW w:type="dxa" w:w="2880"/>
          </w:tcPr>
          <w:p>
            <w:r/>
            <w:r>
              <w:rPr>
                <w:rFonts w:ascii="Times New Roman" w:hAnsi="Times New Roman"/>
                <w:sz w:val="19"/>
              </w:rPr>
              <w:t>Neurological</w:t>
            </w:r>
          </w:p>
        </w:tc>
        <w:tc>
          <w:tcPr>
            <w:tcW w:type="dxa" w:w="2880"/>
          </w:tcPr>
          <w:p>
            <w:r/>
            <w:r>
              <w:rPr>
                <w:rFonts w:ascii="Times New Roman" w:hAnsi="Times New Roman"/>
                <w:sz w:val="19"/>
              </w:rPr>
              <w:t>Xu et al. — immune-cell-mediated link between sphingomyelin and stroke</w:t>
            </w:r>
          </w:p>
        </w:tc>
      </w:tr>
      <w:tr>
        <w:tc>
          <w:tcPr>
            <w:tcW w:type="dxa" w:w="2880"/>
          </w:tcPr>
          <w:p>
            <w:r/>
            <w:r>
              <w:rPr>
                <w:rFonts w:ascii="Times New Roman" w:hAnsi="Times New Roman"/>
                <w:sz w:val="19"/>
              </w:rPr>
              <w:t>[34]</w:t>
            </w:r>
          </w:p>
        </w:tc>
        <w:tc>
          <w:tcPr>
            <w:tcW w:type="dxa" w:w="2880"/>
          </w:tcPr>
          <w:p>
            <w:r/>
            <w:r>
              <w:rPr>
                <w:rFonts w:ascii="Times New Roman" w:hAnsi="Times New Roman"/>
                <w:sz w:val="19"/>
              </w:rPr>
              <w:t>Immunology / allergy</w:t>
            </w:r>
          </w:p>
        </w:tc>
        <w:tc>
          <w:tcPr>
            <w:tcW w:type="dxa" w:w="2880"/>
          </w:tcPr>
          <w:p>
            <w:r/>
            <w:r>
              <w:rPr>
                <w:rFonts w:ascii="Times New Roman" w:hAnsi="Times New Roman"/>
                <w:sz w:val="19"/>
              </w:rPr>
              <w:t>Wang et al. — lipid-metabolism mediators of allergic diseases</w:t>
            </w:r>
          </w:p>
        </w:tc>
      </w:tr>
      <w:tr>
        <w:tc>
          <w:tcPr>
            <w:tcW w:type="dxa" w:w="2880"/>
          </w:tcPr>
          <w:p>
            <w:r/>
            <w:r>
              <w:rPr>
                <w:rFonts w:ascii="Times New Roman" w:hAnsi="Times New Roman"/>
                <w:sz w:val="19"/>
              </w:rPr>
              <w:t>[35]</w:t>
            </w:r>
          </w:p>
        </w:tc>
        <w:tc>
          <w:tcPr>
            <w:tcW w:type="dxa" w:w="2880"/>
          </w:tcPr>
          <w:p>
            <w:r/>
            <w:r>
              <w:rPr>
                <w:rFonts w:ascii="Times New Roman" w:hAnsi="Times New Roman"/>
                <w:sz w:val="19"/>
              </w:rPr>
              <w:t>Neurology</w:t>
            </w:r>
          </w:p>
        </w:tc>
        <w:tc>
          <w:tcPr>
            <w:tcW w:type="dxa" w:w="2880"/>
          </w:tcPr>
          <w:p>
            <w:r/>
            <w:r>
              <w:rPr>
                <w:rFonts w:ascii="Times New Roman" w:hAnsi="Times New Roman"/>
                <w:sz w:val="19"/>
              </w:rPr>
              <w:t>Sun et al. — peripheral immune-cell phenotypes and Alzheimer's disease</w:t>
            </w:r>
          </w:p>
        </w:tc>
      </w:tr>
      <w:tr>
        <w:tc>
          <w:tcPr>
            <w:tcW w:type="dxa" w:w="2880"/>
          </w:tcPr>
          <w:p>
            <w:r/>
            <w:r>
              <w:rPr>
                <w:rFonts w:ascii="Times New Roman" w:hAnsi="Times New Roman"/>
                <w:sz w:val="19"/>
              </w:rPr>
              <w:t>[36]</w:t>
            </w:r>
          </w:p>
        </w:tc>
        <w:tc>
          <w:tcPr>
            <w:tcW w:type="dxa" w:w="2880"/>
          </w:tcPr>
          <w:p>
            <w:r/>
            <w:r>
              <w:rPr>
                <w:rFonts w:ascii="Times New Roman" w:hAnsi="Times New Roman"/>
                <w:sz w:val="19"/>
              </w:rPr>
              <w:t>Respiratory / allergy</w:t>
            </w:r>
          </w:p>
        </w:tc>
        <w:tc>
          <w:tcPr>
            <w:tcW w:type="dxa" w:w="2880"/>
          </w:tcPr>
          <w:p>
            <w:r/>
            <w:r>
              <w:rPr>
                <w:rFonts w:ascii="Times New Roman" w:hAnsi="Times New Roman"/>
                <w:sz w:val="19"/>
              </w:rPr>
              <w:t>Zhang et al. — allergic-disease mediators of bronchiectasis</w:t>
            </w:r>
          </w:p>
        </w:tc>
      </w:tr>
      <w:tr>
        <w:tc>
          <w:tcPr>
            <w:tcW w:type="dxa" w:w="2880"/>
          </w:tcPr>
          <w:p>
            <w:r/>
            <w:r>
              <w:rPr>
                <w:rFonts w:ascii="Times New Roman" w:hAnsi="Times New Roman"/>
                <w:sz w:val="19"/>
              </w:rPr>
              <w:t>[38]</w:t>
            </w:r>
          </w:p>
        </w:tc>
        <w:tc>
          <w:tcPr>
            <w:tcW w:type="dxa" w:w="2880"/>
          </w:tcPr>
          <w:p>
            <w:r/>
            <w:r>
              <w:rPr>
                <w:rFonts w:ascii="Times New Roman" w:hAnsi="Times New Roman"/>
                <w:sz w:val="19"/>
              </w:rPr>
              <w:t>Cardiology / psychiatry</w:t>
            </w:r>
          </w:p>
        </w:tc>
        <w:tc>
          <w:tcPr>
            <w:tcW w:type="dxa" w:w="2880"/>
          </w:tcPr>
          <w:p>
            <w:r/>
            <w:r>
              <w:rPr>
                <w:rFonts w:ascii="Times New Roman" w:hAnsi="Times New Roman"/>
                <w:sz w:val="19"/>
              </w:rPr>
              <w:t>Wang et al. — neuroticism as protective factor for cardiomyopathy</w:t>
            </w:r>
          </w:p>
        </w:tc>
      </w:tr>
    </w:tbl>
    <w:p>
      <w:pPr>
        <w:pStyle w:val="ListBullet"/>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worked examples in the Discussion (domain, study and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