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(ORCID: 0009-0001-6328-7403), Jianfeng Wang² (ORCID: 0000-0002-6316-6361)</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1.</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2.</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2b.</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2c;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2c);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2c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2c.</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Table 3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b w:val="0"/>
          <w:sz w:val="24"/>
          <w:vertAlign w:val="superscript"/>
        </w:rPr>
        <w:t>41</w:t>
      </w:r>
      <w:r>
        <w:rPr>
          <w:rFonts w:ascii="Times New Roman" w:hAnsi="Times New Roman"/>
          <w:b w:val="0"/>
          <w:sz w:val="24"/>
        </w:rPr>
        <w:t>.</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PMID: 34698778. </w:t>
      </w:r>
    </w:p>
    <w:p>
      <w:pPr>
        <w:ind w:left="420" w:hanging="420"/>
        <w:jc w:val="left"/>
      </w:pPr>
      <w:r>
        <w:rPr>
          <w:rFonts w:ascii="Times New Roman" w:hAnsi="Times New Roman"/>
          <w:b w:val="0"/>
          <w:sz w:val="20"/>
        </w:rPr>
        <w:t>41. Sanderson E, Levin MG, Walker V, Yuan S, Badini I, Dolce J, Mahida KJ, Nho JW, Pingault JB, Damrauer SM, Hemani G, Davies NM. Challenges and future directions for Mendelian randomization. Nat Genet. 2026;58:984-994. doi:10.1038/s41588-026-02546-6. PMID: 41986691.</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4096512"/>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4096512"/>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center"/>
      </w:pPr>
      <w:r>
        <w:drawing>
          <wp:inline xmlns:a="http://schemas.openxmlformats.org/drawingml/2006/main" xmlns:pic="http://schemas.openxmlformats.org/drawingml/2006/picture">
            <wp:extent cx="5486400" cy="3211362"/>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3211362"/>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center"/>
      </w:pPr>
      <w:r>
        <w:drawing>
          <wp:inline xmlns:a="http://schemas.openxmlformats.org/drawingml/2006/main" xmlns:pic="http://schemas.openxmlformats.org/drawingml/2006/picture">
            <wp:extent cx="5486400" cy="2499110"/>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99110"/>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75394"/>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7539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403920"/>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403920"/>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