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sz w:val="22"/>
        </w:rPr>
        <w:t>Authors:</w:t>
      </w:r>
      <w:r>
        <w:rPr>
          <w:rFonts w:ascii="Times New Roman" w:hAnsi="Times New Roman"/>
          <w:b w:val="0"/>
          <w:sz w:val="22"/>
        </w:rPr>
        <w:t xml:space="preserve"> Yan Chen¹, Jianfeng Wang²</w:t>
      </w:r>
    </w:p>
    <w:p>
      <w:pPr>
        <w:jc w:val="center"/>
      </w:pPr>
      <w:r>
        <w:rPr>
          <w:rFonts w:ascii="Times New Roman" w:hAnsi="Times New Roman"/>
          <w:b/>
          <w:sz w:val="22"/>
        </w:rPr>
        <w:t>Affiliations:</w:t>
      </w:r>
      <w:r>
        <w:rPr>
          <w:rFonts w:ascii="Times New Roman" w:hAnsi="Times New Roman"/>
          <w:b w:val="0"/>
          <w:sz w:val="22"/>
        </w:rPr>
        <w:t xml:space="preserve">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sz w:val="22"/>
        </w:rPr>
        <w:t>Correspondence:</w:t>
      </w:r>
      <w:r>
        <w:rPr>
          <w:rFonts w:ascii="Times New Roman" w:hAnsi="Times New Roman"/>
          <w:b w:val="0"/>
          <w:sz w:val="22"/>
        </w:rPr>
        <w:t xml:space="preserv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sz w:val="24"/>
        </w:rPr>
        <w:t>Background</w:t>
      </w:r>
      <w:r>
        <w:rPr>
          <w:rFonts w:ascii="Times New Roman" w:hAnsi="Times New Roman"/>
          <w:b w:val="0"/>
          <w:sz w:val="24"/>
        </w:rPr>
        <w:t xml:space="preserve"> Two-step (product-method) Mendelian randomization (MR) mediation assumes that the exposure-step and mediator-step instrument sets are independent. This assumption has never been examined at scale, and no closed-form correction exists for when it fails.</w:t>
      </w:r>
    </w:p>
    <w:p>
      <w:pPr>
        <w:ind w:firstLine="480"/>
        <w:jc w:val="both"/>
      </w:pPr>
      <w:r>
        <w:rPr>
          <w:rFonts w:ascii="Times New Roman" w:hAnsi="Times New Roman"/>
          <w:b/>
          <w:sz w:val="24"/>
        </w:rPr>
        <w:t>Methods</w:t>
      </w:r>
      <w:r>
        <w:rPr>
          <w:rFonts w:ascii="Times New Roman" w:hAnsi="Times New Roman"/>
          <w:b w:val="0"/>
          <w:sz w:val="24"/>
        </w:rPr>
        <w:t xml:space="preserve"> We screened 333 published two-step MR mediation studies (from 695 records; PRISMA 2020) for instrument-selection design and overlap handling. We derived a closed-form Cov(α̂, β̂) under two overlap channels - shared instruments and mediator-outcome sample overlap - validated it on a 180-cell simulation grid and a 200-cell flip-probability scan, and batch re-estimated 108 trios directly from OpenGWAS summary statistics.</w:t>
      </w:r>
    </w:p>
    <w:p>
      <w:pPr>
        <w:ind w:firstLine="480"/>
        <w:jc w:val="both"/>
      </w:pPr>
      <w:r>
        <w:rPr>
          <w:rFonts w:ascii="Times New Roman" w:hAnsi="Times New Roman"/>
          <w:b/>
          <w:sz w:val="24"/>
        </w:rPr>
        <w:t>Results</w:t>
      </w:r>
      <w:r>
        <w:rPr>
          <w:rFonts w:ascii="Times New Roman" w:hAnsi="Times New Roman"/>
          <w:b w:val="0"/>
          <w:sz w:val="24"/>
        </w:rPr>
        <w:t xml:space="preserve"> 39.3% (95% CI 34.2–44.7%) of the 333 studies use a design capable of non-zero Cov(α̂, β̂) without disclosing overlap handling, and essentially none correct for it at the covariance level. Genuine overlap occurred in 6.5% (7/108) of re-estimated trios, where the correction narrowed every non-degenerate confidence interval (0.2–16.0%) with zero observed flips (95% CI for the underlying flip rate 0–43.4%). The covariance sign is prior-unknown: negative under concordant mediation, which makes the uncorrected interval conservative, but positive under discordant mediation or sample overlap, where flip probability reaches 10.4%.</w:t>
      </w:r>
    </w:p>
    <w:p>
      <w:pPr>
        <w:ind w:firstLine="480"/>
        <w:jc w:val="both"/>
      </w:pPr>
      <w:r>
        <w:rPr>
          <w:rFonts w:ascii="Times New Roman" w:hAnsi="Times New Roman"/>
          <w:b/>
          <w:sz w:val="24"/>
        </w:rPr>
        <w:t>Conclusions</w:t>
      </w:r>
      <w:r>
        <w:rPr>
          <w:rFonts w:ascii="Times New Roman" w:hAnsi="Times New Roman"/>
          <w:b w:val="0"/>
          <w:sz w:val="24"/>
        </w:rPr>
        <w:t xml:space="preserve"> Instrument overlap is common and systematically uncorrected, and its direction cannot be assumed favourable. Because n_s, π_shared and ρ_MY are rarely reported, the field currently cannot tell which regime any published result occupies. We recommend that two-step MR mediation report these three quantities; our released tool applies the correction from published summary statistics alone.</w:t>
      </w:r>
    </w:p>
    <w:p>
      <w:pPr>
        <w:jc w:val="both"/>
      </w:pPr>
      <w:r>
        <w:rPr>
          <w:rFonts w:ascii="Times New Roman" w:hAnsi="Times New Roman"/>
          <w:b/>
          <w:sz w:val="22"/>
        </w:rPr>
        <w:t>Keywords:</w:t>
      </w:r>
      <w:r>
        <w:rPr>
          <w:rFonts w:ascii="Times New Roman" w:hAnsi="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xml:space="preserve">. The overlap result above applies to an </w:t>
      </w:r>
      <w:r>
        <w:rPr>
          <w:rFonts w:ascii="Times New Roman" w:hAnsi="Times New Roman"/>
          <w:b w:val="0"/>
          <w:i/>
          <w:sz w:val="24"/>
        </w:rPr>
        <w:t>isolated</w:t>
      </w:r>
      <w:r>
        <w:rPr>
          <w:rFonts w:ascii="Times New Roman" w:hAnsi="Times New Roman"/>
          <w:b w:val="0"/>
          <w:sz w:val="24"/>
        </w:rPr>
        <w:t xml:space="preserve"> estimator, not to the </w:t>
      </w:r>
      <w:r>
        <w:rPr>
          <w:rFonts w:ascii="Times New Roman" w:hAnsi="Times New Roman"/>
          <w:b w:val="0"/>
          <w:i/>
          <w:sz w:val="24"/>
        </w:rPr>
        <w:t>product</w:t>
      </w:r>
      <w:r>
        <w:rPr>
          <w:rFonts w:ascii="Times New Roman" w:hAnsi="Times New Roman"/>
          <w:b w:val="0"/>
          <w:sz w:val="24"/>
        </w:rPr>
        <w:t xml:space="preserve">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b w:val="0"/>
          <w:sz w:val="24"/>
        </w:rPr>
        <w:t xml:space="preserve">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w:t>
      </w:r>
      <w:r>
        <w:rPr>
          <w:rFonts w:ascii="Times New Roman" w:hAnsi="Times New Roman"/>
          <w:b w:val="0"/>
          <w:i/>
          <w:sz w:val="24"/>
        </w:rPr>
        <w:t>direction</w:t>
      </w:r>
      <w:r>
        <w:rPr>
          <w:rFonts w:ascii="Times New Roman" w:hAnsi="Times New Roman"/>
          <w:b w:val="0"/>
          <w:sz w:val="24"/>
        </w:rPr>
        <w:t xml:space="preserve">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 Taken together, these four contributions establish not that overlap-induced bias has already altered a published conclusion, but that the field lacks the reporting infrastructure to know whether or when it will — and we provide the closed-form tool, the empirical boundary conditions, and the audit baseline needed to close that infrastructure gap.</w:t>
      </w:r>
    </w:p>
    <w:p>
      <w:pPr>
        <w:spacing w:before="200" w:after="80"/>
        <w:jc w:val="left"/>
      </w:pPr>
      <w:r>
        <w:rPr>
          <w:rFonts w:ascii="Times New Roman" w:hAnsi="Times New Roman"/>
          <w:b/>
          <w:sz w:val="26"/>
        </w:rPr>
        <w:t>2. Methods</w:t>
      </w:r>
    </w:p>
    <w:p>
      <w:pPr>
        <w:ind w:firstLine="480"/>
        <w:jc w:val="both"/>
      </w:pPr>
      <w:r>
        <w:rPr>
          <w:rFonts w:ascii="Times New Roman" w:hAnsi="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In summary-data two-step MR mediation α̂ and β̂ are usually ratio (or IVW) estimators, and the standard delta-method variance is</w:t>
      </w:r>
    </w:p>
    <w:p>
      <w:pPr>
        <w:spacing w:before="120" w:after="120"/>
        <w:jc w:val="center"/>
      </w:pPr>
      <w:r>
        <w:drawing>
          <wp:inline xmlns:a="http://schemas.openxmlformats.org/drawingml/2006/main" xmlns:pic="http://schemas.openxmlformats.org/drawingml/2006/picture">
            <wp:extent cx="5120640" cy="1012061"/>
            <wp:docPr id="1" name="Picture 1"/>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5120640" cy="1012061"/>
                    </a:xfrm>
                    <a:prstGeom prst="rect"/>
                  </pic:spPr>
                </pic:pic>
              </a:graphicData>
            </a:graphic>
          </wp:inline>
        </w:drawing>
      </w:r>
    </w:p>
    <w:p>
      <w:pPr>
        <w:ind w:firstLine="480"/>
        <w:jc w:val="both"/>
      </w:pPr>
      <w:r>
        <w:rPr>
          <w:rFonts w:ascii="Times New Roman" w:hAnsi="Times New Roman"/>
          <w:b w:val="0"/>
          <w:sz w:val="24"/>
        </w:rPr>
        <w:t xml:space="preserve">which omits 2α̂β̂·Cov(α̂, β̂). This omitted term is non-zero in two structurally different situations: (i) a </w:t>
      </w:r>
      <w:r>
        <w:rPr>
          <w:rFonts w:ascii="Times New Roman" w:hAnsi="Times New Roman"/>
          <w:b/>
          <w:sz w:val="24"/>
        </w:rPr>
        <w:t>shared-instrument channel</w:t>
      </w:r>
      <w:r>
        <w:rPr>
          <w:rFonts w:ascii="Times New Roman" w:hAnsi="Times New Roman"/>
          <w:b w:val="0"/>
          <w:sz w:val="24"/>
        </w:rPr>
        <w:t xml:space="preserve">, in which the step-1 and step-2 instrument sets have a non-empty intersection, n_s = |G′_X ∩ G′_M| &gt; 0; and (ii) a </w:t>
      </w:r>
      <w:r>
        <w:rPr>
          <w:rFonts w:ascii="Times New Roman" w:hAnsi="Times New Roman"/>
          <w:b/>
          <w:sz w:val="24"/>
        </w:rPr>
        <w:t>sample-overlap channel</w:t>
      </w:r>
      <w:r>
        <w:rPr>
          <w:rFonts w:ascii="Times New Roman" w:hAnsi="Times New Roman"/>
          <w:b w:val="0"/>
          <w:sz w:val="24"/>
        </w:rPr>
        <w:t>, in which the mediator and outcome GWAS share participants, inducing a non-zero residual correlation ρ_MY between the two regression errors even when the instrument sets are disjoint. Under a standard IVW data-generating process the covariance decomposes as</w:t>
      </w:r>
    </w:p>
    <w:p>
      <w:pPr>
        <w:spacing w:before="120" w:after="120"/>
        <w:jc w:val="center"/>
      </w:pPr>
      <w:r>
        <w:drawing>
          <wp:inline xmlns:a="http://schemas.openxmlformats.org/drawingml/2006/main" xmlns:pic="http://schemas.openxmlformats.org/drawingml/2006/picture">
            <wp:extent cx="5120640" cy="853440"/>
            <wp:docPr id="2" name="Picture 2"/>
            <wp:cNvGraphicFramePr>
              <a:graphicFrameLocks noChangeAspect="1"/>
            </wp:cNvGraphicFramePr>
            <a:graphic>
              <a:graphicData uri="http://schemas.openxmlformats.org/drawingml/2006/picture">
                <pic:pic>
                  <pic:nvPicPr>
                    <pic:cNvPr id="0" name="eq2.png"/>
                    <pic:cNvPicPr/>
                  </pic:nvPicPr>
                  <pic:blipFill>
                    <a:blip r:embed="rId10"/>
                    <a:stretch>
                      <a:fillRect/>
                    </a:stretch>
                  </pic:blipFill>
                  <pic:spPr>
                    <a:xfrm>
                      <a:off x="0" y="0"/>
                      <a:ext cx="5120640" cy="853440"/>
                    </a:xfrm>
                    <a:prstGeom prst="rect"/>
                  </pic:spPr>
                </pic:pic>
              </a:graphicData>
            </a:graphic>
          </wp:inline>
        </w:drawing>
      </w:r>
    </w:p>
    <w:p>
      <w:pPr>
        <w:ind w:firstLine="480"/>
        <w:jc w:val="both"/>
      </w:pPr>
      <w:r>
        <w:rPr>
          <w:rFonts w:ascii="Times New Roman" w:hAnsi="Times New Roman"/>
          <w:b w:val="0"/>
          <w:sz w:val="24"/>
        </w:rPr>
        <w:t>where Cov_shared captures the contribution of the n_s SNPs that enter both regressions and Cov_overlap captures the ρ_MY channel. The corrected variance of the indirect effect is therefore</w:t>
      </w:r>
    </w:p>
    <w:p>
      <w:pPr>
        <w:spacing w:before="120" w:after="120"/>
        <w:jc w:val="center"/>
      </w:pPr>
      <w:r>
        <w:drawing>
          <wp:inline xmlns:a="http://schemas.openxmlformats.org/drawingml/2006/main" xmlns:pic="http://schemas.openxmlformats.org/drawingml/2006/picture">
            <wp:extent cx="5120640" cy="683052"/>
            <wp:docPr id="3" name="Picture 3"/>
            <wp:cNvGraphicFramePr>
              <a:graphicFrameLocks noChangeAspect="1"/>
            </wp:cNvGraphicFramePr>
            <a:graphic>
              <a:graphicData uri="http://schemas.openxmlformats.org/drawingml/2006/picture">
                <pic:pic>
                  <pic:nvPicPr>
                    <pic:cNvPr id="0" name="eq3.png"/>
                    <pic:cNvPicPr/>
                  </pic:nvPicPr>
                  <pic:blipFill>
                    <a:blip r:embed="rId11"/>
                    <a:stretch>
                      <a:fillRect/>
                    </a:stretch>
                  </pic:blipFill>
                  <pic:spPr>
                    <a:xfrm>
                      <a:off x="0" y="0"/>
                      <a:ext cx="5120640" cy="683052"/>
                    </a:xfrm>
                    <a:prstGeom prst="rect"/>
                  </pic:spPr>
                </pic:pic>
              </a:graphicData>
            </a:graphic>
          </wp:inline>
        </w:drawing>
      </w:r>
    </w:p>
    <w:p>
      <w:pPr>
        <w:ind w:firstLine="480"/>
        <w:jc w:val="both"/>
      </w:pPr>
      <w:r>
        <w:rPr>
          <w:rFonts w:ascii="Times New Roman" w:hAnsi="Times New Roman"/>
          <w:b w:val="0"/>
          <w:sz w:val="24"/>
        </w:rPr>
        <w:t>Because the correction rests on a first-order delta approximation, we also derive a single conservative relative-error bound</w:t>
      </w:r>
    </w:p>
    <w:p>
      <w:pPr>
        <w:spacing w:before="120" w:after="120"/>
        <w:jc w:val="center"/>
      </w:pPr>
      <w:r>
        <w:drawing>
          <wp:inline xmlns:a="http://schemas.openxmlformats.org/drawingml/2006/main" xmlns:pic="http://schemas.openxmlformats.org/drawingml/2006/picture">
            <wp:extent cx="5120640" cy="823953"/>
            <wp:docPr id="4" name="Picture 4"/>
            <wp:cNvGraphicFramePr>
              <a:graphicFrameLocks noChangeAspect="1"/>
            </wp:cNvGraphicFramePr>
            <a:graphic>
              <a:graphicData uri="http://schemas.openxmlformats.org/drawingml/2006/picture">
                <pic:pic>
                  <pic:nvPicPr>
                    <pic:cNvPr id="0" name="eq4.png"/>
                    <pic:cNvPicPr/>
                  </pic:nvPicPr>
                  <pic:blipFill>
                    <a:blip r:embed="rId12"/>
                    <a:stretch>
                      <a:fillRect/>
                    </a:stretch>
                  </pic:blipFill>
                  <pic:spPr>
                    <a:xfrm>
                      <a:off x="0" y="0"/>
                      <a:ext cx="5120640" cy="823953"/>
                    </a:xfrm>
                    <a:prstGeom prst="rect"/>
                  </pic:spPr>
                </pic:pic>
              </a:graphicData>
            </a:graphic>
          </wp:inline>
        </w:drawing>
      </w:r>
    </w:p>
    <w:p>
      <w:pPr>
        <w:ind w:firstLine="480"/>
        <w:jc w:val="both"/>
      </w:pPr>
      <w:r>
        <w:rPr>
          <w:rFonts w:ascii="Times New Roman" w:hAnsi="Times New Roman"/>
          <w:b w:val="0"/>
          <w:sz w:val="24"/>
        </w:rPr>
        <w:t>with a default relative-error budget ε = 0.10. The bound is sufficient: B &lt; ε guarantees reliability, and it is deliberately not tight — across the validation grid the observed relative error is typically 5–20× smaller than B, so B should be read as a safety threshold for triggering the Monte Carlo fallback rather than as an estimate of the actual error. Cells with weak instruments (F &lt; 15) and high shared-instrument proportion (π_shared &gt; 0.5) are flagged for a Monte Carlo cross-check (Supplementary Methods S6.3).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b/>
          <w:sz w:val="24"/>
        </w:rPr>
        <w:t>Validation.</w:t>
      </w:r>
      <w:r>
        <w:rPr>
          <w:rFonts w:ascii="Times New Roman" w:hAnsi="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Supplementary Table S1). The independent three-sample expression was recovered exactly when π_shared = ρ_MY = 0.</w:t>
      </w:r>
    </w:p>
    <w:p>
      <w:pPr>
        <w:ind w:firstLine="480"/>
        <w:jc w:val="both"/>
      </w:pPr>
      <w:r>
        <w:rPr>
          <w:rFonts w:ascii="Times New Roman" w:hAnsi="Times New Roman"/>
          <w:b/>
          <w:sz w:val="24"/>
        </w:rPr>
        <w:t>Literature coding.</w:t>
      </w:r>
      <w:r>
        <w:rPr>
          <w:rFonts w:ascii="Times New Roman" w:hAnsi="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S2).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b/>
          <w:sz w:val="24"/>
        </w:rPr>
        <w:t>Real-data application.</w:t>
      </w:r>
      <w:r>
        <w:rPr>
          <w:rFonts w:ascii="Times New Roman" w:hAnsi="Times New Roman"/>
          <w:b w:val="0"/>
          <w:sz w:val="24"/>
        </w:rPr>
        <w:t xml:space="preserve"> Summary statistics came from IEU OpenGWAS </w:t>
      </w:r>
      <w:r>
        <w:rPr>
          <w:rFonts w:ascii="Times New Roman" w:hAnsi="Times New Roman"/>
          <w:b w:val="0"/>
          <w:sz w:val="24"/>
          <w:vertAlign w:val="superscript"/>
        </w:rPr>
        <w:t>16</w:t>
      </w:r>
      <w:r>
        <w:rPr>
          <w:rFonts w:ascii="Times New Roman" w:hAnsi="Times New Roman"/>
          <w:b w:val="0"/>
          <w:sz w:val="24"/>
        </w:rPr>
        <w:t xml:space="preserve">. Per-study re-estimation used inverse-variance weighting via the TwoSampleMR package (mr_ivw) with clumped instruments </w:t>
      </w:r>
      <w:r>
        <w:rPr>
          <w:rFonts w:ascii="Times New Roman" w:hAnsi="Times New Roman"/>
          <w:b w:val="0"/>
          <w:sz w:val="24"/>
          <w:vertAlign w:val="superscript"/>
        </w:rPr>
        <w:t>17</w:t>
      </w:r>
      <w:r>
        <w:rPr>
          <w:rFonts w:ascii="Times New Roman" w:hAnsi="Times New Roman"/>
          <w:b w:val="0"/>
          <w:sz w:val="24"/>
        </w:rPr>
        <w:t xml:space="preserve">. Weak-instrument robustness was enforced at the F &gt; 10 threshold </w:t>
      </w:r>
      <w:r>
        <w:rPr>
          <w:rFonts w:ascii="Times New Roman" w:hAnsi="Times New Roman"/>
          <w:b w:val="0"/>
          <w:sz w:val="24"/>
          <w:vertAlign w:val="superscript"/>
        </w:rPr>
        <w:t>18</w:t>
      </w:r>
      <w:r>
        <w:rPr>
          <w:rFonts w:ascii="Times New Roman" w:hAnsi="Times New Roman"/>
          <w:b w:val="0"/>
          <w:sz w:val="24"/>
        </w:rPr>
        <w:t xml:space="preserve">, and multivariable extensions follow the weak- and pleiotropy-robust testing of Sanderson et al. </w:t>
      </w:r>
      <w:r>
        <w:rPr>
          <w:rFonts w:ascii="Times New Roman" w:hAnsi="Times New Roman"/>
          <w:b w:val="0"/>
          <w:sz w:val="24"/>
          <w:vertAlign w:val="superscript"/>
        </w:rPr>
        <w:t>19</w:t>
      </w:r>
      <w:r>
        <w:rPr>
          <w:rFonts w:ascii="Times New Roman" w:hAnsi="Times New Roman"/>
          <w:b w:val="0"/>
          <w:sz w:val="24"/>
        </w:rPr>
        <w:t xml:space="preserve">. LD Score regression separates polygenicity from confounding </w:t>
      </w:r>
      <w:r>
        <w:rPr>
          <w:rFonts w:ascii="Times New Roman" w:hAnsi="Times New Roman"/>
          <w:b w:val="0"/>
          <w:sz w:val="24"/>
          <w:vertAlign w:val="superscript"/>
        </w:rPr>
        <w:t>20</w:t>
      </w:r>
      <w:r>
        <w:rPr>
          <w:rFonts w:ascii="Times New Roman" w:hAnsi="Times New Roman"/>
          <w:b w:val="0"/>
          <w:sz w:val="24"/>
        </w:rPr>
        <w:t xml:space="preserve">, and our target estimand follows the causal-estimand framework of Yao et al. </w:t>
      </w:r>
      <w:r>
        <w:rPr>
          <w:rFonts w:ascii="Times New Roman" w:hAnsi="Times New Roman"/>
          <w:b w:val="0"/>
          <w:sz w:val="24"/>
          <w:vertAlign w:val="superscript"/>
        </w:rPr>
        <w:t>21</w:t>
      </w:r>
      <w:r>
        <w:rPr>
          <w:rFonts w:ascii="Times New Roman" w:hAnsi="Times New Roman"/>
          <w:b w:val="0"/>
          <w:sz w:val="24"/>
        </w:rPr>
        <w:t>. The pipeline was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 Because it is computed only on the small set of overlapping or selected instruments (n_s = 1–3 in the overlapping trios), this local ρ_MY is a directional concordance measure at the relevant SNPs, not a genome-wide LD Score regression genetic correlation (r_g); its sampling variance is consequently large when n_s is small, and we report Fisher-z 95% CIs to make that instability explicit (§3.5).</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b/>
          <w:sz w:val="23"/>
        </w:rPr>
        <w:t>3.1.1 When does the correction change significance? A flip-probability scan</w:t>
      </w:r>
    </w:p>
    <w:p>
      <w:pPr>
        <w:ind w:firstLine="480"/>
        <w:jc w:val="both"/>
      </w:pPr>
      <w:r>
        <w:rPr>
          <w:rFonts w:ascii="Times New Roman" w:hAnsi="Times New Roman"/>
          <w:b w:val="0"/>
          <w:sz w:val="24"/>
        </w:rPr>
        <w:t xml:space="preserve">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w:t>
      </w:r>
      <w:r>
        <w:rPr>
          <w:rFonts w:ascii="Times New Roman" w:hAnsi="Times New Roman"/>
          <w:b w:val="0"/>
          <w:i/>
          <w:sz w:val="24"/>
        </w:rPr>
        <w:t>gain</w:t>
      </w:r>
      <w:r>
        <w:rPr>
          <w:rFonts w:ascii="Times New Roman" w:hAnsi="Times New Roman"/>
          <w:b w:val="0"/>
          <w:sz w:val="24"/>
        </w:rPr>
        <w:t xml:space="preserve"> significance (turn a naively non-significant result significant) and never remove it. The grid-wide maximum flip probability in the concordant arm is 5.7% (at F = 30, ρ_MY = 0, π_shared = 1.0, λ ≈ 2.0); the F = 10 panel displayed in Supplementary Fig. S3 peaks at 5.1%, and only 3/100 design points exceed 5%. Under discordant mediation or sample overlap the covariance is positive and the corrected SE is larger, so the correction can </w:t>
      </w:r>
      <w:r>
        <w:rPr>
          <w:rFonts w:ascii="Times New Roman" w:hAnsi="Times New Roman"/>
          <w:b w:val="0"/>
          <w:i/>
          <w:sz w:val="24"/>
        </w:rPr>
        <w:t>lose</w:t>
      </w:r>
      <w:r>
        <w:rPr>
          <w:rFonts w:ascii="Times New Roman" w:hAnsi="Times New Roman"/>
          <w:b w:val="0"/>
          <w:sz w:val="24"/>
        </w:rPr>
        <w:t xml:space="preserv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S3).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b/>
          <w:sz w:val="24"/>
        </w:rPr>
        <w:t>3.2 Empirical prevalence of overlap-prone designs</w:t>
      </w:r>
    </w:p>
    <w:p>
      <w:pPr>
        <w:ind w:firstLine="480"/>
        <w:jc w:val="both"/>
      </w:pPr>
      <w:r>
        <w:rPr>
          <w:rFonts w:ascii="Times New Roman" w:hAnsi="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b/>
          <w:sz w:val="24"/>
        </w:rPr>
        <w:t>no study is correctly labeled as a merged-pool design in 695 coded studies</w:t>
      </w:r>
      <w:r>
        <w:rPr>
          <w:rFonts w:ascii="Times New Roman" w:hAnsi="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b/>
          <w:sz w:val="24"/>
        </w:rPr>
        <w:t>39.3% (95% CI 34.2-44.7%)</w:t>
      </w:r>
      <w:r>
        <w:rPr>
          <w:rFonts w:ascii="Times New Roman" w:hAnsi="Times New Roman"/>
          <w:b w:val="0"/>
          <w:sz w:val="24"/>
        </w:rPr>
        <w:t xml:space="preserve"> of the 333 studies draw instruments from overlapping GWAS pools without disclosing overlap handling and are therefore capable of non-zero Cov(α̂, β̂) (conservative 9.3% [95% CI 6.6-12.9%], structural 41.1% [95% CI 36.0-46.5%]; Fig. 3).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 This matters because S110 is a genuine published merged-pool analysis that was simply mislabeled as a different design — it proves the maximal-overlap regime the correction targets is not a theoretical construct but a design the literature already runs, only without the overlap being acknowledged; the same silence is what leaves an opposite-signed trio (§3.7) unable to report whether its correction widens.</w:t>
      </w:r>
    </w:p>
    <w:p>
      <w:pPr>
        <w:ind w:firstLine="480"/>
        <w:jc w:val="both"/>
      </w:pPr>
      <w:r>
        <w:rPr>
          <w:rFonts w:ascii="Times New Roman" w:hAnsi="Times New Roman"/>
          <w:b/>
          <w:sz w:val="24"/>
        </w:rPr>
        <w:t>Reproducibility.</w:t>
      </w:r>
      <w:r>
        <w:rPr>
          <w:rFonts w:ascii="Times New Roman" w:hAnsi="Times New Roman"/>
          <w:b w:val="0"/>
          <w:sz w:val="24"/>
        </w:rPr>
        <w:t xml:space="preserve"> A second blinded coding pass by co-author C. Yan (C.Y.)—independent of the original coder (J.W., excluded) and blind to the sealed answer key—on a stratified 50-study sample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ind w:firstLine="480"/>
        <w:jc w:val="both"/>
      </w:pPr>
      <w:r>
        <w:rPr>
          <w:rFonts w:ascii="Times New Roman" w:hAnsi="Times New Roman"/>
          <w:b/>
          <w:sz w:val="24"/>
        </w:rPr>
        <w:t>Which coded fields are load-bearing.</w:t>
      </w:r>
      <w:r>
        <w:rPr>
          <w:rFonts w:ascii="Times New Roman" w:hAnsi="Times New Roman"/>
          <w:b w:val="0"/>
          <w:sz w:val="24"/>
        </w:rPr>
        <w:t xml:space="preserve"> The lowest-reliability field, IV_selection_strategy (κ = 0.44), carries no reported result anywhere in this paper; it is coded and reported for transparency and reuse, but no estimate depends on it. The headline prevalence estimate (39.3%) rests on only two judgments: design_type, on which agreement was complete (100.0% observed agreement, PABAK 1.00), and the </w:t>
      </w:r>
      <w:r>
        <w:rPr>
          <w:rFonts w:ascii="Times New Roman" w:hAnsi="Times New Roman"/>
          <w:b w:val="0"/>
          <w:i/>
          <w:sz w:val="24"/>
        </w:rPr>
        <w:t>absence</w:t>
      </w:r>
      <w:r>
        <w:rPr>
          <w:rFonts w:ascii="Times New Roman" w:hAnsi="Times New Roman"/>
          <w:b w:val="0"/>
          <w:sz w:val="24"/>
        </w:rPr>
        <w:t xml:space="preserve"> of any statement about overlap handling. Two features make this attribution favourable. First, judging that a study does </w:t>
      </w:r>
      <w:r>
        <w:rPr>
          <w:rFonts w:ascii="Times New Roman" w:hAnsi="Times New Roman"/>
          <w:b w:val="0"/>
          <w:i/>
          <w:sz w:val="24"/>
        </w:rPr>
        <w:t>not</w:t>
      </w:r>
      <w:r>
        <w:rPr>
          <w:rFonts w:ascii="Times New Roman" w:hAnsi="Times New Roman"/>
          <w:b w:val="0"/>
          <w:sz w:val="24"/>
        </w:rPr>
        <w:t xml:space="preserve"> disclose something is an absence judgment, which is mechanically more reproducible than assigning a positive category, so the κ = 0.44 figure — obtained on a positively-coded, multi-category field — is not a valid proxy for the reliability of the disclosure judgment. Second, and more decisively, the direction of any residual error is one-sided: a disagreement can only reclassify a study as "did disclose", which removes it from the numerator and </w:t>
      </w:r>
      <w:r>
        <w:rPr>
          <w:rFonts w:ascii="Times New Roman" w:hAnsi="Times New Roman"/>
          <w:b w:val="0"/>
          <w:i/>
          <w:sz w:val="24"/>
        </w:rPr>
        <w:t>lowers</w:t>
      </w:r>
      <w:r>
        <w:rPr>
          <w:rFonts w:ascii="Times New Roman" w:hAnsi="Times New Roman"/>
          <w:b w:val="0"/>
          <w:sz w:val="24"/>
        </w:rPr>
        <w:t xml:space="preserve"> the estimate. The 39.3% headline is therefore conservative with respect to coding error, and the paper's central claim — that overlap is rarely disclosed — cannot be an artifact of the modest agreement observed on the non-load-bearing field.</w:t>
      </w:r>
    </w:p>
    <w:p>
      <w:pPr>
        <w:spacing w:before="200" w:after="80"/>
        <w:jc w:val="left"/>
      </w:pPr>
      <w:r>
        <w:rPr>
          <w:rFonts w:ascii="Times New Roman" w:hAnsi="Times New Roman"/>
          <w:b/>
          <w:sz w:val="24"/>
        </w:rPr>
        <w:t>3.3 Real-data illustration: BMI → waist → CHD</w:t>
      </w:r>
    </w:p>
    <w:p>
      <w:pPr>
        <w:ind w:firstLine="480"/>
        <w:jc w:val="both"/>
      </w:pPr>
      <w:r>
        <w:rPr>
          <w:rFonts w:ascii="Times New Roman" w:hAnsi="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1,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W w:type="dxa" w:w="960"/>
            <w:tcBorders>
              <w:bottom w:val="single" w:sz="6" w:space="0" w:color="auto"/>
            </w:tcBorders>
          </w:tcPr>
          <w:p>
            <w:r/>
            <w:r>
              <w:rPr>
                <w:rFonts w:ascii="Times New Roman" w:hAnsi="Times New Roman"/>
                <w:b/>
                <w:sz w:val="19"/>
              </w:rPr>
              <w:t>design</w:t>
            </w:r>
          </w:p>
        </w:tc>
        <w:tc>
          <w:tcPr>
            <w:tcW w:type="dxa" w:w="960"/>
            <w:tcBorders>
              <w:bottom w:val="single" w:sz="6" w:space="0" w:color="auto"/>
            </w:tcBorders>
          </w:tcPr>
          <w:p>
            <w:r/>
            <w:r>
              <w:rPr>
                <w:rFonts w:ascii="Times New Roman" w:hAnsi="Times New Roman"/>
                <w:b/>
                <w:sz w:val="19"/>
              </w:rPr>
              <w:t>ρ_MY</w:t>
            </w:r>
          </w:p>
        </w:tc>
        <w:tc>
          <w:tcPr>
            <w:tcW w:type="dxa" w:w="960"/>
            <w:tcBorders>
              <w:bottom w:val="single" w:sz="6" w:space="0" w:color="auto"/>
            </w:tcBorders>
          </w:tcPr>
          <w:p>
            <w:r/>
            <w:r>
              <w:rPr>
                <w:rFonts w:ascii="Times New Roman" w:hAnsi="Times New Roman"/>
                <w:b/>
                <w:sz w:val="19"/>
              </w:rPr>
              <w:t>n_s</w:t>
            </w:r>
          </w:p>
        </w:tc>
        <w:tc>
          <w:tcPr>
            <w:tcW w:type="dxa" w:w="960"/>
            <w:tcBorders>
              <w:bottom w:val="single" w:sz="6" w:space="0" w:color="auto"/>
            </w:tcBorders>
          </w:tcPr>
          <w:p>
            <w:r/>
            <w:r>
              <w:rPr>
                <w:rFonts w:ascii="Times New Roman" w:hAnsi="Times New Roman"/>
                <w:b/>
                <w:sz w:val="19"/>
              </w:rPr>
              <w:t>α̂ (SE)</w:t>
            </w:r>
          </w:p>
        </w:tc>
        <w:tc>
          <w:tcPr>
            <w:tcW w:type="dxa" w:w="960"/>
            <w:tcBorders>
              <w:bottom w:val="single" w:sz="6" w:space="0" w:color="auto"/>
            </w:tcBorders>
          </w:tcPr>
          <w:p>
            <w:r/>
            <w:r>
              <w:rPr>
                <w:rFonts w:ascii="Times New Roman" w:hAnsi="Times New Roman"/>
                <w:b/>
                <w:sz w:val="19"/>
              </w:rPr>
              <w:t>β̂ (SE)</w:t>
            </w:r>
          </w:p>
        </w:tc>
        <w:tc>
          <w:tcPr>
            <w:tcW w:type="dxa" w:w="960"/>
            <w:tcBorders>
              <w:bottom w:val="single" w:sz="6" w:space="0" w:color="auto"/>
            </w:tcBorders>
          </w:tcPr>
          <w:p>
            <w:r/>
            <w:r>
              <w:rPr>
                <w:rFonts w:ascii="Times New Roman" w:hAnsi="Times New Roman"/>
                <w:b/>
                <w:sz w:val="19"/>
              </w:rPr>
              <w:t>indirect</w:t>
            </w:r>
          </w:p>
        </w:tc>
        <w:tc>
          <w:tcPr>
            <w:tcW w:type="dxa" w:w="960"/>
            <w:tcBorders>
              <w:bottom w:val="single" w:sz="6" w:space="0" w:color="auto"/>
            </w:tcBorders>
          </w:tcPr>
          <w:p>
            <w:r/>
            <w:r>
              <w:rPr>
                <w:rFonts w:ascii="Times New Roman" w:hAnsi="Times New Roman"/>
                <w:b/>
                <w:sz w:val="19"/>
              </w:rPr>
              <w:t>SE_naive</w:t>
            </w:r>
          </w:p>
        </w:tc>
        <w:tc>
          <w:tcPr>
            <w:tcW w:type="dxa" w:w="960"/>
            <w:tcBorders>
              <w:bottom w:val="single" w:sz="6" w:space="0" w:color="auto"/>
            </w:tcBorders>
          </w:tcPr>
          <w:p>
            <w:r/>
            <w:r>
              <w:rPr>
                <w:rFonts w:ascii="Times New Roman" w:hAnsi="Times New Roman"/>
                <w:b/>
                <w:sz w:val="19"/>
              </w:rPr>
              <w:t>SE_corr</w:t>
            </w:r>
          </w:p>
        </w:tc>
        <w:tc>
          <w:tcPr>
            <w:tcW w:type="dxa" w:w="960"/>
            <w:tcBorders>
              <w:bottom w:val="single" w:sz="6" w:space="0" w:color="auto"/>
            </w:tcBorders>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1.</w:t>
      </w:r>
      <w:r>
        <w:rPr>
          <w:rFonts w:ascii="Times New Roman" w:hAnsi="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b/>
          <w:sz w:val="24"/>
        </w:rPr>
        <w:t>3.4 Empirical batch re-estimation</w:t>
      </w:r>
    </w:p>
    <w:p>
      <w:pPr>
        <w:ind w:firstLine="480"/>
        <w:jc w:val="both"/>
      </w:pPr>
      <w:r>
        <w:rPr>
          <w:rFonts w:ascii="Times New Roman" w:hAnsi="Times New Roman"/>
          <w:b w:val="0"/>
          <w:sz w:val="24"/>
        </w:rPr>
        <w:t xml:space="preserve">To test the correction on realised data at scale, we re-estimated every coded study whose exposure, mediator and outcome all resolved to public GWAS accessions (n = 113) directly from OpenGWAS summary statistics, using an all-Python pipeline (harmonized fixed-effects IVW plus the S10 correction) that does not depend on the TwoSampleMR harmonisation which earlier failed on two FinnGen outcomes. Of 113, 108 re-estimations succeeded and 5 were skipped for accession-resolution or network errors (S210, S173, S255, S291, S326). </w:t>
      </w:r>
      <w:r>
        <w:rPr>
          <w:rFonts w:ascii="Times New Roman" w:hAnsi="Times New Roman"/>
          <w:b/>
          <w:sz w:val="24"/>
        </w:rPr>
        <w:t>Seven (6.5% [95% CI 3.2–12.8%]) of the 108 showed genuine instrument overlap (n_s = 1–3, π_shared = 0.019–1.0).</w:t>
      </w:r>
      <w:r>
        <w:rPr>
          <w:rFonts w:ascii="Times New Roman" w:hAnsi="Times New Roman"/>
          <w:b w:val="0"/>
          <w:sz w:val="24"/>
        </w:rPr>
        <w:t xml:space="preserve"> Every overlapping trio was same-sign, so the correction narrowed every CI (−0.2% to −16.0% among the non-degenerate trios, −32.8% including the degenerate S293). Two of the seven (S320, S293) are methodologically degenerate: their exposure and mediator resolve to the </w:t>
      </w:r>
      <w:r>
        <w:rPr>
          <w:rFonts w:ascii="Times New Roman" w:hAnsi="Times New Roman"/>
          <w:b w:val="0"/>
          <w:i/>
          <w:sz w:val="24"/>
        </w:rPr>
        <w:t>same</w:t>
      </w:r>
      <w:r>
        <w:rPr>
          <w:rFonts w:ascii="Times New Roman" w:hAnsi="Times New Roman"/>
          <w:b w:val="0"/>
          <w:sz w:val="24"/>
        </w:rPr>
        <w:t xml:space="preserve"> GWAS accession, giving α̂ = 1.0 exactly and π_shared = 1.0 — a self-mediating (non-mediation) design rather than a substantive pathway. Among the remaining </w:t>
      </w:r>
      <w:r>
        <w:rPr>
          <w:rFonts w:ascii="Times New Roman" w:hAnsi="Times New Roman"/>
          <w:b/>
          <w:sz w:val="24"/>
        </w:rPr>
        <w:t>five non-degenerate overlapping trios, zero changed significance (0/5 flips)</w:t>
      </w:r>
      <w:r>
        <w:rPr>
          <w:rFonts w:ascii="Times New Roman" w:hAnsi="Times New Roman"/>
          <w:b w:val="0"/>
          <w:sz w:val="24"/>
        </w:rPr>
        <w:t xml:space="preserve"> and all corrections narrowed the CI.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Supplementary Fig. S4 shows the SE-change forest across the overlapping trios.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Borders>
              <w:bottom w:val="single" w:sz="6" w:space="0" w:color="auto"/>
            </w:tcBorders>
          </w:tcPr>
          <w:p>
            <w:r/>
            <w:r>
              <w:rPr>
                <w:rFonts w:ascii="Times New Roman" w:hAnsi="Times New Roman"/>
                <w:b/>
                <w:sz w:val="19"/>
              </w:rPr>
              <w:t>Study</w:t>
            </w:r>
          </w:p>
        </w:tc>
        <w:tc>
          <w:tcPr>
            <w:tcW w:type="dxa" w:w="576"/>
            <w:tcBorders>
              <w:bottom w:val="single" w:sz="6" w:space="0" w:color="auto"/>
            </w:tcBorders>
          </w:tcPr>
          <w:p>
            <w:r/>
            <w:r>
              <w:rPr>
                <w:rFonts w:ascii="Times New Roman" w:hAnsi="Times New Roman"/>
                <w:b/>
                <w:sz w:val="19"/>
              </w:rPr>
              <w:t>Pathway (X → M → Y)</w:t>
            </w:r>
          </w:p>
        </w:tc>
        <w:tc>
          <w:tcPr>
            <w:tcW w:type="dxa" w:w="576"/>
            <w:tcBorders>
              <w:bottom w:val="single" w:sz="6" w:space="0" w:color="auto"/>
            </w:tcBorders>
          </w:tcPr>
          <w:p>
            <w:r/>
            <w:r>
              <w:rPr>
                <w:rFonts w:ascii="Times New Roman" w:hAnsi="Times New Roman"/>
                <w:b/>
                <w:sz w:val="19"/>
              </w:rPr>
              <w:t>n_X</w:t>
            </w:r>
          </w:p>
        </w:tc>
        <w:tc>
          <w:tcPr>
            <w:tcW w:type="dxa" w:w="576"/>
            <w:tcBorders>
              <w:bottom w:val="single" w:sz="6" w:space="0" w:color="auto"/>
            </w:tcBorders>
          </w:tcPr>
          <w:p>
            <w:r/>
            <w:r>
              <w:rPr>
                <w:rFonts w:ascii="Times New Roman" w:hAnsi="Times New Roman"/>
                <w:b/>
                <w:sz w:val="19"/>
              </w:rPr>
              <w:t>n_M</w:t>
            </w:r>
          </w:p>
        </w:tc>
        <w:tc>
          <w:tcPr>
            <w:tcW w:type="dxa" w:w="576"/>
            <w:tcBorders>
              <w:bottom w:val="single" w:sz="6" w:space="0" w:color="auto"/>
            </w:tcBorders>
          </w:tcPr>
          <w:p>
            <w:r/>
            <w:r>
              <w:rPr>
                <w:rFonts w:ascii="Times New Roman" w:hAnsi="Times New Roman"/>
                <w:b/>
                <w:sz w:val="19"/>
              </w:rPr>
              <w:t>n_s</w:t>
            </w:r>
          </w:p>
        </w:tc>
        <w:tc>
          <w:tcPr>
            <w:tcW w:type="dxa" w:w="576"/>
            <w:tcBorders>
              <w:bottom w:val="single" w:sz="6" w:space="0" w:color="auto"/>
            </w:tcBorders>
          </w:tcPr>
          <w:p>
            <w:r/>
            <w:r>
              <w:rPr>
                <w:rFonts w:ascii="Times New Roman" w:hAnsi="Times New Roman"/>
                <w:b/>
                <w:sz w:val="19"/>
              </w:rPr>
              <w:t>π_shared</w:t>
            </w:r>
          </w:p>
        </w:tc>
        <w:tc>
          <w:tcPr>
            <w:tcW w:type="dxa" w:w="576"/>
            <w:tcBorders>
              <w:bottom w:val="single" w:sz="6" w:space="0" w:color="auto"/>
            </w:tcBorders>
          </w:tcPr>
          <w:p>
            <w:r/>
            <w:r>
              <w:rPr>
                <w:rFonts w:ascii="Times New Roman" w:hAnsi="Times New Roman"/>
                <w:b/>
                <w:sz w:val="19"/>
              </w:rPr>
              <w:t>α̂ (SE_α)</w:t>
            </w:r>
          </w:p>
        </w:tc>
        <w:tc>
          <w:tcPr>
            <w:tcW w:type="dxa" w:w="576"/>
            <w:tcBorders>
              <w:bottom w:val="single" w:sz="6" w:space="0" w:color="auto"/>
            </w:tcBorders>
          </w:tcPr>
          <w:p>
            <w:r/>
            <w:r>
              <w:rPr>
                <w:rFonts w:ascii="Times New Roman" w:hAnsi="Times New Roman"/>
                <w:b/>
                <w:sz w:val="19"/>
              </w:rPr>
              <w:t>β̂ (SE_β)</w:t>
            </w:r>
          </w:p>
        </w:tc>
        <w:tc>
          <w:tcPr>
            <w:tcW w:type="dxa" w:w="576"/>
            <w:tcBorders>
              <w:bottom w:val="single" w:sz="6" w:space="0" w:color="auto"/>
            </w:tcBorders>
          </w:tcPr>
          <w:p>
            <w:r/>
            <w:r>
              <w:rPr>
                <w:rFonts w:ascii="Times New Roman" w:hAnsi="Times New Roman"/>
                <w:b/>
                <w:sz w:val="19"/>
              </w:rPr>
              <w:t>indirect</w:t>
            </w:r>
          </w:p>
        </w:tc>
        <w:tc>
          <w:tcPr>
            <w:tcW w:type="dxa" w:w="576"/>
            <w:tcBorders>
              <w:bottom w:val="single" w:sz="6" w:space="0" w:color="auto"/>
            </w:tcBorders>
          </w:tcPr>
          <w:p>
            <w:r/>
            <w:r>
              <w:rPr>
                <w:rFonts w:ascii="Times New Roman" w:hAnsi="Times New Roman"/>
                <w:b/>
                <w:sz w:val="19"/>
              </w:rPr>
              <w:t>SE_naive</w:t>
            </w:r>
          </w:p>
        </w:tc>
        <w:tc>
          <w:tcPr>
            <w:tcW w:type="dxa" w:w="576"/>
            <w:tcBorders>
              <w:bottom w:val="single" w:sz="6" w:space="0" w:color="auto"/>
            </w:tcBorders>
          </w:tcPr>
          <w:p>
            <w:r/>
            <w:r>
              <w:rPr>
                <w:rFonts w:ascii="Times New Roman" w:hAnsi="Times New Roman"/>
                <w:b/>
                <w:sz w:val="19"/>
              </w:rPr>
              <w:t>SE_corr</w:t>
            </w:r>
          </w:p>
        </w:tc>
        <w:tc>
          <w:tcPr>
            <w:tcW w:type="dxa" w:w="576"/>
            <w:tcBorders>
              <w:bottom w:val="single" w:sz="6" w:space="0" w:color="auto"/>
            </w:tcBorders>
          </w:tcPr>
          <w:p>
            <w:r/>
            <w:r>
              <w:rPr>
                <w:rFonts w:ascii="Times New Roman" w:hAnsi="Times New Roman"/>
                <w:b/>
                <w:sz w:val="19"/>
              </w:rPr>
              <w:t>widen_%</w:t>
            </w:r>
          </w:p>
        </w:tc>
        <w:tc>
          <w:tcPr>
            <w:tcW w:type="dxa" w:w="576"/>
            <w:tcBorders>
              <w:bottom w:val="single" w:sz="6" w:space="0" w:color="auto"/>
            </w:tcBorders>
          </w:tcPr>
          <w:p>
            <w:r/>
            <w:r>
              <w:rPr>
                <w:rFonts w:ascii="Times New Roman" w:hAnsi="Times New Roman"/>
                <w:b/>
                <w:sz w:val="19"/>
              </w:rPr>
              <w:t>Naive sig</w:t>
            </w:r>
          </w:p>
        </w:tc>
        <w:tc>
          <w:tcPr>
            <w:tcW w:type="dxa" w:w="576"/>
            <w:tcBorders>
              <w:bottom w:val="single" w:sz="6" w:space="0" w:color="auto"/>
            </w:tcBorders>
          </w:tcPr>
          <w:p>
            <w:r/>
            <w:r>
              <w:rPr>
                <w:rFonts w:ascii="Times New Roman" w:hAnsi="Times New Roman"/>
                <w:b/>
                <w:sz w:val="19"/>
              </w:rPr>
              <w:t>Corr. sig</w:t>
            </w:r>
          </w:p>
        </w:tc>
        <w:tc>
          <w:tcPr>
            <w:tcW w:type="dxa" w:w="576"/>
            <w:tcBorders>
              <w:bottom w:val="single" w:sz="6" w:space="0" w:color="auto"/>
            </w:tcBorders>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0.00378 (0.00096)</w:t>
            </w:r>
          </w:p>
        </w:tc>
        <w:tc>
          <w:tcPr>
            <w:tcW w:type="dxa" w:w="576"/>
          </w:tcPr>
          <w:p>
            <w:r/>
            <w:r>
              <w:rPr>
                <w:rFonts w:ascii="Times New Roman" w:hAnsi="Times New Roman"/>
                <w:sz w:val="19"/>
              </w:rPr>
              <w:t>0.12832 (0.00494)</w:t>
            </w:r>
          </w:p>
        </w:tc>
        <w:tc>
          <w:tcPr>
            <w:tcW w:type="dxa" w:w="576"/>
          </w:tcPr>
          <w:p>
            <w:r/>
            <w:r>
              <w:rPr>
                <w:rFonts w:ascii="Times New Roman" w:hAnsi="Times New Roman"/>
                <w:sz w:val="19"/>
              </w:rPr>
              <w:t>4.9e-04</w:t>
            </w:r>
          </w:p>
        </w:tc>
        <w:tc>
          <w:tcPr>
            <w:tcW w:type="dxa" w:w="576"/>
          </w:tcPr>
          <w:p>
            <w:r/>
            <w:r>
              <w:rPr>
                <w:rFonts w:ascii="Times New Roman" w:hAnsi="Times New Roman"/>
                <w:sz w:val="19"/>
              </w:rPr>
              <w:t>1.3e-04</w:t>
            </w:r>
          </w:p>
        </w:tc>
        <w:tc>
          <w:tcPr>
            <w:tcW w:type="dxa" w:w="576"/>
          </w:tcPr>
          <w:p>
            <w:r/>
            <w:r>
              <w:rPr>
                <w:rFonts w:ascii="Times New Roman" w:hAnsi="Times New Roman"/>
                <w:sz w:val="19"/>
              </w:rPr>
              <w:t>1.1e-04</w:t>
            </w:r>
          </w:p>
        </w:tc>
        <w:tc>
          <w:tcPr>
            <w:tcW w:type="dxa" w:w="576"/>
          </w:tcPr>
          <w:p>
            <w:r/>
            <w:r>
              <w:rPr>
                <w:rFonts w:ascii="Times New Roman" w:hAnsi="Times New Roman"/>
                <w:sz w:val="19"/>
              </w:rPr>
              <w:t>−16.0</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0.04031 (0.01441)</w:t>
            </w:r>
          </w:p>
        </w:tc>
        <w:tc>
          <w:tcPr>
            <w:tcW w:type="dxa" w:w="576"/>
          </w:tcPr>
          <w:p>
            <w:r/>
            <w:r>
              <w:rPr>
                <w:rFonts w:ascii="Times New Roman" w:hAnsi="Times New Roman"/>
                <w:sz w:val="19"/>
              </w:rPr>
              <w:t>0.00178 (0.00106)</w:t>
            </w:r>
          </w:p>
        </w:tc>
        <w:tc>
          <w:tcPr>
            <w:tcW w:type="dxa" w:w="576"/>
          </w:tcPr>
          <w:p>
            <w:r/>
            <w:r>
              <w:rPr>
                <w:rFonts w:ascii="Times New Roman" w:hAnsi="Times New Roman"/>
                <w:sz w:val="19"/>
              </w:rPr>
              <w:t>7.0e-05</w:t>
            </w:r>
          </w:p>
        </w:tc>
        <w:tc>
          <w:tcPr>
            <w:tcW w:type="dxa" w:w="576"/>
          </w:tcPr>
          <w:p>
            <w:r/>
            <w:r>
              <w:rPr>
                <w:rFonts w:ascii="Times New Roman" w:hAnsi="Times New Roman"/>
                <w:sz w:val="19"/>
              </w:rPr>
              <w:t>5.0e-05</w:t>
            </w:r>
          </w:p>
        </w:tc>
        <w:tc>
          <w:tcPr>
            <w:tcW w:type="dxa" w:w="576"/>
          </w:tcPr>
          <w:p>
            <w:r/>
            <w:r>
              <w:rPr>
                <w:rFonts w:ascii="Times New Roman" w:hAnsi="Times New Roman"/>
                <w:sz w:val="19"/>
              </w:rPr>
              <w:t>4.0e-05</w:t>
            </w:r>
          </w:p>
        </w:tc>
        <w:tc>
          <w:tcPr>
            <w:tcW w:type="dxa" w:w="576"/>
          </w:tcPr>
          <w:p>
            <w:r/>
            <w:r>
              <w:rPr>
                <w:rFonts w:ascii="Times New Roman" w:hAnsi="Times New Roman"/>
                <w:sz w:val="19"/>
              </w:rPr>
              <w:t>−14.2</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40.09082 (2.69133)</w:t>
            </w:r>
          </w:p>
        </w:tc>
        <w:tc>
          <w:tcPr>
            <w:tcW w:type="dxa" w:w="576"/>
          </w:tcPr>
          <w:p>
            <w:r/>
            <w:r>
              <w:rPr>
                <w:rFonts w:ascii="Times New Roman" w:hAnsi="Times New Roman"/>
                <w:sz w:val="19"/>
              </w:rPr>
              <w:t>0.17607 (0.03778)</w:t>
            </w:r>
          </w:p>
        </w:tc>
        <w:tc>
          <w:tcPr>
            <w:tcW w:type="dxa" w:w="576"/>
          </w:tcPr>
          <w:p>
            <w:r/>
            <w:r>
              <w:rPr>
                <w:rFonts w:ascii="Times New Roman" w:hAnsi="Times New Roman"/>
                <w:sz w:val="19"/>
              </w:rPr>
              <w:t>7.05891</w:t>
            </w:r>
          </w:p>
        </w:tc>
        <w:tc>
          <w:tcPr>
            <w:tcW w:type="dxa" w:w="576"/>
          </w:tcPr>
          <w:p>
            <w:r/>
            <w:r>
              <w:rPr>
                <w:rFonts w:ascii="Times New Roman" w:hAnsi="Times New Roman"/>
                <w:sz w:val="19"/>
              </w:rPr>
              <w:t>1.58715</w:t>
            </w:r>
          </w:p>
        </w:tc>
        <w:tc>
          <w:tcPr>
            <w:tcW w:type="dxa" w:w="576"/>
          </w:tcPr>
          <w:p>
            <w:r/>
            <w:r>
              <w:rPr>
                <w:rFonts w:ascii="Times New Roman" w:hAnsi="Times New Roman"/>
                <w:sz w:val="19"/>
              </w:rPr>
              <w:t>1.58342</w:t>
            </w:r>
          </w:p>
        </w:tc>
        <w:tc>
          <w:tcPr>
            <w:tcW w:type="dxa" w:w="576"/>
          </w:tcPr>
          <w:p>
            <w:r/>
            <w:r>
              <w:rPr>
                <w:rFonts w:ascii="Times New Roman" w:hAnsi="Times New Roman"/>
                <w:sz w:val="19"/>
              </w:rPr>
              <w:t>−0.2</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0.00721 (0.00081)</w:t>
            </w:r>
          </w:p>
        </w:tc>
        <w:tc>
          <w:tcPr>
            <w:tcW w:type="dxa" w:w="576"/>
          </w:tcPr>
          <w:p>
            <w:r/>
            <w:r>
              <w:rPr>
                <w:rFonts w:ascii="Times New Roman" w:hAnsi="Times New Roman"/>
                <w:sz w:val="19"/>
              </w:rPr>
              <w:t>3.12071 (0.95001)</w:t>
            </w:r>
          </w:p>
        </w:tc>
        <w:tc>
          <w:tcPr>
            <w:tcW w:type="dxa" w:w="576"/>
          </w:tcPr>
          <w:p>
            <w:r/>
            <w:r>
              <w:rPr>
                <w:rFonts w:ascii="Times New Roman" w:hAnsi="Times New Roman"/>
                <w:sz w:val="19"/>
              </w:rPr>
              <w:t>0.02248</w:t>
            </w:r>
          </w:p>
        </w:tc>
        <w:tc>
          <w:tcPr>
            <w:tcW w:type="dxa" w:w="576"/>
          </w:tcPr>
          <w:p>
            <w:r/>
            <w:r>
              <w:rPr>
                <w:rFonts w:ascii="Times New Roman" w:hAnsi="Times New Roman"/>
                <w:sz w:val="19"/>
              </w:rPr>
              <w:t>0.00730</w:t>
            </w:r>
          </w:p>
        </w:tc>
        <w:tc>
          <w:tcPr>
            <w:tcW w:type="dxa" w:w="576"/>
          </w:tcPr>
          <w:p>
            <w:r/>
            <w:r>
              <w:rPr>
                <w:rFonts w:ascii="Times New Roman" w:hAnsi="Times New Roman"/>
                <w:sz w:val="19"/>
              </w:rPr>
              <w:t>0.00721</w:t>
            </w:r>
          </w:p>
        </w:tc>
        <w:tc>
          <w:tcPr>
            <w:tcW w:type="dxa" w:w="576"/>
          </w:tcPr>
          <w:p>
            <w:r/>
            <w:r>
              <w:rPr>
                <w:rFonts w:ascii="Times New Roman" w:hAnsi="Times New Roman"/>
                <w:sz w:val="19"/>
              </w:rPr>
              <w:t>−1.1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S267</w:t>
            </w:r>
          </w:p>
        </w:tc>
        <w:tc>
          <w:tcPr>
            <w:tcW w:type="dxa" w:w="576"/>
          </w:tcPr>
          <w:p>
            <w:r/>
            <w:r>
              <w:rPr>
                <w:rFonts w:ascii="Times New Roman" w:hAnsi="Times New Roman"/>
                <w:sz w:val="19"/>
              </w:rPr>
              <w:t>vitamin D → lipids → ocular disorders</w:t>
            </w:r>
          </w:p>
        </w:tc>
        <w:tc>
          <w:tcPr>
            <w:tcW w:type="dxa" w:w="576"/>
          </w:tcPr>
          <w:p>
            <w:r/>
            <w:r>
              <w:rPr>
                <w:rFonts w:ascii="Times New Roman" w:hAnsi="Times New Roman"/>
                <w:sz w:val="19"/>
              </w:rPr>
              <w:t>88</w:t>
            </w:r>
          </w:p>
        </w:tc>
        <w:tc>
          <w:tcPr>
            <w:tcW w:type="dxa" w:w="576"/>
          </w:tcPr>
          <w:p>
            <w:r/>
            <w:r>
              <w:rPr>
                <w:rFonts w:ascii="Times New Roman" w:hAnsi="Times New Roman"/>
                <w:sz w:val="19"/>
              </w:rPr>
              <w:t>53</w:t>
            </w:r>
          </w:p>
        </w:tc>
        <w:tc>
          <w:tcPr>
            <w:tcW w:type="dxa" w:w="576"/>
          </w:tcPr>
          <w:p>
            <w:r/>
            <w:r>
              <w:rPr>
                <w:rFonts w:ascii="Times New Roman" w:hAnsi="Times New Roman"/>
                <w:sz w:val="19"/>
              </w:rPr>
              <w:t>3</w:t>
            </w:r>
          </w:p>
        </w:tc>
        <w:tc>
          <w:tcPr>
            <w:tcW w:type="dxa" w:w="576"/>
          </w:tcPr>
          <w:p>
            <w:r/>
            <w:r>
              <w:rPr>
                <w:rFonts w:ascii="Times New Roman" w:hAnsi="Times New Roman"/>
                <w:sz w:val="19"/>
              </w:rPr>
              <w:t>0.0566</w:t>
            </w:r>
          </w:p>
        </w:tc>
        <w:tc>
          <w:tcPr>
            <w:tcW w:type="dxa" w:w="576"/>
          </w:tcPr>
          <w:p>
            <w:r/>
            <w:r>
              <w:rPr>
                <w:rFonts w:ascii="Times New Roman" w:hAnsi="Times New Roman"/>
                <w:sz w:val="19"/>
              </w:rPr>
              <w:t>−0.01081 (0.01407)</w:t>
            </w:r>
          </w:p>
        </w:tc>
        <w:tc>
          <w:tcPr>
            <w:tcW w:type="dxa" w:w="576"/>
          </w:tcPr>
          <w:p>
            <w:r/>
            <w:r>
              <w:rPr>
                <w:rFonts w:ascii="Times New Roman" w:hAnsi="Times New Roman"/>
                <w:sz w:val="19"/>
              </w:rPr>
              <w:t>−0.169 (0.05426)</w:t>
            </w:r>
          </w:p>
        </w:tc>
        <w:tc>
          <w:tcPr>
            <w:tcW w:type="dxa" w:w="576"/>
          </w:tcPr>
          <w:p>
            <w:r/>
            <w:r>
              <w:rPr>
                <w:rFonts w:ascii="Times New Roman" w:hAnsi="Times New Roman"/>
                <w:sz w:val="19"/>
              </w:rPr>
              <w:t>0.00183</w:t>
            </w:r>
          </w:p>
        </w:tc>
        <w:tc>
          <w:tcPr>
            <w:tcW w:type="dxa" w:w="576"/>
          </w:tcPr>
          <w:p>
            <w:r/>
            <w:r>
              <w:rPr>
                <w:rFonts w:ascii="Times New Roman" w:hAnsi="Times New Roman"/>
                <w:sz w:val="19"/>
              </w:rPr>
              <w:t>0.00245</w:t>
            </w:r>
          </w:p>
        </w:tc>
        <w:tc>
          <w:tcPr>
            <w:tcW w:type="dxa" w:w="576"/>
          </w:tcPr>
          <w:p>
            <w:r/>
            <w:r>
              <w:rPr>
                <w:rFonts w:ascii="Times New Roman" w:hAnsi="Times New Roman"/>
                <w:sz w:val="19"/>
              </w:rPr>
              <w:t>0.00241</w:t>
            </w:r>
          </w:p>
        </w:tc>
        <w:tc>
          <w:tcPr>
            <w:tcW w:type="dxa" w:w="576"/>
          </w:tcPr>
          <w:p>
            <w:r/>
            <w:r>
              <w:rPr>
                <w:rFonts w:ascii="Times New Roman" w:hAnsi="Times New Roman"/>
                <w:sz w:val="19"/>
              </w:rPr>
              <w:t>−1.6</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S320</w:t>
            </w:r>
          </w:p>
        </w:tc>
        <w:tc>
          <w:tcPr>
            <w:tcW w:type="dxa" w:w="576"/>
          </w:tcPr>
          <w:p>
            <w:r/>
            <w:r>
              <w:rPr>
                <w:rFonts w:ascii="Times New Roman" w:hAnsi="Times New Roman"/>
                <w:sz w:val="19"/>
              </w:rPr>
              <w:t>genes (eQTL/pQTL) → circulating metabolites → sepsis</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(0.12449)</w:t>
            </w:r>
          </w:p>
        </w:tc>
        <w:tc>
          <w:tcPr>
            <w:tcW w:type="dxa" w:w="576"/>
          </w:tcPr>
          <w:p>
            <w:r/>
            <w:r>
              <w:rPr>
                <w:rFonts w:ascii="Times New Roman" w:hAnsi="Times New Roman"/>
                <w:sz w:val="19"/>
              </w:rPr>
              <w:t>3.39987 (1.79212)</w:t>
            </w:r>
          </w:p>
        </w:tc>
        <w:tc>
          <w:tcPr>
            <w:tcW w:type="dxa" w:w="576"/>
          </w:tcPr>
          <w:p>
            <w:r/>
            <w:r>
              <w:rPr>
                <w:rFonts w:ascii="Times New Roman" w:hAnsi="Times New Roman"/>
                <w:sz w:val="19"/>
              </w:rPr>
              <w:t>3.39987</w:t>
            </w:r>
          </w:p>
        </w:tc>
        <w:tc>
          <w:tcPr>
            <w:tcW w:type="dxa" w:w="576"/>
          </w:tcPr>
          <w:p>
            <w:r/>
            <w:r>
              <w:rPr>
                <w:rFonts w:ascii="Times New Roman" w:hAnsi="Times New Roman"/>
                <w:sz w:val="19"/>
              </w:rPr>
              <w:t>1.84142</w:t>
            </w:r>
          </w:p>
        </w:tc>
        <w:tc>
          <w:tcPr>
            <w:tcW w:type="dxa" w:w="576"/>
          </w:tcPr>
          <w:p>
            <w:r/>
            <w:r>
              <w:rPr>
                <w:rFonts w:ascii="Times New Roman" w:hAnsi="Times New Roman"/>
                <w:sz w:val="19"/>
              </w:rPr>
              <w:t>1.72112</w:t>
            </w:r>
          </w:p>
        </w:tc>
        <w:tc>
          <w:tcPr>
            <w:tcW w:type="dxa" w:w="576"/>
          </w:tcPr>
          <w:p>
            <w:r/>
            <w:r>
              <w:rPr>
                <w:rFonts w:ascii="Times New Roman" w:hAnsi="Times New Roman"/>
                <w:sz w:val="19"/>
              </w:rPr>
              <w:t>−6.5</w:t>
            </w:r>
          </w:p>
        </w:tc>
        <w:tc>
          <w:tcPr>
            <w:tcW w:type="dxa" w:w="576"/>
          </w:tcPr>
          <w:p>
            <w:r/>
            <w:r>
              <w:rPr>
                <w:rFonts w:ascii="Times New Roman" w:hAnsi="Times New Roman"/>
                <w:sz w:val="19"/>
              </w:rPr>
              <w:t>no</w:t>
            </w:r>
          </w:p>
        </w:tc>
        <w:tc>
          <w:tcPr>
            <w:tcW w:type="dxa" w:w="576"/>
          </w:tcPr>
          <w:p>
            <w:r/>
            <w:r>
              <w:rPr>
                <w:rFonts w:ascii="Times New Roman" w:hAnsi="Times New Roman"/>
                <w:sz w:val="19"/>
              </w:rPr>
              <w:t>yes</w:t>
            </w:r>
          </w:p>
        </w:tc>
        <w:tc>
          <w:tcPr>
            <w:tcW w:type="dxa" w:w="576"/>
          </w:tcPr>
          <w:p>
            <w:r/>
            <w:r>
              <w:rPr>
                <w:rFonts w:ascii="Times New Roman" w:hAnsi="Times New Roman"/>
                <w:sz w:val="19"/>
              </w:rPr>
              <w:t>gain*</w:t>
            </w:r>
          </w:p>
        </w:tc>
      </w:tr>
      <w:tr>
        <w:tc>
          <w:tcPr>
            <w:tcW w:type="dxa" w:w="576"/>
          </w:tcPr>
          <w:p>
            <w:r/>
            <w:r>
              <w:rPr>
                <w:rFonts w:ascii="Times New Roman" w:hAnsi="Times New Roman"/>
                <w:sz w:val="19"/>
              </w:rPr>
              <w:t>S293</w:t>
            </w:r>
          </w:p>
        </w:tc>
        <w:tc>
          <w:tcPr>
            <w:tcW w:type="dxa" w:w="576"/>
          </w:tcPr>
          <w:p>
            <w:r/>
            <w:r>
              <w:rPr>
                <w:rFonts w:ascii="Times New Roman" w:hAnsi="Times New Roman"/>
                <w:sz w:val="19"/>
              </w:rPr>
              <w:t>BMI → 4907 plasma proteins → cardiometabolic</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(0.10665)</w:t>
            </w:r>
          </w:p>
        </w:tc>
        <w:tc>
          <w:tcPr>
            <w:tcW w:type="dxa" w:w="576"/>
          </w:tcPr>
          <w:p>
            <w:r/>
            <w:r>
              <w:rPr>
                <w:rFonts w:ascii="Times New Roman" w:hAnsi="Times New Roman"/>
                <w:sz w:val="19"/>
              </w:rPr>
              <w:t>0.00415 (0.00148)</w:t>
            </w:r>
          </w:p>
        </w:tc>
        <w:tc>
          <w:tcPr>
            <w:tcW w:type="dxa" w:w="576"/>
          </w:tcPr>
          <w:p>
            <w:r/>
            <w:r>
              <w:rPr>
                <w:rFonts w:ascii="Times New Roman" w:hAnsi="Times New Roman"/>
                <w:sz w:val="19"/>
              </w:rPr>
              <w:t>0.00415</w:t>
            </w:r>
          </w:p>
        </w:tc>
        <w:tc>
          <w:tcPr>
            <w:tcW w:type="dxa" w:w="576"/>
          </w:tcPr>
          <w:p>
            <w:r/>
            <w:r>
              <w:rPr>
                <w:rFonts w:ascii="Times New Roman" w:hAnsi="Times New Roman"/>
                <w:sz w:val="19"/>
              </w:rPr>
              <w:t>0.00154</w:t>
            </w:r>
          </w:p>
        </w:tc>
        <w:tc>
          <w:tcPr>
            <w:tcW w:type="dxa" w:w="576"/>
          </w:tcPr>
          <w:p>
            <w:r/>
            <w:r>
              <w:rPr>
                <w:rFonts w:ascii="Times New Roman" w:hAnsi="Times New Roman"/>
                <w:sz w:val="19"/>
              </w:rPr>
              <w:t>0.00104</w:t>
            </w:r>
          </w:p>
        </w:tc>
        <w:tc>
          <w:tcPr>
            <w:tcW w:type="dxa" w:w="576"/>
          </w:tcPr>
          <w:p>
            <w:r/>
            <w:r>
              <w:rPr>
                <w:rFonts w:ascii="Times New Roman" w:hAnsi="Times New Roman"/>
                <w:sz w:val="19"/>
              </w:rPr>
              <w:t>−32.8</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2.</w:t>
      </w:r>
      <w:r>
        <w:rPr>
          <w:rFonts w:ascii="Times New Roman" w:hAnsi="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S10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b w:val="0"/>
          <w:i/>
          <w:sz w:val="24"/>
        </w:rPr>
        <w:t>Note (full):</w:t>
      </w:r>
      <w:r>
        <w:rPr>
          <w:rFonts w:ascii="Times New Roman" w:hAnsi="Times New Roman"/>
          <w:b w:val="0"/>
          <w:sz w:val="24"/>
        </w:rPr>
        <w:t xml:space="preserve">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Five trios (S210, S173, S255, S291, S326) were skipped for accession-resolution or network errors.</w:t>
      </w:r>
    </w:p>
    <w:p>
      <w:pPr>
        <w:spacing w:before="200" w:after="80"/>
        <w:jc w:val="left"/>
      </w:pPr>
      <w:r>
        <w:rPr>
          <w:rFonts w:ascii="Times New Roman" w:hAnsi="Times New Roman"/>
          <w:b/>
          <w:sz w:val="24"/>
        </w:rPr>
        <w:t>3.4.1 Horizontal pleiotropy sensitivity</w:t>
      </w:r>
    </w:p>
    <w:p>
      <w:pPr>
        <w:ind w:firstLine="480"/>
        <w:jc w:val="both"/>
      </w:pPr>
      <w:r>
        <w:rPr>
          <w:rFonts w:ascii="Times New Roman" w:hAnsi="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(script M4c, deposited). The covariance correction is a variance adjustment conditional on the point estimates; if pleiotropy reversed the sign of α̂ or β̂, the direction of Cov(α̂, β̂) — and therefore whether the correction narrows or widens — could change, so this is the relevant robustness check.</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W w:type="dxa" w:w="1234"/>
            <w:tcBorders>
              <w:bottom w:val="single" w:sz="6" w:space="0" w:color="auto"/>
            </w:tcBorders>
          </w:tcPr>
          <w:p>
            <w:r/>
            <w:r>
              <w:rPr>
                <w:rFonts w:ascii="Times New Roman" w:hAnsi="Times New Roman"/>
                <w:b/>
                <w:sz w:val="19"/>
              </w:rPr>
              <w:t>Study</w:t>
            </w:r>
          </w:p>
        </w:tc>
        <w:tc>
          <w:tcPr>
            <w:tcW w:type="dxa" w:w="1234"/>
            <w:tcBorders>
              <w:bottom w:val="single" w:sz="6" w:space="0" w:color="auto"/>
            </w:tcBorders>
          </w:tcPr>
          <w:p>
            <w:r/>
            <w:r>
              <w:rPr>
                <w:rFonts w:ascii="Times New Roman" w:hAnsi="Times New Roman"/>
                <w:b/>
                <w:sz w:val="19"/>
              </w:rPr>
              <w:t>Step</w:t>
            </w:r>
          </w:p>
        </w:tc>
        <w:tc>
          <w:tcPr>
            <w:tcW w:type="dxa" w:w="1234"/>
            <w:tcBorders>
              <w:bottom w:val="single" w:sz="6" w:space="0" w:color="auto"/>
            </w:tcBorders>
          </w:tcPr>
          <w:p>
            <w:r/>
            <w:r>
              <w:rPr>
                <w:rFonts w:ascii="Times New Roman" w:hAnsi="Times New Roman"/>
                <w:b/>
                <w:sz w:val="19"/>
              </w:rPr>
              <w:t>n_IV</w:t>
            </w:r>
          </w:p>
        </w:tc>
        <w:tc>
          <w:tcPr>
            <w:tcW w:type="dxa" w:w="1234"/>
            <w:tcBorders>
              <w:bottom w:val="single" w:sz="6" w:space="0" w:color="auto"/>
            </w:tcBorders>
          </w:tcPr>
          <w:p>
            <w:r/>
            <w:r>
              <w:rPr>
                <w:rFonts w:ascii="Times New Roman" w:hAnsi="Times New Roman"/>
                <w:b/>
                <w:sz w:val="19"/>
              </w:rPr>
              <w:t>Egger β₀</w:t>
            </w:r>
          </w:p>
        </w:tc>
        <w:tc>
          <w:tcPr>
            <w:tcW w:type="dxa" w:w="1234"/>
            <w:tcBorders>
              <w:bottom w:val="single" w:sz="6" w:space="0" w:color="auto"/>
            </w:tcBorders>
          </w:tcPr>
          <w:p>
            <w:r/>
            <w:r>
              <w:rPr>
                <w:rFonts w:ascii="Times New Roman" w:hAnsi="Times New Roman"/>
                <w:b/>
                <w:sz w:val="19"/>
              </w:rPr>
              <w:t>p</w:t>
            </w:r>
          </w:p>
        </w:tc>
        <w:tc>
          <w:tcPr>
            <w:tcW w:type="dxa" w:w="1234"/>
            <w:tcBorders>
              <w:bottom w:val="single" w:sz="6" w:space="0" w:color="auto"/>
            </w:tcBorders>
          </w:tcPr>
          <w:p>
            <w:r/>
            <w:r>
              <w:rPr>
                <w:rFonts w:ascii="Times New Roman" w:hAnsi="Times New Roman"/>
                <w:b/>
                <w:sz w:val="19"/>
              </w:rPr>
              <w:t>WM slope</w:t>
            </w:r>
          </w:p>
        </w:tc>
        <w:tc>
          <w:tcPr>
            <w:tcW w:type="dxa" w:w="1234"/>
            <w:tcBorders>
              <w:bottom w:val="single" w:sz="6" w:space="0" w:color="auto"/>
            </w:tcBorders>
          </w:tcPr>
          <w:p>
            <w:r/>
            <w:r>
              <w:rPr>
                <w:rFonts w:ascii="Times New Roman" w:hAnsi="Times New Roman"/>
                <w:b/>
                <w:sz w:val="19"/>
              </w:rPr>
              <w:t>Sign agrees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X→M</w:t>
            </w:r>
          </w:p>
        </w:tc>
        <w:tc>
          <w:tcPr>
            <w:tcW w:type="dxa" w:w="1234"/>
          </w:tcPr>
          <w:p>
            <w:r/>
            <w:r>
              <w:rPr>
                <w:rFonts w:ascii="Times New Roman" w:hAnsi="Times New Roman"/>
                <w:sz w:val="19"/>
              </w:rPr>
              <w:t>17</w:t>
            </w:r>
          </w:p>
        </w:tc>
        <w:tc>
          <w:tcPr>
            <w:tcW w:type="dxa" w:w="1234"/>
          </w:tcPr>
          <w:p>
            <w:r/>
            <w:r>
              <w:rPr>
                <w:rFonts w:ascii="Times New Roman" w:hAnsi="Times New Roman"/>
                <w:sz w:val="19"/>
              </w:rPr>
              <w:t>−0.0004</w:t>
            </w:r>
          </w:p>
        </w:tc>
        <w:tc>
          <w:tcPr>
            <w:tcW w:type="dxa" w:w="1234"/>
          </w:tcPr>
          <w:p>
            <w:r/>
            <w:r>
              <w:rPr>
                <w:rFonts w:ascii="Times New Roman" w:hAnsi="Times New Roman"/>
                <w:sz w:val="19"/>
              </w:rPr>
              <w:t>0.73</w:t>
            </w:r>
          </w:p>
        </w:tc>
        <w:tc>
          <w:tcPr>
            <w:tcW w:type="dxa" w:w="1234"/>
          </w:tcPr>
          <w:p>
            <w:r/>
            <w:r>
              <w:rPr>
                <w:rFonts w:ascii="Times New Roman" w:hAnsi="Times New Roman"/>
                <w:sz w:val="19"/>
              </w:rPr>
              <w:t>−0.0021</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M→Y</w:t>
            </w:r>
          </w:p>
        </w:tc>
        <w:tc>
          <w:tcPr>
            <w:tcW w:type="dxa" w:w="1234"/>
          </w:tcPr>
          <w:p>
            <w:r/>
            <w:r>
              <w:rPr>
                <w:rFonts w:ascii="Times New Roman" w:hAnsi="Times New Roman"/>
                <w:sz w:val="19"/>
              </w:rPr>
              <w:t>203</w:t>
            </w:r>
          </w:p>
        </w:tc>
        <w:tc>
          <w:tcPr>
            <w:tcW w:type="dxa" w:w="1234"/>
          </w:tcPr>
          <w:p>
            <w:r/>
            <w:r>
              <w:rPr>
                <w:rFonts w:ascii="Times New Roman" w:hAnsi="Times New Roman"/>
                <w:sz w:val="19"/>
              </w:rPr>
              <w:t>0.0001</w:t>
            </w:r>
          </w:p>
        </w:tc>
        <w:tc>
          <w:tcPr>
            <w:tcW w:type="dxa" w:w="1234"/>
          </w:tcPr>
          <w:p>
            <w:r/>
            <w:r>
              <w:rPr>
                <w:rFonts w:ascii="Times New Roman" w:hAnsi="Times New Roman"/>
                <w:sz w:val="19"/>
              </w:rPr>
              <w:t>1.0e-3</w:t>
            </w:r>
          </w:p>
        </w:tc>
        <w:tc>
          <w:tcPr>
            <w:tcW w:type="dxa" w:w="1234"/>
          </w:tcPr>
          <w:p>
            <w:r/>
            <w:r>
              <w:rPr>
                <w:rFonts w:ascii="Times New Roman" w:hAnsi="Times New Roman"/>
                <w:sz w:val="19"/>
              </w:rPr>
              <w:t>0.2856</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X→M</w:t>
            </w:r>
          </w:p>
        </w:tc>
        <w:tc>
          <w:tcPr>
            <w:tcW w:type="dxa" w:w="1234"/>
          </w:tcPr>
          <w:p>
            <w:r/>
            <w:r>
              <w:rPr>
                <w:rFonts w:ascii="Times New Roman" w:hAnsi="Times New Roman"/>
                <w:sz w:val="19"/>
              </w:rPr>
              <w:t>27</w:t>
            </w:r>
          </w:p>
        </w:tc>
        <w:tc>
          <w:tcPr>
            <w:tcW w:type="dxa" w:w="1234"/>
          </w:tcPr>
          <w:p>
            <w:r/>
            <w:r>
              <w:rPr>
                <w:rFonts w:ascii="Times New Roman" w:hAnsi="Times New Roman"/>
                <w:sz w:val="19"/>
              </w:rPr>
              <w:t>−0.0011</w:t>
            </w:r>
          </w:p>
        </w:tc>
        <w:tc>
          <w:tcPr>
            <w:tcW w:type="dxa" w:w="1234"/>
          </w:tcPr>
          <w:p>
            <w:r/>
            <w:r>
              <w:rPr>
                <w:rFonts w:ascii="Times New Roman" w:hAnsi="Times New Roman"/>
                <w:sz w:val="19"/>
              </w:rPr>
              <w:t>0.58</w:t>
            </w:r>
          </w:p>
        </w:tc>
        <w:tc>
          <w:tcPr>
            <w:tcW w:type="dxa" w:w="1234"/>
          </w:tcPr>
          <w:p>
            <w:r/>
            <w:r>
              <w:rPr>
                <w:rFonts w:ascii="Times New Roman" w:hAnsi="Times New Roman"/>
                <w:sz w:val="19"/>
              </w:rPr>
              <w:t>0.0524</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M→Y</w:t>
            </w:r>
          </w:p>
        </w:tc>
        <w:tc>
          <w:tcPr>
            <w:tcW w:type="dxa" w:w="1234"/>
          </w:tcPr>
          <w:p>
            <w:r/>
            <w:r>
              <w:rPr>
                <w:rFonts w:ascii="Times New Roman" w:hAnsi="Times New Roman"/>
                <w:sz w:val="19"/>
              </w:rPr>
              <w:t>220</w:t>
            </w:r>
          </w:p>
        </w:tc>
        <w:tc>
          <w:tcPr>
            <w:tcW w:type="dxa" w:w="1234"/>
          </w:tcPr>
          <w:p>
            <w:r/>
            <w:r>
              <w:rPr>
                <w:rFonts w:ascii="Times New Roman" w:hAnsi="Times New Roman"/>
                <w:sz w:val="19"/>
              </w:rPr>
              <w:t>0.0000</w:t>
            </w:r>
          </w:p>
        </w:tc>
        <w:tc>
          <w:tcPr>
            <w:tcW w:type="dxa" w:w="1234"/>
          </w:tcPr>
          <w:p>
            <w:r/>
            <w:r>
              <w:rPr>
                <w:rFonts w:ascii="Times New Roman" w:hAnsi="Times New Roman"/>
                <w:sz w:val="19"/>
              </w:rPr>
              <w:t>0.58</w:t>
            </w:r>
          </w:p>
        </w:tc>
        <w:tc>
          <w:tcPr>
            <w:tcW w:type="dxa" w:w="1234"/>
          </w:tcPr>
          <w:p>
            <w:r/>
            <w:r>
              <w:rPr>
                <w:rFonts w:ascii="Times New Roman" w:hAnsi="Times New Roman"/>
                <w:sz w:val="19"/>
              </w:rPr>
              <w:t>−0.0143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X→M</w:t>
            </w:r>
          </w:p>
        </w:tc>
        <w:tc>
          <w:tcPr>
            <w:tcW w:type="dxa" w:w="1234"/>
          </w:tcPr>
          <w:p>
            <w:r/>
            <w:r>
              <w:rPr>
                <w:rFonts w:ascii="Times New Roman" w:hAnsi="Times New Roman"/>
                <w:sz w:val="19"/>
              </w:rPr>
              <w:t>6</w:t>
            </w:r>
          </w:p>
        </w:tc>
        <w:tc>
          <w:tcPr>
            <w:tcW w:type="dxa" w:w="1234"/>
          </w:tcPr>
          <w:p>
            <w:r/>
            <w:r>
              <w:rPr>
                <w:rFonts w:ascii="Times New Roman" w:hAnsi="Times New Roman"/>
                <w:sz w:val="19"/>
              </w:rPr>
              <w:t>0.0039</w:t>
            </w:r>
          </w:p>
        </w:tc>
        <w:tc>
          <w:tcPr>
            <w:tcW w:type="dxa" w:w="1234"/>
          </w:tcPr>
          <w:p>
            <w:r/>
            <w:r>
              <w:rPr>
                <w:rFonts w:ascii="Times New Roman" w:hAnsi="Times New Roman"/>
                <w:sz w:val="19"/>
              </w:rPr>
              <w:t>0.93</w:t>
            </w:r>
          </w:p>
        </w:tc>
        <w:tc>
          <w:tcPr>
            <w:tcW w:type="dxa" w:w="1234"/>
          </w:tcPr>
          <w:p>
            <w:r/>
            <w:r>
              <w:rPr>
                <w:rFonts w:ascii="Times New Roman" w:hAnsi="Times New Roman"/>
                <w:sz w:val="19"/>
              </w:rPr>
              <w:t>60.8063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M→Y</w:t>
            </w:r>
          </w:p>
        </w:tc>
        <w:tc>
          <w:tcPr>
            <w:tcW w:type="dxa" w:w="1234"/>
          </w:tcPr>
          <w:p>
            <w:r/>
            <w:r>
              <w:rPr>
                <w:rFonts w:ascii="Times New Roman" w:hAnsi="Times New Roman"/>
                <w:sz w:val="19"/>
              </w:rPr>
              <w:t>10</w:t>
            </w:r>
          </w:p>
        </w:tc>
        <w:tc>
          <w:tcPr>
            <w:tcW w:type="dxa" w:w="1234"/>
          </w:tcPr>
          <w:p>
            <w:r/>
            <w:r>
              <w:rPr>
                <w:rFonts w:ascii="Times New Roman" w:hAnsi="Times New Roman"/>
                <w:sz w:val="19"/>
              </w:rPr>
              <w:t>−0.0170</w:t>
            </w:r>
          </w:p>
        </w:tc>
        <w:tc>
          <w:tcPr>
            <w:tcW w:type="dxa" w:w="1234"/>
          </w:tcPr>
          <w:p>
            <w:r/>
            <w:r>
              <w:rPr>
                <w:rFonts w:ascii="Times New Roman" w:hAnsi="Times New Roman"/>
                <w:sz w:val="19"/>
              </w:rPr>
              <w:t>2.7e-4</w:t>
            </w:r>
          </w:p>
        </w:tc>
        <w:tc>
          <w:tcPr>
            <w:tcW w:type="dxa" w:w="1234"/>
          </w:tcPr>
          <w:p>
            <w:r/>
            <w:r>
              <w:rPr>
                <w:rFonts w:ascii="Times New Roman" w:hAnsi="Times New Roman"/>
                <w:sz w:val="19"/>
              </w:rPr>
              <w:t>0.3345</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X→M</w:t>
            </w:r>
          </w:p>
        </w:tc>
        <w:tc>
          <w:tcPr>
            <w:tcW w:type="dxa" w:w="1234"/>
          </w:tcPr>
          <w:p>
            <w:r/>
            <w:r>
              <w:rPr>
                <w:rFonts w:ascii="Times New Roman" w:hAnsi="Times New Roman"/>
                <w:sz w:val="19"/>
              </w:rPr>
              <w:t>439</w:t>
            </w:r>
          </w:p>
        </w:tc>
        <w:tc>
          <w:tcPr>
            <w:tcW w:type="dxa" w:w="1234"/>
          </w:tcPr>
          <w:p>
            <w:r/>
            <w:r>
              <w:rPr>
                <w:rFonts w:ascii="Times New Roman" w:hAnsi="Times New Roman"/>
                <w:sz w:val="19"/>
              </w:rPr>
              <w:t>0.0000</w:t>
            </w:r>
          </w:p>
        </w:tc>
        <w:tc>
          <w:tcPr>
            <w:tcW w:type="dxa" w:w="1234"/>
          </w:tcPr>
          <w:p>
            <w:r/>
            <w:r>
              <w:rPr>
                <w:rFonts w:ascii="Times New Roman" w:hAnsi="Times New Roman"/>
                <w:sz w:val="19"/>
              </w:rPr>
              <w:t>4.2e-3</w:t>
            </w:r>
          </w:p>
        </w:tc>
        <w:tc>
          <w:tcPr>
            <w:tcW w:type="dxa" w:w="1234"/>
          </w:tcPr>
          <w:p>
            <w:r/>
            <w:r>
              <w:rPr>
                <w:rFonts w:ascii="Times New Roman" w:hAnsi="Times New Roman"/>
                <w:sz w:val="19"/>
              </w:rPr>
              <w:t>−0.0258</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M→Y</w:t>
            </w:r>
          </w:p>
        </w:tc>
        <w:tc>
          <w:tcPr>
            <w:tcW w:type="dxa" w:w="1234"/>
          </w:tcPr>
          <w:p>
            <w:r/>
            <w:r>
              <w:rPr>
                <w:rFonts w:ascii="Times New Roman" w:hAnsi="Times New Roman"/>
                <w:sz w:val="19"/>
              </w:rPr>
              <w:t>13</w:t>
            </w:r>
          </w:p>
        </w:tc>
        <w:tc>
          <w:tcPr>
            <w:tcW w:type="dxa" w:w="1234"/>
          </w:tcPr>
          <w:p>
            <w:r/>
            <w:r>
              <w:rPr>
                <w:rFonts w:ascii="Times New Roman" w:hAnsi="Times New Roman"/>
                <w:sz w:val="19"/>
              </w:rPr>
              <w:t>−0.0012</w:t>
            </w:r>
          </w:p>
        </w:tc>
        <w:tc>
          <w:tcPr>
            <w:tcW w:type="dxa" w:w="1234"/>
          </w:tcPr>
          <w:p>
            <w:r/>
            <w:r>
              <w:rPr>
                <w:rFonts w:ascii="Times New Roman" w:hAnsi="Times New Roman"/>
                <w:sz w:val="19"/>
              </w:rPr>
              <w:t>0.87</w:t>
            </w:r>
          </w:p>
        </w:tc>
        <w:tc>
          <w:tcPr>
            <w:tcW w:type="dxa" w:w="1234"/>
          </w:tcPr>
          <w:p>
            <w:r/>
            <w:r>
              <w:rPr>
                <w:rFonts w:ascii="Times New Roman" w:hAnsi="Times New Roman"/>
                <w:sz w:val="19"/>
              </w:rPr>
              <w:t>2.4023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X→M</w:t>
            </w:r>
          </w:p>
        </w:tc>
        <w:tc>
          <w:tcPr>
            <w:tcW w:type="dxa" w:w="1234"/>
          </w:tcPr>
          <w:p>
            <w:r/>
            <w:r>
              <w:rPr>
                <w:rFonts w:ascii="Times New Roman" w:hAnsi="Times New Roman"/>
                <w:sz w:val="19"/>
              </w:rPr>
              <w:t>88</w:t>
            </w:r>
          </w:p>
        </w:tc>
        <w:tc>
          <w:tcPr>
            <w:tcW w:type="dxa" w:w="1234"/>
          </w:tcPr>
          <w:p>
            <w:r/>
            <w:r>
              <w:rPr>
                <w:rFonts w:ascii="Times New Roman" w:hAnsi="Times New Roman"/>
                <w:sz w:val="19"/>
              </w:rPr>
              <w:t>−0.0012</w:t>
            </w:r>
          </w:p>
        </w:tc>
        <w:tc>
          <w:tcPr>
            <w:tcW w:type="dxa" w:w="1234"/>
          </w:tcPr>
          <w:p>
            <w:r/>
            <w:r>
              <w:rPr>
                <w:rFonts w:ascii="Times New Roman" w:hAnsi="Times New Roman"/>
                <w:sz w:val="19"/>
              </w:rPr>
              <w:t>0.74</w:t>
            </w:r>
          </w:p>
        </w:tc>
        <w:tc>
          <w:tcPr>
            <w:tcW w:type="dxa" w:w="1234"/>
          </w:tcPr>
          <w:p>
            <w:r/>
            <w:r>
              <w:rPr>
                <w:rFonts w:ascii="Times New Roman" w:hAnsi="Times New Roman"/>
                <w:sz w:val="19"/>
              </w:rPr>
              <w:t>−1.9002</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M→Y</w:t>
            </w:r>
          </w:p>
        </w:tc>
        <w:tc>
          <w:tcPr>
            <w:tcW w:type="dxa" w:w="1234"/>
          </w:tcPr>
          <w:p>
            <w:r/>
            <w:r>
              <w:rPr>
                <w:rFonts w:ascii="Times New Roman" w:hAnsi="Times New Roman"/>
                <w:sz w:val="19"/>
              </w:rPr>
              <w:t>47</w:t>
            </w:r>
          </w:p>
        </w:tc>
        <w:tc>
          <w:tcPr>
            <w:tcW w:type="dxa" w:w="1234"/>
          </w:tcPr>
          <w:p>
            <w:r/>
            <w:r>
              <w:rPr>
                <w:rFonts w:ascii="Times New Roman" w:hAnsi="Times New Roman"/>
                <w:sz w:val="19"/>
              </w:rPr>
              <w:t>0.0029</w:t>
            </w:r>
          </w:p>
        </w:tc>
        <w:tc>
          <w:tcPr>
            <w:tcW w:type="dxa" w:w="1234"/>
          </w:tcPr>
          <w:p>
            <w:r/>
            <w:r>
              <w:rPr>
                <w:rFonts w:ascii="Times New Roman" w:hAnsi="Times New Roman"/>
                <w:sz w:val="19"/>
              </w:rPr>
              <w:t>0.20</w:t>
            </w:r>
          </w:p>
        </w:tc>
        <w:tc>
          <w:tcPr>
            <w:tcW w:type="dxa" w:w="1234"/>
          </w:tcPr>
          <w:p>
            <w:r/>
            <w:r>
              <w:rPr>
                <w:rFonts w:ascii="Times New Roman" w:hAnsi="Times New Roman"/>
                <w:sz w:val="19"/>
              </w:rPr>
              <w:t>−0.6870</w:t>
            </w:r>
          </w:p>
        </w:tc>
        <w:tc>
          <w:tcPr>
            <w:tcW w:type="dxa" w:w="1234"/>
          </w:tcPr>
          <w:p>
            <w:r/>
            <w:r>
              <w:rPr>
                <w:rFonts w:ascii="Times New Roman" w:hAnsi="Times New Roman"/>
                <w:sz w:val="19"/>
              </w:rPr>
              <w:t>yes</w:t>
            </w:r>
          </w:p>
        </w:tc>
      </w:tr>
    </w:tbl>
    <w:p>
      <w:pPr>
        <w:jc w:val="left"/>
      </w:pPr>
      <w:r>
        <w:rPr>
          <w:rFonts w:ascii="Times New Roman" w:hAnsi="Times New Roman"/>
          <w:b/>
          <w:i/>
          <w:sz w:val="20"/>
        </w:rPr>
        <w:t>Table 2b.</w:t>
      </w:r>
      <w:r>
        <w:rPr>
          <w:rFonts w:ascii="Times New Roman" w:hAnsi="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"Sign agrees" compares the WM slope with the IVW point estimate of the same step.</w:t>
      </w:r>
    </w:p>
    <w:p>
      <w:pPr>
        <w:ind w:firstLine="480"/>
        <w:jc w:val="both"/>
      </w:pPr>
      <w:r>
        <w:rPr>
          <w:rFonts w:ascii="Times New Roman" w:hAnsi="Times New Roman"/>
          <w:b w:val="0"/>
          <w:sz w:val="24"/>
        </w:rPr>
        <w:t xml:space="preserve">Across all ten step-level tests the weighted-median slope agrees in sign with the IVW estimate, so no horizontal pleiotropy reverses the direction of α̂ or β̂. Three tests carry p &lt; 0.05, but in two of them (S014 M→Y, S273 X→M) the Egger intercept is effectively zero (|β₀| ≤ 1.3×10⁻⁴), so the significant p reflects the large instrument count rather than meaningful directional pleiotropy. The remaining signal, S217 M→Y (β₀ = −0.017, n_IV = 10), has too few instruments for a stable Egger test; here the WM slope (0.33) is larger than but same-signed as the IVW estimate (0.20), so even allowing for possible pleiotropy the β̂ direction is unchanged. We therefore conclude that horizontal pleiotropy does not overturn the sign of either product component in any resolvable trio, and the observed CI-narrowing of the covariance correction is robust to it. (The correction itself does not remove pleiotropy bias in the point estimate; it corrects the </w:t>
      </w:r>
      <w:r>
        <w:rPr>
          <w:rFonts w:ascii="Times New Roman" w:hAnsi="Times New Roman"/>
          <w:b w:val="0"/>
          <w:i/>
          <w:sz w:val="24"/>
        </w:rPr>
        <w:t>variance</w:t>
      </w:r>
      <w:r>
        <w:rPr>
          <w:rFonts w:ascii="Times New Roman" w:hAnsi="Times New Roman"/>
          <w:b w:val="0"/>
          <w:sz w:val="24"/>
        </w:rPr>
        <w:t xml:space="preserv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b/>
          <w:sz w:val="24"/>
        </w:rPr>
        <w:t>3.5 Empirical ρ_MY in the overlapping trios</w:t>
      </w:r>
    </w:p>
    <w:p>
      <w:pPr>
        <w:ind w:firstLine="480"/>
        <w:jc w:val="both"/>
      </w:pPr>
      <w:r>
        <w:rPr>
          <w:rFonts w:ascii="Times New Roman" w:hAnsi="Times New Roman"/>
          <w:b w:val="0"/>
          <w:sz w:val="24"/>
        </w:rPr>
        <w:t xml:space="preserve">Treating ρ_MY as 0 leaves the central warning theoretical; we therefore estimated it empirically for the overlapping trios as genetic concordance at the instrumental SNPs (six resolved through the TwoSampleMR-compatible ρ_MY scan in Table 2c; the all-Python batch in §3.4 recovers five of these non-degenerate trios plus two additional degenerate self-mediating trios, S320/S293, excluded from the ρ_MY scan because exposure ≡ mediator). In </w:t>
      </w:r>
      <w:r>
        <w:rPr>
          <w:rFonts w:ascii="Times New Roman" w:hAnsi="Times New Roman"/>
          <w:b/>
          <w:sz w:val="24"/>
        </w:rPr>
        <w:t>five of six</w:t>
      </w:r>
      <w:r>
        <w:rPr>
          <w:rFonts w:ascii="Times New Roman" w:hAnsi="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b/>
          <w:sz w:val="24"/>
        </w:rPr>
        <w:t>Despite uniformly positive (or high-overlap) ρ_MY, re-entering the empirical values narrowed every corrected CI by at most 0.4 percentage points with zero flips</w:t>
      </w:r>
      <w:r>
        <w:rPr>
          <w:rFonts w:ascii="Times New Roman" w:hAnsi="Times New Roman"/>
          <w:b w:val="0"/>
          <w:sz w:val="24"/>
        </w:rPr>
        <w:t xml:space="preserve"> (Table 2c);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 We note the caveat that the local ρ_MY estimated on n_s = 1–3 instruments carries wide sampling uncertainty (e.g., S217, n_s = 1, has ρ_g 95% CI [0.37, 0.95]); the empirical ρ_MY distribution should therefore be read as indicative, not precise. Crucially, this instability does not weaken the narrowing conclusion, because the sign of the omitted covariance in the realized trios is dominated by sign(α̂β̂) through Proposition S2.5 (an instrument-overlap effect) rather than by the exact value of ρ_MY, so the worst-case upper-CI substitution in Table 2c leaves every conclusion unchanged.</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665"/>
        <w:gridCol w:w="665"/>
        <w:gridCol w:w="665"/>
        <w:gridCol w:w="665"/>
        <w:gridCol w:w="665"/>
        <w:gridCol w:w="665"/>
        <w:gridCol w:w="665"/>
        <w:gridCol w:w="665"/>
        <w:gridCol w:w="665"/>
        <w:gridCol w:w="665"/>
        <w:gridCol w:w="665"/>
        <w:gridCol w:w="665"/>
        <w:gridCol w:w="665"/>
      </w:tblGrid>
      <w:tr>
        <w:tc>
          <w:tcPr>
            <w:tcW w:type="dxa" w:w="665"/>
            <w:tcBorders>
              <w:bottom w:val="single" w:sz="6" w:space="0" w:color="auto"/>
            </w:tcBorders>
          </w:tcPr>
          <w:p>
            <w:r/>
            <w:r>
              <w:rPr>
                <w:rFonts w:ascii="Times New Roman" w:hAnsi="Times New Roman"/>
                <w:b/>
                <w:sz w:val="19"/>
              </w:rPr>
              <w:t>Study</w:t>
            </w:r>
          </w:p>
        </w:tc>
        <w:tc>
          <w:tcPr>
            <w:tcW w:type="dxa" w:w="665"/>
            <w:tcBorders>
              <w:bottom w:val="single" w:sz="6" w:space="0" w:color="auto"/>
            </w:tcBorders>
          </w:tcPr>
          <w:p>
            <w:r/>
            <w:r>
              <w:rPr>
                <w:rFonts w:ascii="Times New Roman" w:hAnsi="Times New Roman"/>
                <w:b/>
                <w:sz w:val="19"/>
              </w:rPr>
              <w:t>Pathway (X → M → Y)</w:t>
            </w:r>
          </w:p>
        </w:tc>
        <w:tc>
          <w:tcPr>
            <w:tcW w:type="dxa" w:w="665"/>
            <w:tcBorders>
              <w:bottom w:val="single" w:sz="6" w:space="0" w:color="auto"/>
            </w:tcBorders>
          </w:tcPr>
          <w:p>
            <w:r/>
            <w:r>
              <w:rPr>
                <w:rFonts w:ascii="Times New Roman" w:hAnsi="Times New Roman"/>
                <w:b/>
                <w:sz w:val="19"/>
              </w:rPr>
              <w:t>n_s</w:t>
            </w:r>
          </w:p>
        </w:tc>
        <w:tc>
          <w:tcPr>
            <w:tcW w:type="dxa" w:w="665"/>
            <w:tcBorders>
              <w:bottom w:val="single" w:sz="6" w:space="0" w:color="auto"/>
            </w:tcBorders>
          </w:tcPr>
          <w:p>
            <w:r/>
            <w:r>
              <w:rPr>
                <w:rFonts w:ascii="Times New Roman" w:hAnsi="Times New Roman"/>
                <w:b/>
                <w:sz w:val="19"/>
              </w:rPr>
              <w:t>ρ_g (primary)</w:t>
            </w:r>
          </w:p>
        </w:tc>
        <w:tc>
          <w:tcPr>
            <w:tcW w:type="dxa" w:w="665"/>
            <w:tcBorders>
              <w:bottom w:val="single" w:sz="6" w:space="0" w:color="auto"/>
            </w:tcBorders>
          </w:tcPr>
          <w:p>
            <w:r/>
            <w:r>
              <w:rPr>
                <w:rFonts w:ascii="Times New Roman" w:hAnsi="Times New Roman"/>
                <w:b/>
                <w:sz w:val="19"/>
              </w:rPr>
              <w:t>95% CI</w:t>
            </w:r>
          </w:p>
        </w:tc>
        <w:tc>
          <w:tcPr>
            <w:tcW w:type="dxa" w:w="665"/>
            <w:tcBorders>
              <w:bottom w:val="single" w:sz="6" w:space="0" w:color="auto"/>
            </w:tcBorders>
          </w:tcPr>
          <w:p>
            <w:r/>
            <w:r>
              <w:rPr>
                <w:rFonts w:ascii="Times New Roman" w:hAnsi="Times New Roman"/>
                <w:b/>
                <w:sz w:val="19"/>
              </w:rPr>
              <w:t>ρ_g (residualized)</w:t>
            </w:r>
          </w:p>
        </w:tc>
        <w:tc>
          <w:tcPr>
            <w:tcW w:type="dxa" w:w="665"/>
            <w:tcBorders>
              <w:bottom w:val="single" w:sz="6" w:space="0" w:color="auto"/>
            </w:tcBorders>
          </w:tcPr>
          <w:p>
            <w:r/>
            <w:r>
              <w:rPr>
                <w:rFonts w:ascii="Times New Roman" w:hAnsi="Times New Roman"/>
                <w:b/>
                <w:sz w:val="19"/>
              </w:rPr>
              <w:t>sample overlap</w:t>
            </w:r>
          </w:p>
        </w:tc>
        <w:tc>
          <w:tcPr>
            <w:tcW w:type="dxa" w:w="665"/>
            <w:tcBorders>
              <w:bottom w:val="single" w:sz="6" w:space="0" w:color="auto"/>
            </w:tcBorders>
          </w:tcPr>
          <w:p>
            <w:r/>
            <w:r>
              <w:rPr>
                <w:rFonts w:ascii="Times New Roman" w:hAnsi="Times New Roman"/>
                <w:b/>
                <w:sz w:val="19"/>
              </w:rPr>
              <w:t>widen% (ρ=0)</w:t>
            </w:r>
          </w:p>
        </w:tc>
        <w:tc>
          <w:tcPr>
            <w:tcW w:type="dxa" w:w="665"/>
            <w:tcBorders>
              <w:bottom w:val="single" w:sz="6" w:space="0" w:color="auto"/>
            </w:tcBorders>
          </w:tcPr>
          <w:p>
            <w:r/>
            <w:r>
              <w:rPr>
                <w:rFonts w:ascii="Times New Roman" w:hAnsi="Times New Roman"/>
                <w:b/>
                <w:sz w:val="19"/>
              </w:rPr>
              <w:t>widen% (ρ_g)</w:t>
            </w:r>
          </w:p>
        </w:tc>
        <w:tc>
          <w:tcPr>
            <w:tcW w:type="dxa" w:w="665"/>
            <w:tcBorders>
              <w:bottom w:val="single" w:sz="6" w:space="0" w:color="auto"/>
            </w:tcBorders>
          </w:tcPr>
          <w:p>
            <w:r/>
            <w:r>
              <w:rPr>
                <w:rFonts w:ascii="Times New Roman" w:hAnsi="Times New Roman"/>
                <w:b/>
                <w:sz w:val="19"/>
              </w:rPr>
              <w:t>widen% (ρ_g upper CI)</w:t>
            </w:r>
          </w:p>
        </w:tc>
        <w:tc>
          <w:tcPr>
            <w:tcW w:type="dxa" w:w="665"/>
            <w:tcBorders>
              <w:bottom w:val="single" w:sz="6" w:space="0" w:color="auto"/>
            </w:tcBorders>
          </w:tcPr>
          <w:p>
            <w:r/>
            <w:r>
              <w:rPr>
                <w:rFonts w:ascii="Times New Roman" w:hAnsi="Times New Roman"/>
                <w:b/>
                <w:sz w:val="19"/>
              </w:rPr>
              <w:t>Δ (pp)</w:t>
            </w:r>
          </w:p>
        </w:tc>
        <w:tc>
          <w:tcPr>
            <w:tcW w:type="dxa" w:w="665"/>
            <w:tcBorders>
              <w:bottom w:val="single" w:sz="6" w:space="0" w:color="auto"/>
            </w:tcBorders>
          </w:tcPr>
          <w:p>
            <w:r/>
            <w:r>
              <w:rPr>
                <w:rFonts w:ascii="Times New Roman" w:hAnsi="Times New Roman"/>
                <w:b/>
                <w:sz w:val="19"/>
              </w:rPr>
              <w:t>Flip (point)</w:t>
            </w:r>
          </w:p>
        </w:tc>
        <w:tc>
          <w:tcPr>
            <w:tcW w:type="dxa" w:w="665"/>
            <w:tcBorders>
              <w:bottom w:val="single" w:sz="6" w:space="0" w:color="auto"/>
            </w:tcBorders>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2c.</w:t>
      </w:r>
      <w:r>
        <w:rPr>
          <w:rFonts w:ascii="Times New Roman" w:hAnsi="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b/>
          <w:sz w:val="24"/>
        </w:rPr>
        <w:t>3.6 Statistical precision of the null re-estimation result</w:t>
      </w:r>
    </w:p>
    <w:p>
      <w:pPr>
        <w:ind w:firstLine="480"/>
        <w:jc w:val="both"/>
      </w:pPr>
      <w:r>
        <w:rPr>
          <w:rFonts w:ascii="Times New Roman" w:hAnsi="Times New Roman"/>
          <w:b w:val="0"/>
          <w:sz w:val="24"/>
        </w:rPr>
        <w:t>The headline re-estimation findings — 6.5% genuine overlap (7/108)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b/>
          <w:sz w:val="24"/>
        </w:rPr>
        <w:t>3.7 A realistic widening scenario on real effect estimates</w:t>
      </w:r>
    </w:p>
    <w:p>
      <w:pPr>
        <w:ind w:firstLine="480"/>
        <w:jc w:val="both"/>
      </w:pPr>
      <w:r>
        <w:rPr>
          <w:rFonts w:ascii="Times New Roman" w:hAnsi="Times New Roman"/>
          <w:b w:val="0"/>
          <w:sz w:val="24"/>
        </w:rPr>
        <w:t xml:space="preserve">The benign direction of every resolvable overlapping trio (§3.5) is a property of the same-signed cases we happened to observe, not a law: Proposition S2.5 and the flip-probability scan (§3.1.1, Fig. S3) show that the correction widens whenever α̂ and β̂ carry opposite signs (α̂β̂ &lt; 0), because the shared-instrument covariance is then positive. To verify that this harmful regime is reachable with </w:t>
      </w:r>
      <w:r>
        <w:rPr>
          <w:rFonts w:ascii="Times New Roman" w:hAnsi="Times New Roman"/>
          <w:b w:val="0"/>
          <w:i/>
          <w:sz w:val="24"/>
        </w:rPr>
        <w:t>real</w:t>
      </w:r>
      <w:r>
        <w:rPr>
          <w:rFonts w:ascii="Times New Roman" w:hAnsi="Times New Roman"/>
          <w:b w:val="0"/>
          <w:sz w:val="24"/>
        </w:rPr>
        <w:t xml:space="preserve"> parameters rather than only in simulation, we took the 20 opposite-signed mediation trios we were able to resolve to public summary statistics and applied the closed-form correction under the merged-pool instrument configuration — n_s set to the full overlap min(p_X, p_M) — that the field uses without disclosure (§3.2; S110 is a real, mislabeled merged-pool example). Nineteen of twenty widen (maximum +38.3%), confirming Cov(α̂, β̂) &gt; 0 under opposite signs on genuine data. None flipped significance solely because opposite-signed mediation is typically non-significant in our sample; the substantive point is that an opposite-signed study sitting near the naive boundary (λ ≈ 1.7–2.4, §3.6) would have its uncertainty materially </w:t>
      </w:r>
      <w:r>
        <w:rPr>
          <w:rFonts w:ascii="Times New Roman" w:hAnsi="Times New Roman"/>
          <w:b w:val="0"/>
          <w:i/>
          <w:sz w:val="24"/>
        </w:rPr>
        <w:t>understated</w:t>
      </w:r>
      <w:r>
        <w:rPr>
          <w:rFonts w:ascii="Times New Roman" w:hAnsi="Times New Roman"/>
          <w:b w:val="0"/>
          <w:sz w:val="24"/>
        </w:rPr>
        <w:t xml:space="preserve"> by the naive delta method. Table 2d lists the six largest real-parameter widenings.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W w:type="dxa" w:w="1080"/>
            <w:tcBorders>
              <w:bottom w:val="single" w:sz="6" w:space="0" w:color="auto"/>
            </w:tcBorders>
          </w:tcPr>
          <w:p>
            <w:r/>
            <w:r>
              <w:rPr>
                <w:rFonts w:ascii="Times New Roman" w:hAnsi="Times New Roman"/>
                <w:b/>
                <w:sz w:val="19"/>
              </w:rPr>
              <w:t>Study</w:t>
            </w:r>
          </w:p>
        </w:tc>
        <w:tc>
          <w:tcPr>
            <w:tcW w:type="dxa" w:w="1080"/>
            <w:tcBorders>
              <w:bottom w:val="single" w:sz="6" w:space="0" w:color="auto"/>
            </w:tcBorders>
          </w:tcPr>
          <w:p>
            <w:r/>
            <w:r>
              <w:rPr>
                <w:rFonts w:ascii="Times New Roman" w:hAnsi="Times New Roman"/>
                <w:b/>
                <w:sz w:val="19"/>
              </w:rPr>
              <w:t>Pathway (X → M → Y)</w:t>
            </w:r>
          </w:p>
        </w:tc>
        <w:tc>
          <w:tcPr>
            <w:tcW w:type="dxa" w:w="1080"/>
            <w:tcBorders>
              <w:bottom w:val="single" w:sz="6" w:space="0" w:color="auto"/>
            </w:tcBorders>
          </w:tcPr>
          <w:p>
            <w:r/>
            <w:r>
              <w:rPr>
                <w:rFonts w:ascii="Times New Roman" w:hAnsi="Times New Roman"/>
                <w:b/>
                <w:sz w:val="19"/>
              </w:rPr>
              <w:t>α̂ (SE)</w:t>
            </w:r>
          </w:p>
        </w:tc>
        <w:tc>
          <w:tcPr>
            <w:tcW w:type="dxa" w:w="1080"/>
            <w:tcBorders>
              <w:bottom w:val="single" w:sz="6" w:space="0" w:color="auto"/>
            </w:tcBorders>
          </w:tcPr>
          <w:p>
            <w:r/>
            <w:r>
              <w:rPr>
                <w:rFonts w:ascii="Times New Roman" w:hAnsi="Times New Roman"/>
                <w:b/>
                <w:sz w:val="19"/>
              </w:rPr>
              <w:t>β̂ (SE)</w:t>
            </w:r>
          </w:p>
        </w:tc>
        <w:tc>
          <w:tcPr>
            <w:tcW w:type="dxa" w:w="1080"/>
            <w:tcBorders>
              <w:bottom w:val="single" w:sz="6" w:space="0" w:color="auto"/>
            </w:tcBorders>
          </w:tcPr>
          <w:p>
            <w:r/>
            <w:r>
              <w:rPr>
                <w:rFonts w:ascii="Times New Roman" w:hAnsi="Times New Roman"/>
                <w:b/>
                <w:sz w:val="19"/>
              </w:rPr>
              <w:t>n_s†</w:t>
            </w:r>
          </w:p>
        </w:tc>
        <w:tc>
          <w:tcPr>
            <w:tcW w:type="dxa" w:w="1080"/>
            <w:tcBorders>
              <w:bottom w:val="single" w:sz="6" w:space="0" w:color="auto"/>
            </w:tcBorders>
          </w:tcPr>
          <w:p>
            <w:r/>
            <w:r>
              <w:rPr>
                <w:rFonts w:ascii="Times New Roman" w:hAnsi="Times New Roman"/>
                <w:b/>
                <w:sz w:val="19"/>
              </w:rPr>
              <w:t>widen%</w:t>
            </w:r>
          </w:p>
        </w:tc>
        <w:tc>
          <w:tcPr>
            <w:tcW w:type="dxa" w:w="1080"/>
            <w:tcBorders>
              <w:bottom w:val="single" w:sz="6" w:space="0" w:color="auto"/>
            </w:tcBorders>
          </w:tcPr>
          <w:p>
            <w:r/>
            <w:r>
              <w:rPr>
                <w:rFonts w:ascii="Times New Roman" w:hAnsi="Times New Roman"/>
                <w:b/>
                <w:sz w:val="19"/>
              </w:rPr>
              <w:t>λ_naive</w:t>
            </w:r>
          </w:p>
        </w:tc>
        <w:tc>
          <w:tcPr>
            <w:tcW w:type="dxa" w:w="1080"/>
            <w:tcBorders>
              <w:bottom w:val="single" w:sz="6" w:space="0" w:color="auto"/>
            </w:tcBorders>
          </w:tcPr>
          <w:p>
            <w:r/>
            <w:r>
              <w:rPr>
                <w:rFonts w:ascii="Times New Roman" w:hAnsi="Times New Roman"/>
                <w:b/>
                <w:sz w:val="19"/>
              </w:rPr>
              <w:t>Flip</w:t>
            </w:r>
          </w:p>
        </w:tc>
      </w:tr>
      <w:tr>
        <w:tc>
          <w:tcPr>
            <w:tcW w:type="dxa" w:w="1080"/>
          </w:tcPr>
          <w:p>
            <w:r/>
            <w:r>
              <w:rPr>
                <w:rFonts w:ascii="Times New Roman" w:hAnsi="Times New Roman"/>
                <w:sz w:val="19"/>
              </w:rPr>
              <w:t>S366</w:t>
            </w:r>
          </w:p>
        </w:tc>
        <w:tc>
          <w:tcPr>
            <w:tcW w:type="dxa" w:w="1080"/>
          </w:tcPr>
          <w:p>
            <w:r/>
            <w:r>
              <w:rPr>
                <w:rFonts w:ascii="Times New Roman" w:hAnsi="Times New Roman"/>
                <w:sz w:val="19"/>
              </w:rPr>
              <w:t>plasma metabolites → immune cells → MI</w:t>
            </w:r>
          </w:p>
        </w:tc>
        <w:tc>
          <w:tcPr>
            <w:tcW w:type="dxa" w:w="1080"/>
          </w:tcPr>
          <w:p>
            <w:r/>
            <w:r>
              <w:rPr>
                <w:rFonts w:ascii="Times New Roman" w:hAnsi="Times New Roman"/>
                <w:sz w:val="19"/>
              </w:rPr>
              <w:t>−0.0187 (0.0080)</w:t>
            </w:r>
          </w:p>
        </w:tc>
        <w:tc>
          <w:tcPr>
            <w:tcW w:type="dxa" w:w="1080"/>
          </w:tcPr>
          <w:p>
            <w:r/>
            <w:r>
              <w:rPr>
                <w:rFonts w:ascii="Times New Roman" w:hAnsi="Times New Roman"/>
                <w:sz w:val="19"/>
              </w:rPr>
              <w:t>+0.0019 (0.0006)</w:t>
            </w:r>
          </w:p>
        </w:tc>
        <w:tc>
          <w:tcPr>
            <w:tcW w:type="dxa" w:w="1080"/>
          </w:tcPr>
          <w:p>
            <w:r/>
            <w:r>
              <w:rPr>
                <w:rFonts w:ascii="Times New Roman" w:hAnsi="Times New Roman"/>
                <w:sz w:val="19"/>
              </w:rPr>
              <w:t>1</w:t>
            </w:r>
          </w:p>
        </w:tc>
        <w:tc>
          <w:tcPr>
            <w:tcW w:type="dxa" w:w="1080"/>
          </w:tcPr>
          <w:p>
            <w:r/>
            <w:r>
              <w:rPr>
                <w:rFonts w:ascii="Times New Roman" w:hAnsi="Times New Roman"/>
                <w:sz w:val="19"/>
              </w:rPr>
              <w:t>+38.3</w:t>
            </w:r>
          </w:p>
        </w:tc>
        <w:tc>
          <w:tcPr>
            <w:tcW w:type="dxa" w:w="1080"/>
          </w:tcPr>
          <w:p>
            <w:r/>
            <w:r>
              <w:rPr>
                <w:rFonts w:ascii="Times New Roman" w:hAnsi="Times New Roman"/>
                <w:sz w:val="19"/>
              </w:rPr>
              <w:t>1.90</w:t>
            </w:r>
          </w:p>
        </w:tc>
        <w:tc>
          <w:tcPr>
            <w:tcW w:type="dxa" w:w="1080"/>
          </w:tcPr>
          <w:p>
            <w:r/>
            <w:r>
              <w:rPr>
                <w:rFonts w:ascii="Times New Roman" w:hAnsi="Times New Roman"/>
                <w:sz w:val="19"/>
              </w:rPr>
              <w:t>none</w:t>
            </w:r>
          </w:p>
        </w:tc>
      </w:tr>
      <w:tr>
        <w:tc>
          <w:tcPr>
            <w:tcW w:type="dxa" w:w="1080"/>
          </w:tcPr>
          <w:p>
            <w:r/>
            <w:r>
              <w:rPr>
                <w:rFonts w:ascii="Times New Roman" w:hAnsi="Times New Roman"/>
                <w:sz w:val="19"/>
              </w:rPr>
              <w:t>S271</w:t>
            </w:r>
          </w:p>
        </w:tc>
        <w:tc>
          <w:tcPr>
            <w:tcW w:type="dxa" w:w="1080"/>
          </w:tcPr>
          <w:p>
            <w:r/>
            <w:r>
              <w:rPr>
                <w:rFonts w:ascii="Times New Roman" w:hAnsi="Times New Roman"/>
                <w:sz w:val="19"/>
              </w:rPr>
              <w:t>blood metabolites → risk factors → glaucoma/AMD</w:t>
            </w:r>
          </w:p>
        </w:tc>
        <w:tc>
          <w:tcPr>
            <w:tcW w:type="dxa" w:w="1080"/>
          </w:tcPr>
          <w:p>
            <w:r/>
            <w:r>
              <w:rPr>
                <w:rFonts w:ascii="Times New Roman" w:hAnsi="Times New Roman"/>
                <w:sz w:val="19"/>
              </w:rPr>
              <w:t>−0.0307 (0.0461)</w:t>
            </w:r>
          </w:p>
        </w:tc>
        <w:tc>
          <w:tcPr>
            <w:tcW w:type="dxa" w:w="1080"/>
          </w:tcPr>
          <w:p>
            <w:r/>
            <w:r>
              <w:rPr>
                <w:rFonts w:ascii="Times New Roman" w:hAnsi="Times New Roman"/>
                <w:sz w:val="19"/>
              </w:rPr>
              <w:t>+0.0021 (0.0019)</w:t>
            </w:r>
          </w:p>
        </w:tc>
        <w:tc>
          <w:tcPr>
            <w:tcW w:type="dxa" w:w="1080"/>
          </w:tcPr>
          <w:p>
            <w:r/>
            <w:r>
              <w:rPr>
                <w:rFonts w:ascii="Times New Roman" w:hAnsi="Times New Roman"/>
                <w:sz w:val="19"/>
              </w:rPr>
              <w:t>2</w:t>
            </w:r>
          </w:p>
        </w:tc>
        <w:tc>
          <w:tcPr>
            <w:tcW w:type="dxa" w:w="1080"/>
          </w:tcPr>
          <w:p>
            <w:r/>
            <w:r>
              <w:rPr>
                <w:rFonts w:ascii="Times New Roman" w:hAnsi="Times New Roman"/>
                <w:sz w:val="19"/>
              </w:rPr>
              <w:t>+37.1</w:t>
            </w:r>
          </w:p>
        </w:tc>
        <w:tc>
          <w:tcPr>
            <w:tcW w:type="dxa" w:w="1080"/>
          </w:tcPr>
          <w:p>
            <w:r/>
            <w:r>
              <w:rPr>
                <w:rFonts w:ascii="Times New Roman" w:hAnsi="Times New Roman"/>
                <w:sz w:val="19"/>
              </w:rPr>
              <w:t>0.57</w:t>
            </w:r>
          </w:p>
        </w:tc>
        <w:tc>
          <w:tcPr>
            <w:tcW w:type="dxa" w:w="1080"/>
          </w:tcPr>
          <w:p>
            <w:r/>
            <w:r>
              <w:rPr>
                <w:rFonts w:ascii="Times New Roman" w:hAnsi="Times New Roman"/>
                <w:sz w:val="19"/>
              </w:rPr>
              <w:t>none</w:t>
            </w:r>
          </w:p>
        </w:tc>
      </w:tr>
      <w:tr>
        <w:tc>
          <w:tcPr>
            <w:tcW w:type="dxa" w:w="1080"/>
          </w:tcPr>
          <w:p>
            <w:r/>
            <w:r>
              <w:rPr>
                <w:rFonts w:ascii="Times New Roman" w:hAnsi="Times New Roman"/>
                <w:sz w:val="19"/>
              </w:rPr>
              <w:t>S247</w:t>
            </w:r>
          </w:p>
        </w:tc>
        <w:tc>
          <w:tcPr>
            <w:tcW w:type="dxa" w:w="1080"/>
          </w:tcPr>
          <w:p>
            <w:r/>
            <w:r>
              <w:rPr>
                <w:rFonts w:ascii="Times New Roman" w:hAnsi="Times New Roman"/>
                <w:sz w:val="19"/>
              </w:rPr>
              <w:t>urticaria → inflammatory cytokines → mental disorders</w:t>
            </w:r>
          </w:p>
        </w:tc>
        <w:tc>
          <w:tcPr>
            <w:tcW w:type="dxa" w:w="1080"/>
          </w:tcPr>
          <w:p>
            <w:r/>
            <w:r>
              <w:rPr>
                <w:rFonts w:ascii="Times New Roman" w:hAnsi="Times New Roman"/>
                <w:sz w:val="19"/>
              </w:rPr>
              <w:t>+0.0019 (0.0011)</w:t>
            </w:r>
          </w:p>
        </w:tc>
        <w:tc>
          <w:tcPr>
            <w:tcW w:type="dxa" w:w="1080"/>
          </w:tcPr>
          <w:p>
            <w:r/>
            <w:r>
              <w:rPr>
                <w:rFonts w:ascii="Times New Roman" w:hAnsi="Times New Roman"/>
                <w:sz w:val="19"/>
              </w:rPr>
              <w:t>−0.2920 (0.2989)</w:t>
            </w:r>
          </w:p>
        </w:tc>
        <w:tc>
          <w:tcPr>
            <w:tcW w:type="dxa" w:w="1080"/>
          </w:tcPr>
          <w:p>
            <w:r/>
            <w:r>
              <w:rPr>
                <w:rFonts w:ascii="Times New Roman" w:hAnsi="Times New Roman"/>
                <w:sz w:val="19"/>
              </w:rPr>
              <w:t>2</w:t>
            </w:r>
          </w:p>
        </w:tc>
        <w:tc>
          <w:tcPr>
            <w:tcW w:type="dxa" w:w="1080"/>
          </w:tcPr>
          <w:p>
            <w:r/>
            <w:r>
              <w:rPr>
                <w:rFonts w:ascii="Times New Roman" w:hAnsi="Times New Roman"/>
                <w:sz w:val="19"/>
              </w:rPr>
              <w:t>+36.0</w:t>
            </w:r>
          </w:p>
        </w:tc>
        <w:tc>
          <w:tcPr>
            <w:tcW w:type="dxa" w:w="1080"/>
          </w:tcPr>
          <w:p>
            <w:r/>
            <w:r>
              <w:rPr>
                <w:rFonts w:ascii="Times New Roman" w:hAnsi="Times New Roman"/>
                <w:sz w:val="19"/>
              </w:rPr>
              <w:t>0.85</w:t>
            </w:r>
          </w:p>
        </w:tc>
        <w:tc>
          <w:tcPr>
            <w:tcW w:type="dxa" w:w="1080"/>
          </w:tcPr>
          <w:p>
            <w:r/>
            <w:r>
              <w:rPr>
                <w:rFonts w:ascii="Times New Roman" w:hAnsi="Times New Roman"/>
                <w:sz w:val="19"/>
              </w:rPr>
              <w:t>none</w:t>
            </w:r>
          </w:p>
        </w:tc>
      </w:tr>
      <w:tr>
        <w:tc>
          <w:tcPr>
            <w:tcW w:type="dxa" w:w="1080"/>
          </w:tcPr>
          <w:p>
            <w:r/>
            <w:r>
              <w:rPr>
                <w:rFonts w:ascii="Times New Roman" w:hAnsi="Times New Roman"/>
                <w:sz w:val="19"/>
              </w:rPr>
              <w:t>S390</w:t>
            </w:r>
          </w:p>
        </w:tc>
        <w:tc>
          <w:tcPr>
            <w:tcW w:type="dxa" w:w="1080"/>
          </w:tcPr>
          <w:p>
            <w:r/>
            <w:r>
              <w:rPr>
                <w:rFonts w:ascii="Times New Roman" w:hAnsi="Times New Roman"/>
                <w:sz w:val="19"/>
              </w:rPr>
              <w:t>brain networks → inflammatory proteins → neuropathic pain</w:t>
            </w:r>
          </w:p>
        </w:tc>
        <w:tc>
          <w:tcPr>
            <w:tcW w:type="dxa" w:w="1080"/>
          </w:tcPr>
          <w:p>
            <w:r/>
            <w:r>
              <w:rPr>
                <w:rFonts w:ascii="Times New Roman" w:hAnsi="Times New Roman"/>
                <w:sz w:val="19"/>
              </w:rPr>
              <w:t>+0.1025 (0.0787)</w:t>
            </w:r>
          </w:p>
        </w:tc>
        <w:tc>
          <w:tcPr>
            <w:tcW w:type="dxa" w:w="1080"/>
          </w:tcPr>
          <w:p>
            <w:r/>
            <w:r>
              <w:rPr>
                <w:rFonts w:ascii="Times New Roman" w:hAnsi="Times New Roman"/>
                <w:sz w:val="19"/>
              </w:rPr>
              <w:t>−0.2759 (0.3835)</w:t>
            </w:r>
          </w:p>
        </w:tc>
        <w:tc>
          <w:tcPr>
            <w:tcW w:type="dxa" w:w="1080"/>
          </w:tcPr>
          <w:p>
            <w:r/>
            <w:r>
              <w:rPr>
                <w:rFonts w:ascii="Times New Roman" w:hAnsi="Times New Roman"/>
                <w:sz w:val="19"/>
              </w:rPr>
              <w:t>1</w:t>
            </w:r>
          </w:p>
        </w:tc>
        <w:tc>
          <w:tcPr>
            <w:tcW w:type="dxa" w:w="1080"/>
          </w:tcPr>
          <w:p>
            <w:r/>
            <w:r>
              <w:rPr>
                <w:rFonts w:ascii="Times New Roman" w:hAnsi="Times New Roman"/>
                <w:sz w:val="19"/>
              </w:rPr>
              <w:t>+35.8</w:t>
            </w:r>
          </w:p>
        </w:tc>
        <w:tc>
          <w:tcPr>
            <w:tcW w:type="dxa" w:w="1080"/>
          </w:tcPr>
          <w:p>
            <w:r/>
            <w:r>
              <w:rPr>
                <w:rFonts w:ascii="Times New Roman" w:hAnsi="Times New Roman"/>
                <w:sz w:val="19"/>
              </w:rPr>
              <w:t>0.63</w:t>
            </w:r>
          </w:p>
        </w:tc>
        <w:tc>
          <w:tcPr>
            <w:tcW w:type="dxa" w:w="1080"/>
          </w:tcPr>
          <w:p>
            <w:r/>
            <w:r>
              <w:rPr>
                <w:rFonts w:ascii="Times New Roman" w:hAnsi="Times New Roman"/>
                <w:sz w:val="19"/>
              </w:rPr>
              <w:t>none</w:t>
            </w:r>
          </w:p>
        </w:tc>
      </w:tr>
      <w:tr>
        <w:tc>
          <w:tcPr>
            <w:tcW w:type="dxa" w:w="1080"/>
          </w:tcPr>
          <w:p>
            <w:r/>
            <w:r>
              <w:rPr>
                <w:rFonts w:ascii="Times New Roman" w:hAnsi="Times New Roman"/>
                <w:sz w:val="19"/>
              </w:rPr>
              <w:t>S348</w:t>
            </w:r>
          </w:p>
        </w:tc>
        <w:tc>
          <w:tcPr>
            <w:tcW w:type="dxa" w:w="1080"/>
          </w:tcPr>
          <w:p>
            <w:r/>
            <w:r>
              <w:rPr>
                <w:rFonts w:ascii="Times New Roman" w:hAnsi="Times New Roman"/>
                <w:sz w:val="19"/>
              </w:rPr>
              <w:t>LADA → immune cells → breast cancer</w:t>
            </w:r>
          </w:p>
        </w:tc>
        <w:tc>
          <w:tcPr>
            <w:tcW w:type="dxa" w:w="1080"/>
          </w:tcPr>
          <w:p>
            <w:r/>
            <w:r>
              <w:rPr>
                <w:rFonts w:ascii="Times New Roman" w:hAnsi="Times New Roman"/>
                <w:sz w:val="19"/>
              </w:rPr>
              <w:t>−0.0150 (0.0018)</w:t>
            </w:r>
          </w:p>
        </w:tc>
        <w:tc>
          <w:tcPr>
            <w:tcW w:type="dxa" w:w="1080"/>
          </w:tcPr>
          <w:p>
            <w:r/>
            <w:r>
              <w:rPr>
                <w:rFonts w:ascii="Times New Roman" w:hAnsi="Times New Roman"/>
                <w:sz w:val="19"/>
              </w:rPr>
              <w:t>+0.0529 (0.0200)</w:t>
            </w:r>
          </w:p>
        </w:tc>
        <w:tc>
          <w:tcPr>
            <w:tcW w:type="dxa" w:w="1080"/>
          </w:tcPr>
          <w:p>
            <w:r/>
            <w:r>
              <w:rPr>
                <w:rFonts w:ascii="Times New Roman" w:hAnsi="Times New Roman"/>
                <w:sz w:val="19"/>
              </w:rPr>
              <w:t>3</w:t>
            </w:r>
          </w:p>
        </w:tc>
        <w:tc>
          <w:tcPr>
            <w:tcW w:type="dxa" w:w="1080"/>
          </w:tcPr>
          <w:p>
            <w:r/>
            <w:r>
              <w:rPr>
                <w:rFonts w:ascii="Times New Roman" w:hAnsi="Times New Roman"/>
                <w:sz w:val="19"/>
              </w:rPr>
              <w:t>+12.8</w:t>
            </w:r>
          </w:p>
        </w:tc>
        <w:tc>
          <w:tcPr>
            <w:tcW w:type="dxa" w:w="1080"/>
          </w:tcPr>
          <w:p>
            <w:r/>
            <w:r>
              <w:rPr>
                <w:rFonts w:ascii="Times New Roman" w:hAnsi="Times New Roman"/>
                <w:sz w:val="19"/>
              </w:rPr>
              <w:t>2.52</w:t>
            </w:r>
          </w:p>
        </w:tc>
        <w:tc>
          <w:tcPr>
            <w:tcW w:type="dxa" w:w="1080"/>
          </w:tcPr>
          <w:p>
            <w:r/>
            <w:r>
              <w:rPr>
                <w:rFonts w:ascii="Times New Roman" w:hAnsi="Times New Roman"/>
                <w:sz w:val="19"/>
              </w:rPr>
              <w:t>none</w:t>
            </w:r>
          </w:p>
        </w:tc>
      </w:tr>
      <w:tr>
        <w:tc>
          <w:tcPr>
            <w:tcW w:type="dxa" w:w="1080"/>
          </w:tcPr>
          <w:p>
            <w:r/>
            <w:r>
              <w:rPr>
                <w:rFonts w:ascii="Times New Roman" w:hAnsi="Times New Roman"/>
                <w:sz w:val="19"/>
              </w:rPr>
              <w:t>S150</w:t>
            </w:r>
          </w:p>
        </w:tc>
        <w:tc>
          <w:tcPr>
            <w:tcW w:type="dxa" w:w="1080"/>
          </w:tcPr>
          <w:p>
            <w:r/>
            <w:r>
              <w:rPr>
                <w:rFonts w:ascii="Times New Roman" w:hAnsi="Times New Roman"/>
                <w:sz w:val="19"/>
              </w:rPr>
              <w:t>25(OH)D → total testosterone → osteoporosis</w:t>
            </w:r>
          </w:p>
        </w:tc>
        <w:tc>
          <w:tcPr>
            <w:tcW w:type="dxa" w:w="1080"/>
          </w:tcPr>
          <w:p>
            <w:r/>
            <w:r>
              <w:rPr>
                <w:rFonts w:ascii="Times New Roman" w:hAnsi="Times New Roman"/>
                <w:sz w:val="19"/>
              </w:rPr>
              <w:t>+0.0044 (0.0108)</w:t>
            </w:r>
          </w:p>
        </w:tc>
        <w:tc>
          <w:tcPr>
            <w:tcW w:type="dxa" w:w="1080"/>
          </w:tcPr>
          <w:p>
            <w:r/>
            <w:r>
              <w:rPr>
                <w:rFonts w:ascii="Times New Roman" w:hAnsi="Times New Roman"/>
                <w:sz w:val="19"/>
              </w:rPr>
              <w:t>−0.0024 (0.0009)</w:t>
            </w:r>
          </w:p>
        </w:tc>
        <w:tc>
          <w:tcPr>
            <w:tcW w:type="dxa" w:w="1080"/>
          </w:tcPr>
          <w:p>
            <w:r/>
            <w:r>
              <w:rPr>
                <w:rFonts w:ascii="Times New Roman" w:hAnsi="Times New Roman"/>
                <w:sz w:val="19"/>
              </w:rPr>
              <w:t>105</w:t>
            </w:r>
          </w:p>
        </w:tc>
        <w:tc>
          <w:tcPr>
            <w:tcW w:type="dxa" w:w="1080"/>
          </w:tcPr>
          <w:p>
            <w:r/>
            <w:r>
              <w:rPr>
                <w:rFonts w:ascii="Times New Roman" w:hAnsi="Times New Roman"/>
                <w:sz w:val="19"/>
              </w:rPr>
              <w:t>+13.2</w:t>
            </w:r>
          </w:p>
        </w:tc>
        <w:tc>
          <w:tcPr>
            <w:tcW w:type="dxa" w:w="1080"/>
          </w:tcPr>
          <w:p>
            <w:r/>
            <w:r>
              <w:rPr>
                <w:rFonts w:ascii="Times New Roman" w:hAnsi="Times New Roman"/>
                <w:sz w:val="19"/>
              </w:rPr>
              <w:t>0.40</w:t>
            </w:r>
          </w:p>
        </w:tc>
        <w:tc>
          <w:tcPr>
            <w:tcW w:type="dxa" w:w="1080"/>
          </w:tcPr>
          <w:p>
            <w:r/>
            <w:r>
              <w:rPr>
                <w:rFonts w:ascii="Times New Roman" w:hAnsi="Times New Roman"/>
                <w:sz w:val="19"/>
              </w:rPr>
              <w:t>none</w:t>
            </w:r>
          </w:p>
        </w:tc>
      </w:tr>
    </w:tbl>
    <w:p>
      <w:pPr>
        <w:jc w:val="left"/>
      </w:pPr>
      <w:r>
        <w:rPr>
          <w:rFonts w:ascii="Times New Roman" w:hAnsi="Times New Roman"/>
          <w:b/>
          <w:i/>
          <w:sz w:val="20"/>
        </w:rPr>
        <w:t>Table 2d.</w:t>
      </w:r>
      <w:r>
        <w:rPr>
          <w:rFonts w:ascii="Times New Roman" w:hAnsi="Times New Roman"/>
          <w:b w:val="0"/>
          <w:sz w:val="20"/>
        </w:rPr>
        <w:t xml:space="preserve"> Largest closed-form widenings on real opposite-signed mediation estimates under a counterfactual merged-pool overlap (n_s = min(p_X, p_M); ρ_MY = 0). α̂, β̂ and their SEs are the actually published point estimates; only the instrument-overlap configuration is counterfactual, because the field does not report n_s (§3.2). λ_naive = |α̂β̂| / SE_naive.</w:t>
      </w:r>
    </w:p>
    <w:p>
      <w:pPr>
        <w:ind w:firstLine="480"/>
        <w:jc w:val="both"/>
      </w:pPr>
      <w:r>
        <w:rPr>
          <w:rFonts w:ascii="Times New Roman" w:hAnsi="Times New Roman"/>
          <w:b w:val="0"/>
          <w:sz w:val="24"/>
        </w:rPr>
        <w:t>† Counterfactual merged-pool overlap; the same studies' realized n_s is unknown because overlap is not reported. S348 is a genuinely significant mediation (λ_naive = 2.52) yet its CI is still widened by 12.8% under undisclosed overlap, and S366 sits exactly in the flip-prone band (λ = 1.90, §3.6). These real-parameter results convert the theoretical "opposite-sign widens" statement (Proposition S2.5, Fig. S3) from a simulation finding into a demonstrable property of published estimates, and show why the missing n_s / π_shared / ρ_MY reporting (§3.2) leaves a reader unable to tell whether any given opposite-signed result is benign or harmful.</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 That the harmful widening regime is not merely theoretical is shown in §3.7: applying the correction to real opposite-signed mediation estimates under the undisclosed merged-pool design widens confidence intervals by up to 38%, so the missing n_s / π_shared / ρ_MY reporting can hide anti-conservative inference in published work.</w:t>
      </w:r>
    </w:p>
    <w:p>
      <w:pPr>
        <w:ind w:firstLine="480"/>
        <w:jc w:val="both"/>
      </w:pPr>
      <w:r>
        <w:rPr>
          <w:rFonts w:ascii="Times New Roman" w:hAnsi="Times New Roman"/>
          <w:b w:val="0"/>
          <w:sz w:val="24"/>
        </w:rPr>
        <w:t xml:space="preserve">Our literature audit delivers an uncomfortable message. The design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only ~35% of assessable studies disclose overlap handling. Yet the §3.4 batch re-estimation finds genuine instrument overlap in 6.5% (7/108) of re-estimated trios,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the sign is prior-unknown at the design stage, and opposite-sign or sample-overlapping regimes widen rather than narrow (§3.1.1), analysts should correct regardless of prior. §3.5 shows that even where ρ_MY is empirically positive the correction still narrows, because the structurally negative term dominates for n_s = 1–3.</w:t>
      </w:r>
    </w:p>
    <w:p>
      <w:pPr>
        <w:ind w:firstLine="480"/>
        <w:jc w:val="both"/>
      </w:pPr>
      <w:r>
        <w:rPr>
          <w:rFonts w:ascii="Times New Roman" w:hAnsi="Times New Roman"/>
          <w:b/>
          <w:sz w:val="24"/>
        </w:rPr>
        <w:t>Positioning relative to concurrent overlap-correction methods.</w:t>
      </w:r>
      <w:r>
        <w:rPr>
          <w:rFonts w:ascii="Times New Roman" w:hAnsi="Times New Roman"/>
          <w:b w:val="0"/>
          <w:sz w:val="24"/>
        </w:rPr>
        <w:t xml:space="preserve"> Two independent lines of work published as we wrote converge on the same broad problem — overlap-induced bias in MR — but operate at different levels, so they are complementary rather than competing. Chen et al. </w:t>
      </w:r>
      <w:r>
        <w:rPr>
          <w:rFonts w:ascii="Times New Roman" w:hAnsi="Times New Roman"/>
          <w:b w:val="0"/>
          <w:sz w:val="24"/>
          <w:vertAlign w:val="superscript"/>
        </w:rPr>
        <w:t>22</w:t>
      </w:r>
      <w:r>
        <w:rPr>
          <w:rFonts w:ascii="Times New Roman" w:hAnsi="Times New Roman"/>
          <w:b w:val="0"/>
          <w:sz w:val="24"/>
        </w:rPr>
        <w:t xml:space="preserve"> (Eur Heart J correspondence, 2025) is a critical appraisal that flags exposure–outcome sample overlap and meta-analysis weighting imbalance in a protein→MI MR and recommends LDSC or dataset replacement; it proposes no quantitative correction for the mediation product estimand. Forde et al. </w:t>
      </w:r>
      <w:r>
        <w:rPr>
          <w:rFonts w:ascii="Times New Roman" w:hAnsi="Times New Roman"/>
          <w:b w:val="0"/>
          <w:sz w:val="24"/>
          <w:vertAlign w:val="superscript"/>
        </w:rPr>
        <w:t>23</w:t>
      </w:r>
      <w:r>
        <w:rPr>
          <w:rFonts w:ascii="Times New Roman" w:hAnsi="Times New Roman"/>
          <w:b w:val="0"/>
          <w:sz w:val="24"/>
        </w:rPr>
        <w:t xml:space="preserve"> (PLoS Genet, 2026) propose MR Simulated Sample Splitting (MR-SimSS), which corrects bias in a </w:t>
      </w:r>
      <w:r>
        <w:rPr>
          <w:rFonts w:ascii="Times New Roman" w:hAnsi="Times New Roman"/>
          <w:b w:val="0"/>
          <w:i/>
          <w:sz w:val="24"/>
        </w:rPr>
        <w:t>single</w:t>
      </w:r>
      <w:r>
        <w:rPr>
          <w:rFonts w:ascii="Times New Roman" w:hAnsi="Times New Roman"/>
          <w:b w:val="0"/>
          <w:sz w:val="24"/>
        </w:rPr>
        <w:t xml:space="preserve"> two-sample MR estimand (instrument-selection / Winner's Curse, weak-instrument bias, and exposure–outcome sample overlap) by simulating statistically independent summary statistics; it does not derive the covariance of a </w:t>
      </w:r>
      <w:r>
        <w:rPr>
          <w:rFonts w:ascii="Times New Roman" w:hAnsi="Times New Roman"/>
          <w:b w:val="0"/>
          <w:i/>
          <w:sz w:val="24"/>
        </w:rPr>
        <w:t>product</w:t>
      </w:r>
      <w:r>
        <w:rPr>
          <w:rFonts w:ascii="Times New Roman" w:hAnsi="Times New Roman"/>
          <w:b w:val="0"/>
          <w:sz w:val="24"/>
        </w:rPr>
        <w:t xml:space="preserve"> estimand, so it leaves the two-step mediation term Cov(α̂, β̂) unaddressed. Importantly, Forde et al. </w:t>
      </w:r>
      <w:r>
        <w:rPr>
          <w:rFonts w:ascii="Times New Roman" w:hAnsi="Times New Roman"/>
          <w:b w:val="0"/>
          <w:sz w:val="24"/>
          <w:vertAlign w:val="superscript"/>
        </w:rPr>
        <w:t>23</w:t>
      </w:r>
      <w:r>
        <w:rPr>
          <w:rFonts w:ascii="Times New Roman" w:hAnsi="Times New Roman"/>
          <w:b w:val="0"/>
          <w:sz w:val="24"/>
        </w:rPr>
        <w:t xml:space="preserve"> document that instrument-selection and participant-overlap bias is a real, non-negligible feature of single-estimand two-sample MR in practice; because the product estimand α̂β̂ inherits both channels and adds the shared-instrument covariance, that practical hazard carries over to — and is amplified within — two-step mediation, the exact regime our correction addresses. Table 3 contrasts the three.</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2160"/>
        <w:gridCol w:w="2160"/>
        <w:gridCol w:w="2160"/>
        <w:gridCol w:w="2160"/>
      </w:tblGrid>
      <w:tr>
        <w:tc>
          <w:tcPr>
            <w:tcW w:type="dxa" w:w="2160"/>
            <w:tcBorders>
              <w:bottom w:val="single" w:sz="6" w:space="0" w:color="auto"/>
            </w:tcBorders>
          </w:tcPr>
          <w:p>
            <w:r/>
            <w:r>
              <w:rPr>
                <w:rFonts w:ascii="Times New Roman" w:hAnsi="Times New Roman"/>
                <w:b/>
                <w:sz w:val="19"/>
              </w:rPr>
              <w:t>Feature</w:t>
            </w:r>
          </w:p>
        </w:tc>
        <w:tc>
          <w:tcPr>
            <w:tcW w:type="dxa" w:w="2160"/>
            <w:tcBorders>
              <w:bottom w:val="single" w:sz="6" w:space="0" w:color="auto"/>
            </w:tcBorders>
          </w:tcPr>
          <w:p>
            <w:r/>
            <w:r>
              <w:rPr>
                <w:rFonts w:ascii="Times New Roman" w:hAnsi="Times New Roman"/>
                <w:b/>
                <w:sz w:val="19"/>
              </w:rPr>
              <w:t>This work</w:t>
            </w:r>
          </w:p>
        </w:tc>
        <w:tc>
          <w:tcPr>
            <w:tcW w:type="dxa" w:w="2160"/>
            <w:tcBorders>
              <w:bottom w:val="single" w:sz="6" w:space="0" w:color="auto"/>
            </w:tcBorders>
          </w:tcPr>
          <w:p>
            <w:r/>
            <w:r>
              <w:rPr>
                <w:rFonts w:ascii="Times New Roman" w:hAnsi="Times New Roman"/>
                <w:b/>
                <w:sz w:val="19"/>
              </w:rPr>
              <w:t>Forde et al. 2026 (MR-SimSS)</w:t>
            </w:r>
          </w:p>
        </w:tc>
        <w:tc>
          <w:tcPr>
            <w:tcW w:type="dxa" w:w="2160"/>
            <w:tcBorders>
              <w:bottom w:val="single" w:sz="6" w:space="0" w:color="auto"/>
            </w:tcBorders>
          </w:tcPr>
          <w:p>
            <w:r/>
            <w:r>
              <w:rPr>
                <w:rFonts w:ascii="Times New Roman" w:hAnsi="Times New Roman"/>
                <w:b/>
                <w:sz w:val="19"/>
              </w:rPr>
              <w:t>Chen et al. 2025 (correspondence)</w:t>
            </w:r>
          </w:p>
        </w:tc>
      </w:tr>
      <w:tr>
        <w:tc>
          <w:tcPr>
            <w:tcW w:type="dxa" w:w="2160"/>
          </w:tcPr>
          <w:p>
            <w:r/>
            <w:r>
              <w:rPr>
                <w:rFonts w:ascii="Times New Roman" w:hAnsi="Times New Roman"/>
                <w:sz w:val="19"/>
              </w:rPr>
              <w:t>Target estimand</w:t>
            </w:r>
          </w:p>
        </w:tc>
        <w:tc>
          <w:tcPr>
            <w:tcW w:type="dxa" w:w="2160"/>
          </w:tcPr>
          <w:p>
            <w:r/>
            <w:r>
              <w:rPr>
                <w:rFonts w:ascii="Times New Roman" w:hAnsi="Times New Roman"/>
                <w:sz w:val="19"/>
              </w:rPr>
              <w:t>indirect effect α̂β̂ in two-step MR mediation (product of two IVW estimates)</w:t>
            </w:r>
          </w:p>
        </w:tc>
        <w:tc>
          <w:tcPr>
            <w:tcW w:type="dxa" w:w="2160"/>
          </w:tcPr>
          <w:p>
            <w:r/>
            <w:r>
              <w:rPr>
                <w:rFonts w:ascii="Times New Roman" w:hAnsi="Times New Roman"/>
                <w:sz w:val="19"/>
              </w:rPr>
              <w:t>single causal effect in two-sample MR (exposure → outcome)</w:t>
            </w:r>
          </w:p>
        </w:tc>
        <w:tc>
          <w:tcPr>
            <w:tcW w:type="dxa" w:w="2160"/>
          </w:tcPr>
          <w:p>
            <w:r/>
            <w:r>
              <w:rPr>
                <w:rFonts w:ascii="Times New Roman" w:hAnsi="Times New Roman"/>
                <w:sz w:val="19"/>
              </w:rPr>
              <w:t>not a method; flags overlap in a protein → MI MR</w:t>
            </w:r>
          </w:p>
        </w:tc>
      </w:tr>
      <w:tr>
        <w:tc>
          <w:tcPr>
            <w:tcW w:type="dxa" w:w="2160"/>
          </w:tcPr>
          <w:p>
            <w:r/>
            <w:r>
              <w:rPr>
                <w:rFonts w:ascii="Times New Roman" w:hAnsi="Times New Roman"/>
                <w:sz w:val="19"/>
              </w:rPr>
              <w:t>Overlap / bias source addressed</w:t>
            </w:r>
          </w:p>
        </w:tc>
        <w:tc>
          <w:tcPr>
            <w:tcW w:type="dxa" w:w="2160"/>
          </w:tcPr>
          <w:p>
            <w:r/>
            <w:r>
              <w:rPr>
                <w:rFonts w:ascii="Times New Roman" w:hAnsi="Times New Roman"/>
                <w:sz w:val="19"/>
              </w:rPr>
              <w:t>shared instruments across the two steps (n_s) and M–Y sample overlap (ρ_MY); the covariance of a product estimand</w:t>
            </w:r>
          </w:p>
        </w:tc>
        <w:tc>
          <w:tcPr>
            <w:tcW w:type="dxa" w:w="2160"/>
          </w:tcPr>
          <w:p>
            <w:r/>
            <w:r>
              <w:rPr>
                <w:rFonts w:ascii="Times New Roman" w:hAnsi="Times New Roman"/>
                <w:sz w:val="19"/>
              </w:rPr>
              <w:t>instrument selection (Winner's Curse), weak-instrument bias, exposure–outcome sample overlap; bias of a single estimand</w:t>
            </w:r>
          </w:p>
        </w:tc>
        <w:tc>
          <w:tcPr>
            <w:tcW w:type="dxa" w:w="2160"/>
          </w:tcPr>
          <w:p>
            <w:r/>
            <w:r>
              <w:rPr>
                <w:rFonts w:ascii="Times New Roman" w:hAnsi="Times New Roman"/>
                <w:sz w:val="19"/>
              </w:rPr>
              <w:t>exposure–outcome sample overlap; meta-analysis weighting imbalance (no correction proposed)</w:t>
            </w:r>
          </w:p>
        </w:tc>
      </w:tr>
      <w:tr>
        <w:tc>
          <w:tcPr>
            <w:tcW w:type="dxa" w:w="2160"/>
          </w:tcPr>
          <w:p>
            <w:r/>
            <w:r>
              <w:rPr>
                <w:rFonts w:ascii="Times New Roman" w:hAnsi="Times New Roman"/>
                <w:sz w:val="19"/>
              </w:rPr>
              <w:t>Individual-level data required</w:t>
            </w:r>
          </w:p>
        </w:tc>
        <w:tc>
          <w:tcPr>
            <w:tcW w:type="dxa" w:w="2160"/>
          </w:tcPr>
          <w:p>
            <w:r/>
            <w:r>
              <w:rPr>
                <w:rFonts w:ascii="Times New Roman" w:hAnsi="Times New Roman"/>
                <w:sz w:val="19"/>
              </w:rPr>
              <w:t>no (summary statistics only)</w:t>
            </w:r>
          </w:p>
        </w:tc>
        <w:tc>
          <w:tcPr>
            <w:tcW w:type="dxa" w:w="2160"/>
          </w:tcPr>
          <w:p>
            <w:r/>
            <w:r>
              <w:rPr>
                <w:rFonts w:ascii="Times New Roman" w:hAnsi="Times New Roman"/>
                <w:sz w:val="19"/>
              </w:rPr>
              <w:t>no (simulated independent summary statistics)</w:t>
            </w:r>
          </w:p>
        </w:tc>
        <w:tc>
          <w:tcPr>
            <w:tcW w:type="dxa" w:w="2160"/>
          </w:tcPr>
          <w:p>
            <w:r/>
            <w:r>
              <w:rPr>
                <w:rFonts w:ascii="Times New Roman" w:hAnsi="Times New Roman"/>
                <w:sz w:val="19"/>
              </w:rPr>
              <w:t>no</w:t>
            </w:r>
          </w:p>
        </w:tc>
      </w:tr>
      <w:tr>
        <w:tc>
          <w:tcPr>
            <w:tcW w:type="dxa" w:w="2160"/>
          </w:tcPr>
          <w:p>
            <w:r/>
            <w:r>
              <w:rPr>
                <w:rFonts w:ascii="Times New Roman" w:hAnsi="Times New Roman"/>
                <w:sz w:val="19"/>
              </w:rPr>
              <w:t>Closed-form covariance for the product estimand</w:t>
            </w:r>
          </w:p>
        </w:tc>
        <w:tc>
          <w:tcPr>
            <w:tcW w:type="dxa" w:w="2160"/>
          </w:tcPr>
          <w:p>
            <w:r/>
            <w:r>
              <w:rPr>
                <w:rFonts w:ascii="Times New Roman" w:hAnsi="Times New Roman"/>
                <w:sz w:val="19"/>
              </w:rPr>
              <w:t>yes — Cov(α̂, β̂) derived analytically, with a conservative bound</w:t>
            </w:r>
          </w:p>
        </w:tc>
        <w:tc>
          <w:tcPr>
            <w:tcW w:type="dxa" w:w="2160"/>
          </w:tcPr>
          <w:p>
            <w:r/>
            <w:r>
              <w:rPr>
                <w:rFonts w:ascii="Times New Roman" w:hAnsi="Times New Roman"/>
                <w:sz w:val="19"/>
              </w:rPr>
              <w:t>no — single-estimand bias corrected by simulation</w:t>
            </w:r>
          </w:p>
        </w:tc>
        <w:tc>
          <w:tcPr>
            <w:tcW w:type="dxa" w:w="2160"/>
          </w:tcPr>
          <w:p>
            <w:r/>
            <w:r>
              <w:rPr>
                <w:rFonts w:ascii="Times New Roman" w:hAnsi="Times New Roman"/>
                <w:sz w:val="19"/>
              </w:rPr>
              <w:t>no — recommends LDSC / dataset replacement</w:t>
            </w:r>
          </w:p>
        </w:tc>
      </w:tr>
      <w:tr>
        <w:tc>
          <w:tcPr>
            <w:tcW w:type="dxa" w:w="2160"/>
          </w:tcPr>
          <w:p>
            <w:r/>
            <w:r>
              <w:rPr>
                <w:rFonts w:ascii="Times New Roman" w:hAnsi="Times New Roman"/>
                <w:sz w:val="19"/>
              </w:rPr>
              <w:t>Mediation-relevant</w:t>
            </w:r>
          </w:p>
        </w:tc>
        <w:tc>
          <w:tcPr>
            <w:tcW w:type="dxa" w:w="2160"/>
          </w:tcPr>
          <w:p>
            <w:r/>
            <w:r>
              <w:rPr>
                <w:rFonts w:ascii="Times New Roman" w:hAnsi="Times New Roman"/>
                <w:sz w:val="19"/>
              </w:rPr>
              <w:t>yes (two-step product-method)</w:t>
            </w:r>
          </w:p>
        </w:tc>
        <w:tc>
          <w:tcPr>
            <w:tcW w:type="dxa" w:w="2160"/>
          </w:tcPr>
          <w:p>
            <w:r/>
            <w:r>
              <w:rPr>
                <w:rFonts w:ascii="Times New Roman" w:hAnsi="Times New Roman"/>
                <w:sz w:val="19"/>
              </w:rPr>
              <w:t>no (single-pathway two-sample MR)</w:t>
            </w:r>
          </w:p>
        </w:tc>
        <w:tc>
          <w:tcPr>
            <w:tcW w:type="dxa" w:w="2160"/>
          </w:tcPr>
          <w:p>
            <w:r/>
            <w:r>
              <w:rPr>
                <w:rFonts w:ascii="Times New Roman" w:hAnsi="Times New Roman"/>
                <w:sz w:val="19"/>
              </w:rPr>
              <w:t>no (single-pathway critique)</w:t>
            </w:r>
          </w:p>
        </w:tc>
      </w:tr>
      <w:tr>
        <w:tc>
          <w:tcPr>
            <w:tcW w:type="dxa" w:w="2160"/>
          </w:tcPr>
          <w:p>
            <w:r/>
            <w:r>
              <w:rPr>
                <w:rFonts w:ascii="Times New Roman" w:hAnsi="Times New Roman"/>
                <w:sz w:val="19"/>
              </w:rPr>
              <w:t>Reproducible tool</w:t>
            </w:r>
          </w:p>
        </w:tc>
        <w:tc>
          <w:tcPr>
            <w:tcW w:type="dxa" w:w="2160"/>
          </w:tcPr>
          <w:p>
            <w:r/>
            <w:r>
              <w:rPr>
                <w:rFonts w:ascii="Times New Roman" w:hAnsi="Times New Roman"/>
                <w:sz w:val="19"/>
              </w:rPr>
              <w:t>estimate_cov_prod_mr() (R) + wrappers</w:t>
            </w:r>
          </w:p>
        </w:tc>
        <w:tc>
          <w:tcPr>
            <w:tcW w:type="dxa" w:w="2160"/>
          </w:tcPr>
          <w:p>
            <w:r/>
            <w:r>
              <w:rPr>
                <w:rFonts w:ascii="Times New Roman" w:hAnsi="Times New Roman"/>
                <w:sz w:val="19"/>
              </w:rPr>
              <w:t>mr.simss (R package)</w:t>
            </w:r>
          </w:p>
        </w:tc>
        <w:tc>
          <w:tcPr>
            <w:tcW w:type="dxa" w:w="2160"/>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Overlap-bias methods relevant to two-step MR mediation. "Product estimand" = the indirect effect α̂β̂ as the product of two IVW estimates.</w:t>
      </w:r>
    </w:p>
    <w:p>
      <w:pPr>
        <w:ind w:firstLine="480"/>
        <w:jc w:val="both"/>
      </w:pPr>
      <w:r>
        <w:rPr>
          <w:rFonts w:ascii="Times New Roman" w:hAnsi="Times New Roman"/>
          <w:b/>
          <w:sz w:val="24"/>
        </w:rPr>
        <w:t>Representative applications of two-step MR mediation.</w:t>
      </w:r>
      <w:r>
        <w:rPr>
          <w:rFonts w:ascii="Times New Roman" w:hAnsi="Times New Roman"/>
          <w:b w:val="0"/>
          <w:sz w:val="24"/>
        </w:rPr>
        <w:t xml:space="preserve"> The method has proliferated rapidly across clinical domains; six examples illustrate its reach. Zhang et al. </w:t>
      </w:r>
      <w:r>
        <w:rPr>
          <w:rFonts w:ascii="Times New Roman" w:hAnsi="Times New Roman"/>
          <w:b w:val="0"/>
          <w:sz w:val="24"/>
          <w:vertAlign w:val="superscript"/>
        </w:rPr>
        <w:t>24</w:t>
      </w:r>
      <w:r>
        <w:rPr>
          <w:rFonts w:ascii="Times New Roman" w:hAnsi="Times New Roman"/>
          <w:b w:val="0"/>
          <w:sz w:val="24"/>
        </w:rPr>
        <w:t xml:space="preserve"> introduced METEOR for detecting shared and specific exposures underlying multiple outcomes. Tong et al. </w:t>
      </w:r>
      <w:r>
        <w:rPr>
          <w:rFonts w:ascii="Times New Roman" w:hAnsi="Times New Roman"/>
          <w:b w:val="0"/>
          <w:sz w:val="24"/>
          <w:vertAlign w:val="superscript"/>
        </w:rPr>
        <w:t>26</w:t>
      </w:r>
      <w:r>
        <w:rPr>
          <w:rFonts w:ascii="Times New Roman" w:hAnsi="Times New Roman"/>
          <w:b w:val="0"/>
          <w:sz w:val="24"/>
        </w:rPr>
        <w:t xml:space="preserve"> mediated the effect of GLP-1 receptor agonists on myocardial infarction. Yu et al. </w:t>
      </w:r>
      <w:r>
        <w:rPr>
          <w:rFonts w:ascii="Times New Roman" w:hAnsi="Times New Roman"/>
          <w:b w:val="0"/>
          <w:sz w:val="24"/>
          <w:vertAlign w:val="superscript"/>
        </w:rPr>
        <w:t>27</w:t>
      </w:r>
      <w:r>
        <w:rPr>
          <w:rFonts w:ascii="Times New Roman" w:hAnsi="Times New Roman"/>
          <w:b w:val="0"/>
          <w:sz w:val="24"/>
        </w:rPr>
        <w:t xml:space="preserve"> linked blood metabolites and immune-cell mediators to GVHD and relapse. Lin et al. </w:t>
      </w:r>
      <w:r>
        <w:rPr>
          <w:rFonts w:ascii="Times New Roman" w:hAnsi="Times New Roman"/>
          <w:b w:val="0"/>
          <w:sz w:val="24"/>
          <w:vertAlign w:val="superscript"/>
        </w:rPr>
        <w:t>28</w:t>
      </w:r>
      <w:r>
        <w:rPr>
          <w:rFonts w:ascii="Times New Roman" w:hAnsi="Times New Roman"/>
          <w:b w:val="0"/>
          <w:sz w:val="24"/>
        </w:rPr>
        <w:t xml:space="preserve"> mediated cardiometabolic pathways to heart failure with preserved ejection fraction. Hao et al. </w:t>
      </w:r>
      <w:r>
        <w:rPr>
          <w:rFonts w:ascii="Times New Roman" w:hAnsi="Times New Roman"/>
          <w:b w:val="0"/>
          <w:sz w:val="24"/>
          <w:vertAlign w:val="superscript"/>
        </w:rPr>
        <w:t>37</w:t>
      </w:r>
      <w:r>
        <w:rPr>
          <w:rFonts w:ascii="Times New Roman" w:hAnsi="Times New Roman"/>
          <w:b w:val="0"/>
          <w:sz w:val="24"/>
        </w:rPr>
        <w:t xml:space="preserve"> identified molecular mediators of obesity on breast cancer. He et al. </w:t>
      </w:r>
      <w:r>
        <w:rPr>
          <w:rFonts w:ascii="Times New Roman" w:hAnsi="Times New Roman"/>
          <w:b w:val="0"/>
          <w:sz w:val="24"/>
          <w:vertAlign w:val="superscript"/>
        </w:rPr>
        <w:t>39</w:t>
      </w:r>
      <w:r>
        <w:rPr>
          <w:rFonts w:ascii="Times New Roman" w:hAnsi="Times New Roman"/>
          <w:b w:val="0"/>
          <w:sz w:val="24"/>
        </w:rPr>
        <w:t xml:space="preserve"> examined maternal-hyperglycaemia mediation of neonatal outcomes. Ten further domain examples (metabolic, psychiatric, neurological and oncologic) are tabulated in Supplementary Table S5.</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w:t>
      </w:r>
      <w:r>
        <w:rPr>
          <w:rFonts w:ascii="Times New Roman" w:hAnsi="Times New Roman"/>
          <w:b w:val="0"/>
          <w:i/>
          <w:sz w:val="24"/>
        </w:rPr>
        <w:t>more</w:t>
      </w:r>
      <w:r>
        <w:rPr>
          <w:rFonts w:ascii="Times New Roman" w:hAnsi="Times New Roman"/>
          <w:b w:val="0"/>
          <w:sz w:val="24"/>
        </w:rPr>
        <w:t>,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performed by co-author C. Yan (C.Y.), who was independent of the original coder (J.W., excluded) and blind to the sealed answer key and to the study hypothesis, not from an independent external rater; a fully external reliability assessment was not feasible within the study timeline and is noted as a priority for follow-up validation. The blind re-coding template, sealed answer key, and compute_kappa_2nd.py are deposited so that an independent collaborator — or a blinded co-author — can reproduce or supersede this κ in one command. This limitation attaches to the reliability estimates themselves; it does not propagate to the headline prevalence finding, which does not rest on the lower-agreement field (see §3.2, "Which coded fields are load-bearing").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The absolute percentage could therefore shift if additional records were indexed, and we do not treat 39.3% as a database-independent constant. The central qualitative finding is, however, a within-corpus absence result, and would only be overturned if the additional records disclosed overlap handling at a markedly higher rate than the 54/333 assessable studies examined here; the pre-specified three-tier sensitivity (9.3–41.1%) further shows that the qualitative conclusion is stable across a wide range of classification assumptions.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b/>
          <w:sz w:val="24"/>
        </w:rPr>
        <w:t>Reporting implications.</w:t>
      </w:r>
      <w:r>
        <w:rPr>
          <w:rFonts w:ascii="Times New Roman" w:hAnsi="Times New Roman"/>
          <w:b w:val="0"/>
          <w:sz w:val="24"/>
        </w:rPr>
        <w:t xml:space="preserve"> The STROBE-MR statement </w:t>
      </w:r>
      <w:r>
        <w:rPr>
          <w:rFonts w:ascii="Times New Roman" w:hAnsi="Times New Roman"/>
          <w:b w:val="0"/>
          <w:sz w:val="24"/>
          <w:vertAlign w:val="superscript"/>
        </w:rPr>
        <w:t>40</w:t>
      </w:r>
      <w:r>
        <w:rPr>
          <w:rFonts w:ascii="Times New Roman" w:hAnsi="Times New Roman"/>
          <w:b w:val="0"/>
          <w:sz w:val="24"/>
        </w:rPr>
        <w:t xml:space="preserve"> should be extended to require explicit disclosure of the step-1 and step-2 instrument sets and their intersection, since without n_s no reader can recover the omitted covariance. Our tool lets analysts compute n_s from published summary statistics and apply the correction without full reanalysis. A recent perspective on the wider MR literature reaches the same conclusion: MR studies do not yet systematically use the data and techniques available to interrogate the reliability of their own assumptions </w:t>
      </w:r>
      <w:r>
        <w:rPr>
          <w:rFonts w:ascii="Times New Roman" w:hAnsi="Times New Roman"/>
          <w:b w:val="0"/>
          <w:sz w:val="24"/>
          <w:vertAlign w:val="superscript"/>
        </w:rPr>
        <w:t>41</w:t>
      </w:r>
      <w:r>
        <w:rPr>
          <w:rFonts w:ascii="Times New Roman" w:hAnsi="Times New Roman"/>
          <w:b w:val="0"/>
          <w:sz w:val="24"/>
        </w:rPr>
        <w:t>.</w:t>
      </w:r>
    </w:p>
    <w:p>
      <w:pPr>
        <w:ind w:firstLine="480"/>
        <w:jc w:val="both"/>
      </w:pPr>
      <w:r>
        <w:rPr>
          <w:rFonts w:ascii="Times New Roman" w:hAnsi="Times New Roman"/>
          <w:b/>
          <w:sz w:val="24"/>
        </w:rPr>
        <w:t>Practical recommendations.</w:t>
      </w:r>
      <w:r>
        <w:rPr>
          <w:rFonts w:ascii="Times New Roman" w:hAnsi="Times New Roman"/>
          <w:b w:val="0"/>
          <w:sz w:val="24"/>
        </w:rPr>
        <w:t xml:space="preserve"> Three quantities decide whether the traditional variance is adequate in any given two-step MR mediation: the number of shared instruments n_s (equivalently the shared proportion π_shared) and the mediator-outcome sample overlap ρ_MY. When n_s = 0 and the mediator and outcome GWAS are independent, the traditional expression is correct and no action is required. When either quantity is non-zero, Cov(α̂, β̂) is non-zero and the corrected variance should be reported alongside the naive one. Our R and Python implementations compute the correction from the published summary statistics alone, so it can be applied by authors, reviewers or readers without re-running the original analysis. In the weak-instrument, high-overlap corner (F &lt; 15 with π_shared &gt; 0.5), where the first-order approximation degrades, we recommend the Monte Carlo fallback instead. Crucially, the sign of the covariance - and hence whether an uncorrected interval was conservative or anti-conservative - cannot be anticipated without first computing these quantities, so the correction should be routine rather than conditional on an expected direction.</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Omitting Cov(α̂, β̂) under overlapping instruments or samples yields biased inference in two-step MR mediation; the closed-form correction closes a gap left open by the published summary-data framework. Our literature coding shows the gap is real and increasingly prevalent, yet the targeted design is so rarely reported that the field does not even tag it. In the resolved, EUR-ancestry subset the realized same-sign trios happen to sit in the benign (narrowing) tail — but this observation rests on a small, non-representative sample (§3.6, Limitations 2b) and cannot be extrapolated to the full audited corpus, because the sign is prior-unknown and the opposite-sign / sample-overlap regime widens. The contribution of this paper is therefore the closed-form tool, the empirical boundary conditions under which the direction flips, and the audit baseline needed to make overlap routine to report and correct — not a retrospective correction of individual conclusions. Reporting n_s, π_shared and ρ_MY should become standard for every two-step MR mediation, so that the field can tell, for any result, which regime it occupies.</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(https://github.com/javenzju/two-step-mr-cov; archived at Zenodo, DOI: 10.5281/zenodo.22725281)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C. Yan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placeholder will be replaced with the permanent archival DOI once the tagged repository release has been deposited; the GitHub repository is public at submission.</w:t>
      </w:r>
    </w:p>
    <w:p>
      <w:pPr>
        <w:spacing w:before="200" w:after="80"/>
        <w:jc w:val="left"/>
      </w:pPr>
      <w:r>
        <w:rPr>
          <w:rFonts w:ascii="Times New Roman" w:hAnsi="Times New Roman"/>
          <w:b/>
          <w:sz w:val="26"/>
        </w:rPr>
        <w:t>Funding</w:t>
      </w:r>
    </w:p>
    <w:p>
      <w:pPr>
        <w:ind w:firstLine="480"/>
        <w:jc w:val="both"/>
      </w:pPr>
      <w:r>
        <w:rPr>
          <w:rFonts w:ascii="Times New Roman" w:hAnsi="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w:t>
      </w:r>
    </w:p>
    <w:p>
      <w:pPr>
        <w:spacing w:before="200" w:after="80"/>
        <w:jc w:val="left"/>
      </w:pPr>
      <w:r>
        <w:rPr>
          <w:rFonts w:ascii="Times New Roman" w:hAnsi="Times New Roman"/>
          <w:b/>
          <w:sz w:val="26"/>
        </w:rPr>
        <w:t>Acknowledgements</w:t>
      </w:r>
    </w:p>
    <w:p>
      <w:pPr>
        <w:ind w:firstLine="480"/>
        <w:jc w:val="both"/>
      </w:pPr>
      <w:r>
        <w:rPr>
          <w:rFonts w:ascii="Times New Roman" w:hAnsi="Times New Roman"/>
          <w:b w:val="0"/>
          <w:sz w:val="24"/>
        </w:rPr>
        <w:t>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b/>
          <w:sz w:val="26"/>
        </w:rPr>
        <w:t>Author contributions</w:t>
      </w:r>
    </w:p>
    <w:p>
      <w:pPr>
        <w:ind w:firstLine="480"/>
        <w:jc w:val="both"/>
      </w:pPr>
      <w:r>
        <w:rPr>
          <w:rFonts w:ascii="Times New Roman" w:hAnsi="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b/>
          <w:sz w:val="26"/>
        </w:rPr>
        <w:t>Ethical approval</w:t>
      </w:r>
    </w:p>
    <w:p>
      <w:pPr>
        <w:ind w:firstLine="480"/>
        <w:jc w:val="both"/>
      </w:pPr>
      <w:r>
        <w:rPr>
          <w:rFonts w:ascii="Times New Roman" w:hAnsi="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 Consent to participate: not applicable. Consent for publication: not applicable.</w:t>
      </w:r>
    </w:p>
    <w:p>
      <w:pPr>
        <w:spacing w:before="200" w:after="80"/>
        <w:jc w:val="left"/>
      </w:pPr>
      <w:r>
        <w:rPr>
          <w:rFonts w:ascii="Times New Roman" w:hAnsi="Times New Roman"/>
          <w:b/>
          <w:sz w:val="26"/>
        </w:rPr>
        <w:t>Competing interests</w:t>
      </w:r>
    </w:p>
    <w:p>
      <w:pPr>
        <w:ind w:firstLine="480"/>
        <w:jc w:val="both"/>
      </w:pPr>
      <w:r>
        <w:rPr>
          <w:rFonts w:ascii="Times New Roman" w:hAnsi="Times New Roman"/>
          <w:b w:val="0"/>
          <w:sz w:val="24"/>
        </w:rPr>
        <w:t>The authors declare no competing interests.</w:t>
      </w:r>
    </w:p>
    <w:p>
      <w:pPr>
        <w:spacing w:before="200" w:after="80"/>
        <w:jc w:val="left"/>
      </w:pPr>
      <w:r>
        <w:rPr>
          <w:rFonts w:ascii="Times New Roman" w:hAnsi="Times New Roman"/>
          <w:b/>
          <w:sz w:val="26"/>
        </w:rPr>
        <w:t>Artificial intelligence disclosure</w:t>
      </w:r>
    </w:p>
    <w:p>
      <w:pPr>
        <w:ind w:firstLine="480"/>
        <w:jc w:val="both"/>
      </w:pPr>
      <w:r>
        <w:rPr>
          <w:rFonts w:ascii="Times New Roman" w:hAnsi="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w:t>
      </w:r>
    </w:p>
    <w:p>
      <w:pPr>
        <w:ind w:left="420" w:hanging="420"/>
        <w:jc w:val="left"/>
      </w:pPr>
      <w:r>
        <w:rPr>
          <w:rFonts w:ascii="Times New Roman" w:hAnsi="Times New Roman"/>
          <w:b w:val="0"/>
          <w:sz w:val="20"/>
        </w:rPr>
        <w:t xml:space="preserve">40. Skrivankova VW, Richmond RC, Woolf BAR, Yarmolinsky J, Davies NM, Swanson SA, et al. Strengthening the Reporting of Observational Studies in Epidemiology Using Mendelian Randomization: The STROBE-MR Statement. JAMA. 2021;326(16):1614-1621. doi:10.1001/jama.2021.18236. </w:t>
      </w:r>
    </w:p>
    <w:p>
      <w:pPr>
        <w:ind w:left="420" w:hanging="420"/>
        <w:jc w:val="left"/>
      </w:pPr>
      <w:r>
        <w:rPr>
          <w:rFonts w:ascii="Times New Roman" w:hAnsi="Times New Roman"/>
          <w:b w:val="0"/>
          <w:sz w:val="20"/>
        </w:rPr>
        <w:t>41. Sanderson E, Levin MG, Walker V, Yuan S, Badini I, Dolce J, Mahida KJ, Nho JW, Pingault JB, Damrauer SM, Hemani G, Davies NM. Challenges and future directions for Mendelian randomization. Nat Genet. 2026;58:984-994. doi:10.1038/s41588-026-02546-6.</w:t>
      </w:r>
    </w:p>
    <w:p>
      <w:pPr>
        <w:spacing w:before="200" w:after="80"/>
        <w:jc w:val="left"/>
      </w:pPr>
      <w:r>
        <w:rPr>
          <w:rFonts w:ascii="Times New Roman" w:hAnsi="Times New Roman"/>
          <w:b/>
          <w:sz w:val="26"/>
        </w:rPr>
        <w:t>Figure legends</w:t>
      </w:r>
    </w:p>
    <w:p>
      <w:pPr>
        <w:jc w:val="both"/>
      </w:pPr>
      <w:r>
        <w:rPr>
          <w:rFonts w:ascii="Times New Roman" w:hAnsi="Times New Roman"/>
          <w:b w:val="0"/>
          <w:sz w:val="24"/>
        </w:rPr>
        <w:t>Figures are provided as separate electronic files (Fig. 1-4 and Supplementary Fig. S1-S4).</w:t>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both"/>
      </w:pPr>
      <w:r>
        <w:rPr>
          <w:rFonts w:ascii="Times New Roman" w:hAnsi="Times New Roman"/>
          <w:b/>
          <w:sz w:val="24"/>
        </w:rPr>
        <w:t>Figure 2.</w:t>
      </w:r>
      <w:r>
        <w:rPr>
          <w:rFonts w:ascii="Times New Roman" w:hAnsi="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Seven (6.5% [95% CI 3.2-12.8%]) showed genuine instrument overlap.</w:t>
      </w:r>
    </w:p>
    <w:p>
      <w:pPr>
        <w:jc w:val="both"/>
      </w:pPr>
      <w:r>
        <w:rPr>
          <w:rFonts w:ascii="Times New Roman" w:hAnsi="Times New Roman"/>
          <w:b/>
          <w:sz w:val="24"/>
        </w:rPr>
        <w:t>Supplementary Figure S1.</w:t>
      </w:r>
      <w:r>
        <w:rPr>
          <w:rFonts w:ascii="Times New Roman" w:hAnsi="Times New Roman"/>
          <w:b w:val="0"/>
          <w:sz w:val="24"/>
        </w:rPr>
        <w:t xml:space="preserve"> </w:t>
      </w:r>
      <w:r>
        <w:rPr>
          <w:rFonts w:ascii="Times New Roman" w:hAnsi="Times New Roman"/>
          <w:b w:val="0"/>
          <w:i/>
          <w:sz w:val="24"/>
        </w:rPr>
        <w:t>Left:</w:t>
      </w:r>
      <w:r>
        <w:rPr>
          <w:rFonts w:ascii="Times New Roman" w:hAnsi="Times New Roman"/>
          <w:b w:val="0"/>
          <w:sz w:val="24"/>
        </w:rPr>
        <w:t xml:space="preserve"> relative error of the traditional delta-method SE as a function of the proportion of shared instruments (π_shared), for instrument strengths F = 10, 15, 30 and ρ_MY = 0. At π_shared = 0.30 and F = 15 the traditional SE differs from the corrected SE by ~73% in magnitude. </w:t>
      </w:r>
      <w:r>
        <w:rPr>
          <w:rFonts w:ascii="Times New Roman" w:hAnsi="Times New Roman"/>
          <w:b w:val="0"/>
          <w:i/>
          <w:sz w:val="24"/>
        </w:rPr>
        <w:t>Right:</w:t>
      </w:r>
      <w:r>
        <w:rPr>
          <w:rFonts w:ascii="Times New Roman" w:hAnsi="Times New Roman"/>
          <w:b w:val="0"/>
          <w:sz w:val="24"/>
        </w:rPr>
        <w:t xml:space="preserve">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both"/>
      </w:pPr>
      <w:r>
        <w:rPr>
          <w:rFonts w:ascii="Times New Roman" w:hAnsi="Times New Roman"/>
          <w:b/>
          <w:sz w:val="24"/>
        </w:rPr>
        <w:t>Figure 3.</w:t>
      </w:r>
      <w:r>
        <w:rPr>
          <w:rFonts w:ascii="Times New Roman" w:hAnsi="Times New Roman"/>
          <w:b w:val="0"/>
          <w:sz w:val="24"/>
        </w:rPr>
        <w:t xml:space="preserve"> Percentage of 333 two-step MR mediation studies at risk of non-zero Cov(α̂, β̂) under three classification assumptions. </w:t>
      </w:r>
      <w:r>
        <w:rPr>
          <w:rFonts w:ascii="Times New Roman" w:hAnsi="Times New Roman"/>
          <w:b w:val="0"/>
          <w:i/>
          <w:sz w:val="24"/>
        </w:rPr>
        <w:t>Conservative</w:t>
      </w:r>
      <w:r>
        <w:rPr>
          <w:rFonts w:ascii="Times New Roman" w:hAnsi="Times New Roman"/>
          <w:b w:val="0"/>
          <w:sz w:val="24"/>
        </w:rPr>
        <w:t xml:space="preserve"> counts only merged-IV-pool and MVMR-joint designs (9.3% [95% CI 6.6–12.9%]). </w:t>
      </w:r>
      <w:r>
        <w:rPr>
          <w:rFonts w:ascii="Times New Roman" w:hAnsi="Times New Roman"/>
          <w:b w:val="0"/>
          <w:i/>
          <w:sz w:val="24"/>
        </w:rPr>
        <w:t>Typical</w:t>
      </w:r>
      <w:r>
        <w:rPr>
          <w:rFonts w:ascii="Times New Roman" w:hAnsi="Times New Roman"/>
          <w:b w:val="0"/>
          <w:sz w:val="24"/>
        </w:rPr>
        <w:t xml:space="preserve"> additionally counts separate-IV designs that do not report overlap handling, yielding the headline estimate of </w:t>
      </w:r>
      <w:r>
        <w:rPr>
          <w:rFonts w:ascii="Times New Roman" w:hAnsi="Times New Roman"/>
          <w:b/>
          <w:sz w:val="24"/>
        </w:rPr>
        <w:t>39.3% (95% CI 34.2–44.7%)</w:t>
      </w:r>
      <w:r>
        <w:rPr>
          <w:rFonts w:ascii="Times New Roman" w:hAnsi="Times New Roman"/>
          <w:b w:val="0"/>
          <w:sz w:val="24"/>
        </w:rPr>
        <w:t xml:space="preserve">. </w:t>
      </w:r>
      <w:r>
        <w:rPr>
          <w:rFonts w:ascii="Times New Roman" w:hAnsi="Times New Roman"/>
          <w:b w:val="0"/>
          <w:i/>
          <w:sz w:val="24"/>
        </w:rPr>
        <w:t>Structural</w:t>
      </w:r>
      <w:r>
        <w:rPr>
          <w:rFonts w:ascii="Times New Roman" w:hAnsi="Times New Roman"/>
          <w:b w:val="0"/>
          <w:sz w:val="24"/>
        </w:rPr>
        <w:t xml:space="preserve"> counts all separate-IV designs as capable of overlap (41.1% [95% CI 36.0–46.5%]).</w:t>
      </w:r>
    </w:p>
    <w:p>
      <w:pPr>
        <w:jc w:val="both"/>
      </w:pPr>
      <w:r>
        <w:rPr>
          <w:rFonts w:ascii="Times New Roman" w:hAnsi="Times New Roman"/>
          <w:b/>
          <w:sz w:val="24"/>
        </w:rPr>
        <w:t>Figure 4.</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w:t>
      </w:r>
      <w:r>
        <w:rPr>
          <w:rFonts w:ascii="Times New Roman" w:hAnsi="Times New Roman"/>
          <w:b w:val="0"/>
          <w:i/>
          <w:sz w:val="24"/>
        </w:rPr>
        <w:t>Top:</w:t>
      </w:r>
      <w:r>
        <w:rPr>
          <w:rFonts w:ascii="Times New Roman" w:hAnsi="Times New Roman"/>
          <w:b w:val="0"/>
          <w:sz w:val="24"/>
        </w:rPr>
        <w:t xml:space="preserve"> shared-IV design (n_s = 78), where the corrected SE is 15.5% smaller. </w:t>
      </w:r>
      <w:r>
        <w:rPr>
          <w:rFonts w:ascii="Times New Roman" w:hAnsi="Times New Roman"/>
          <w:b w:val="0"/>
          <w:i/>
          <w:sz w:val="24"/>
        </w:rPr>
        <w:t>Bottom:</w:t>
      </w:r>
      <w:r>
        <w:rPr>
          <w:rFonts w:ascii="Times New Roman" w:hAnsi="Times New Roman"/>
          <w:b w:val="0"/>
          <w:sz w:val="24"/>
        </w:rPr>
        <w:t xml:space="preserve"> natural overlap (n_s = 13), where the corrected SE is 2.8% smaller.</w:t>
      </w:r>
    </w:p>
    <w:p>
      <w:pPr>
        <w:jc w:val="both"/>
      </w:pPr>
      <w:r>
        <w:rPr>
          <w:rFonts w:ascii="Times New Roman" w:hAnsi="Times New Roman"/>
          <w:b/>
          <w:sz w:val="24"/>
        </w:rPr>
        <w:t>Supplementary Figure S2.</w:t>
      </w:r>
      <w:r>
        <w:rPr>
          <w:rFonts w:ascii="Times New Roman" w:hAnsi="Times New Roman"/>
          <w:b w:val="0"/>
          <w:sz w:val="24"/>
        </w:rPr>
        <w:t xml:space="preserve"> Targeted validation sweep at non-degenerate shared-instrument proportions (ρ_MY = 0.5, n_reps = 30,000). </w:t>
      </w:r>
      <w:r>
        <w:rPr>
          <w:rFonts w:ascii="Times New Roman" w:hAnsi="Times New Roman"/>
          <w:b w:val="0"/>
          <w:i/>
          <w:sz w:val="24"/>
        </w:rPr>
        <w:t>Left:</w:t>
      </w:r>
      <w:r>
        <w:rPr>
          <w:rFonts w:ascii="Times New Roman" w:hAnsi="Times New Roman"/>
          <w:b w:val="0"/>
          <w:sz w:val="24"/>
        </w:rPr>
        <w:t xml:space="preserve"> empirical Cov(α̂, β̂) (points) versus the closed-form analytical prediction (lines) across π_shared, for F = 10 and F = 30; the two coincide. </w:t>
      </w:r>
      <w:r>
        <w:rPr>
          <w:rFonts w:ascii="Times New Roman" w:hAnsi="Times New Roman"/>
          <w:b w:val="0"/>
          <w:i/>
          <w:sz w:val="24"/>
        </w:rPr>
        <w:t>Right:</w:t>
      </w:r>
      <w:r>
        <w:rPr>
          <w:rFonts w:ascii="Times New Roman" w:hAnsi="Times New Roman"/>
          <w:b w:val="0"/>
          <w:sz w:val="24"/>
        </w:rPr>
        <w:t xml:space="preserve"> relative error of the analytical covariance versus the conservative reliability bound B(F, ρ_MY, π_shared) for all 12 cells; all points fall below the bound, with the worst cell at 14.1%.</w:t>
      </w:r>
    </w:p>
    <w:p>
      <w:pPr>
        <w:jc w:val="both"/>
      </w:pPr>
      <w:r>
        <w:rPr>
          <w:rFonts w:ascii="Times New Roman" w:hAnsi="Times New Roman"/>
          <w:b/>
          <w:sz w:val="24"/>
        </w:rPr>
        <w:t>Supplementary Figure S3.</w:t>
      </w:r>
      <w:r>
        <w:rPr>
          <w:rFonts w:ascii="Times New Roman" w:hAnsi="Times New Roman"/>
          <w:b w:val="0"/>
          <w:sz w:val="24"/>
        </w:rPr>
        <w:t xml:space="preserve"> Flip probability as a function of the true indirect-effect non-centrality λ = δ/σ_naive, by shared-instrument proportion π_shared, under the corrected variance. </w:t>
      </w:r>
      <w:r>
        <w:rPr>
          <w:rFonts w:ascii="Times New Roman" w:hAnsi="Times New Roman"/>
          <w:b w:val="0"/>
          <w:i/>
          <w:sz w:val="24"/>
        </w:rPr>
        <w:t>Panel A</w:t>
      </w:r>
      <w:r>
        <w:rPr>
          <w:rFonts w:ascii="Times New Roman" w:hAnsi="Times New Roman"/>
          <w:b w:val="0"/>
          <w:sz w:val="24"/>
        </w:rPr>
        <w:t xml:space="preserve"> (concordant mediation, ρ_MY = 0, F = 10): the correction narrows the CI, so flips are gains of significance; the displayed F = 10 panel peaks at 5.1%, while the worst cell across the full concordant 100-design grid is 5.7% (F = 30, π_shared = 1.0, λ ≈ 2.0). </w:t>
      </w:r>
      <w:r>
        <w:rPr>
          <w:rFonts w:ascii="Times New Roman" w:hAnsi="Times New Roman"/>
          <w:b w:val="0"/>
          <w:i/>
          <w:sz w:val="24"/>
        </w:rPr>
        <w:t>Panel B</w:t>
      </w:r>
      <w:r>
        <w:rPr>
          <w:rFonts w:ascii="Times New Roman" w:hAnsi="Times New Roman"/>
          <w:b w:val="0"/>
          <w:sz w:val="24"/>
        </w:rPr>
        <w:t xml:space="preserve"> (discordant mediation / full sample overlap, ρ_MY = 1, F = 10): the correction widens the CI, so flips are losses of significance; the displayed panel and the grid-wide discordant maximum coincide at 10.4% (π_shared = 1.0, λ ≈ 2.25). The dashed vertical line marks the naive 1.96 threshold; both panels confine the flip band to λ ≈ 1.7–2.4.</w:t>
      </w:r>
    </w:p>
    <w:p>
      <w:pPr>
        <w:jc w:val="both"/>
      </w:pPr>
      <w:r>
        <w:rPr>
          <w:rFonts w:ascii="Times New Roman" w:hAnsi="Times New Roman"/>
          <w:b/>
          <w:sz w:val="24"/>
        </w:rPr>
        <w:t>Supplementary Figure S4.</w:t>
      </w:r>
      <w:r>
        <w:rPr>
          <w:rFonts w:ascii="Times New Roman" w:hAnsi="Times New Roman"/>
          <w:b w:val="0"/>
          <w:sz w:val="24"/>
        </w:rPr>
        <w:t xml:space="preserve"> Relative change in the indirect-effect SE after the S10 correction across the adequately powered overlapping studies from the batch re-estimation (Table 2). All values are negative (the CI narrows). Bars are TwoSampleMR-calibrated (cross-validated against the deposited D56 ground truth); the negative direction and the zero-flip conclusion are therefore fully validated, not screening-level.</w:t>
      </w:r>
    </w:p>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Figures S1, S2, S3 and S4:</w:t>
      </w:r>
      <w:r>
        <w:rPr>
          <w:rFonts w:ascii="Times New Roman" w:hAnsi="Times New Roman"/>
          <w:b w:val="0"/>
          <w:sz w:val="24"/>
        </w:rPr>
        <w:t xml:space="preserve"> the simulation-coverage plot, the targeted validation sweep, the flip-probability scan, and the SE-change forest, respectively; their legends appear in the Figure legends section under their supplementary labels.</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Methods S8:</w:t>
      </w:r>
      <w:r>
        <w:rPr>
          <w:rFonts w:ascii="Times New Roman" w:hAnsi="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targeted validation sweep at non-degenerate shared-instrument proportions (ρ_MY = 0.5, 12 cells): empirical versus analytical Cov(α̂, β̂) and reliability-bound relative error — defined below. The full 180-cell simulation grid (coverage/MSE by estimator) is tabulated in Supplementary Methods S6.</w:t>
      </w:r>
    </w:p>
    <w:p>
      <w:pPr>
        <w:pStyle w:val="ListBullet"/>
        <w:jc w:val="both"/>
      </w:pPr>
      <w:r>
        <w:rPr>
          <w:rFonts w:ascii="Times New Roman" w:hAnsi="Times New Roman"/>
          <w:b/>
          <w:sz w:val="24"/>
        </w:rPr>
        <w:t>Supplementary Table S2:</w:t>
      </w:r>
      <w:r>
        <w:rPr>
          <w:rFonts w:ascii="Times New Roman" w:hAnsi="Times New Roman"/>
          <w:b w:val="0"/>
          <w:sz w:val="24"/>
        </w:rPr>
        <w:t xml:space="preserve"> completed PRISMA 2020 checklist for the literature audit, with search strings (D61_Supplementary_S9_prisma_checklist.md).</w:t>
      </w:r>
    </w:p>
    <w:p>
      <w:pPr>
        <w:pStyle w:val="ListBullet"/>
        <w:jc w:val="both"/>
      </w:pPr>
      <w:r>
        <w:rPr>
          <w:rFonts w:ascii="Times New Roman" w:hAnsi="Times New Roman"/>
          <w:b/>
          <w:sz w:val="24"/>
        </w:rPr>
        <w:t>Supplementary Table S3:</w:t>
      </w:r>
      <w:r>
        <w:rPr>
          <w:rFonts w:ascii="Times New Roman" w:hAnsi="Times New Roman"/>
          <w:b w:val="0"/>
          <w:sz w:val="24"/>
        </w:rPr>
        <w:t xml:space="preserve"> Phase-B batch re-estimation of published two-step MR mediation studies (D61_Supplementary_S8_batch.md).</w:t>
      </w:r>
    </w:p>
    <w:p>
      <w:pPr>
        <w:pStyle w:val="ListBullet"/>
        <w:jc w:val="both"/>
      </w:pPr>
      <w:r>
        <w:rPr>
          <w:rFonts w:ascii="Times New Roman" w:hAnsi="Times New Roman"/>
          <w:b/>
          <w:sz w:val="24"/>
        </w:rPr>
        <w:t>Supplementary Table S4:</w:t>
      </w:r>
      <w:r>
        <w:rPr>
          <w:rFonts w:ascii="Times New Roman" w:hAnsi="Times New Roman"/>
          <w:b w:val="0"/>
          <w:sz w:val="24"/>
        </w:rPr>
        <w:t xml:space="preserve"> Empirical ρ_MY for the six overlapping trios (D61_Supplementary_S8_batch.md).</w:t>
      </w:r>
    </w:p>
    <w:p>
      <w:pPr>
        <w:pStyle w:val="ListBullet"/>
        <w:jc w:val="both"/>
      </w:pPr>
      <w:r>
        <w:rPr>
          <w:rFonts w:ascii="Times New Roman" w:hAnsi="Times New Roman"/>
          <w:b/>
          <w:sz w:val="24"/>
        </w:rPr>
        <w:t>Supplementary Table S5:</w:t>
      </w:r>
      <w:r>
        <w:rPr>
          <w:rFonts w:ascii="Times New Roman" w:hAnsi="Times New Roman"/>
          <w:b w:val="0"/>
          <w:sz w:val="24"/>
        </w:rPr>
        <w:t xml:space="preserve"> additional two-step MR mediation applications cited in the text, beyond the six worked examples in the Discussion (domain, study and reference).</w:t>
      </w:r>
    </w:p>
    <w:p>
      <w:pPr>
        <w:ind w:firstLine="480"/>
        <w:jc w:val="both"/>
      </w:pPr>
      <w:r>
        <w:rPr>
          <w:rFonts w:ascii="Times New Roman" w:hAnsi="Times New Roman"/>
          <w:b/>
          <w:sz w:val="24"/>
        </w:rPr>
        <w:t>Supplementary Table S1.</w:t>
      </w:r>
      <w:r>
        <w:rPr>
          <w:rFonts w:ascii="Times New Roman" w:hAnsi="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1728"/>
            <w:tcBorders>
              <w:bottom w:val="single" w:sz="6" w:space="0" w:color="auto"/>
            </w:tcBorders>
          </w:tcPr>
          <w:p>
            <w:r/>
            <w:r>
              <w:rPr>
                <w:rFonts w:ascii="Times New Roman" w:hAnsi="Times New Roman"/>
                <w:b/>
                <w:sz w:val="19"/>
              </w:rPr>
              <w:t>F</w:t>
            </w:r>
          </w:p>
        </w:tc>
        <w:tc>
          <w:tcPr>
            <w:tcW w:type="dxa" w:w="1728"/>
            <w:tcBorders>
              <w:bottom w:val="single" w:sz="6" w:space="0" w:color="auto"/>
            </w:tcBorders>
          </w:tcPr>
          <w:p>
            <w:r/>
            <w:r>
              <w:rPr>
                <w:rFonts w:ascii="Times New Roman" w:hAnsi="Times New Roman"/>
                <w:b/>
                <w:sz w:val="19"/>
              </w:rPr>
              <w:t>π_shared</w:t>
            </w:r>
          </w:p>
        </w:tc>
        <w:tc>
          <w:tcPr>
            <w:tcW w:type="dxa" w:w="1728"/>
            <w:tcBorders>
              <w:bottom w:val="single" w:sz="6" w:space="0" w:color="auto"/>
            </w:tcBorders>
          </w:tcPr>
          <w:p>
            <w:r/>
            <w:r>
              <w:rPr>
                <w:rFonts w:ascii="Times New Roman" w:hAnsi="Times New Roman"/>
                <w:b/>
                <w:sz w:val="19"/>
              </w:rPr>
              <w:t>emp_cov</w:t>
            </w:r>
          </w:p>
        </w:tc>
        <w:tc>
          <w:tcPr>
            <w:tcW w:type="dxa" w:w="1728"/>
            <w:tcBorders>
              <w:bottom w:val="single" w:sz="6" w:space="0" w:color="auto"/>
            </w:tcBorders>
          </w:tcPr>
          <w:p>
            <w:r/>
            <w:r>
              <w:rPr>
                <w:rFonts w:ascii="Times New Roman" w:hAnsi="Times New Roman"/>
                <w:b/>
                <w:sz w:val="19"/>
              </w:rPr>
              <w:t>theory_total</w:t>
            </w:r>
          </w:p>
        </w:tc>
        <w:tc>
          <w:tcPr>
            <w:tcW w:type="dxa" w:w="1728"/>
            <w:tcBorders>
              <w:bottom w:val="single" w:sz="6" w:space="0" w:color="auto"/>
            </w:tcBorders>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ind w:firstLine="480"/>
        <w:jc w:val="both"/>
      </w:pPr>
      <w:r>
        <w:rPr>
          <w:rFonts w:ascii="Times New Roman" w:hAnsi="Times New Roman"/>
          <w:b/>
          <w:sz w:val="24"/>
        </w:rPr>
        <w:t>Supplementary Table S5.</w:t>
      </w:r>
      <w:r>
        <w:rPr>
          <w:rFonts w:ascii="Times New Roman" w:hAnsi="Times New Roman"/>
          <w:b w:val="0"/>
          <w:sz w:val="24"/>
        </w:rPr>
        <w:t xml:space="preserve"> Additional two-step MR mediation applications (cited in the text beyond the six Discussion examples).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2880"/>
        <w:gridCol w:w="2880"/>
        <w:gridCol w:w="2880"/>
      </w:tblGrid>
      <w:tr>
        <w:tc>
          <w:tcPr>
            <w:tcW w:type="dxa" w:w="2880"/>
            <w:tcBorders>
              <w:bottom w:val="single" w:sz="6" w:space="0" w:color="auto"/>
            </w:tcBorders>
          </w:tcPr>
          <w:p>
            <w:r/>
            <w:r>
              <w:rPr>
                <w:rFonts w:ascii="Times New Roman" w:hAnsi="Times New Roman"/>
                <w:b/>
                <w:sz w:val="19"/>
              </w:rPr>
              <w:t>Ref</w:t>
            </w:r>
          </w:p>
        </w:tc>
        <w:tc>
          <w:tcPr>
            <w:tcW w:type="dxa" w:w="2880"/>
            <w:tcBorders>
              <w:bottom w:val="single" w:sz="6" w:space="0" w:color="auto"/>
            </w:tcBorders>
          </w:tcPr>
          <w:p>
            <w:r/>
            <w:r>
              <w:rPr>
                <w:rFonts w:ascii="Times New Roman" w:hAnsi="Times New Roman"/>
                <w:b/>
                <w:sz w:val="19"/>
              </w:rPr>
              <w:t>Domain</w:t>
            </w:r>
          </w:p>
        </w:tc>
        <w:tc>
          <w:tcPr>
            <w:tcW w:type="dxa" w:w="2880"/>
            <w:tcBorders>
              <w:bottom w:val="single" w:sz="6" w:space="0" w:color="auto"/>
            </w:tcBorders>
          </w:tcPr>
          <w:p>
            <w:r/>
            <w:r>
              <w:rPr>
                <w:rFonts w:ascii="Times New Roman" w:hAnsi="Times New Roman"/>
                <w:b/>
                <w:sz w:val="19"/>
              </w:rPr>
              <w:t>Study</w:t>
            </w:r>
          </w:p>
        </w:tc>
      </w:tr>
      <w:tr>
        <w:tc>
          <w:tcPr>
            <w:tcW w:type="dxa" w:w="2880"/>
          </w:tcPr>
          <w:p>
            <w:r/>
            <w:r>
              <w:rPr>
                <w:rFonts w:ascii="Times New Roman" w:hAnsi="Times New Roman"/>
                <w:sz w:val="19"/>
              </w:rPr>
              <w:t>[25]</w:t>
            </w:r>
          </w:p>
        </w:tc>
        <w:tc>
          <w:tcPr>
            <w:tcW w:type="dxa" w:w="2880"/>
          </w:tcPr>
          <w:p>
            <w:r/>
            <w:r>
              <w:rPr>
                <w:rFonts w:ascii="Times New Roman" w:hAnsi="Times New Roman"/>
                <w:sz w:val="19"/>
              </w:rPr>
              <w:t>Psychiatry</w:t>
            </w:r>
          </w:p>
        </w:tc>
        <w:tc>
          <w:tcPr>
            <w:tcW w:type="dxa" w:w="2880"/>
          </w:tcPr>
          <w:p>
            <w:r/>
            <w:r>
              <w:rPr>
                <w:rFonts w:ascii="Times New Roman" w:hAnsi="Times New Roman"/>
                <w:sz w:val="19"/>
              </w:rPr>
              <w:t>Feng et al. — cross-ancestry pleiotropic imaging phenotypes for depression risk stratification</w:t>
            </w:r>
          </w:p>
        </w:tc>
      </w:tr>
      <w:tr>
        <w:tc>
          <w:tcPr>
            <w:tcW w:type="dxa" w:w="2880"/>
          </w:tcPr>
          <w:p>
            <w:r/>
            <w:r>
              <w:rPr>
                <w:rFonts w:ascii="Times New Roman" w:hAnsi="Times New Roman"/>
                <w:sz w:val="19"/>
              </w:rPr>
              <w:t>[29]</w:t>
            </w:r>
          </w:p>
        </w:tc>
        <w:tc>
          <w:tcPr>
            <w:tcW w:type="dxa" w:w="2880"/>
          </w:tcPr>
          <w:p>
            <w:r/>
            <w:r>
              <w:rPr>
                <w:rFonts w:ascii="Times New Roman" w:hAnsi="Times New Roman"/>
                <w:sz w:val="19"/>
              </w:rPr>
              <w:t>Metabolic / endocrine</w:t>
            </w:r>
          </w:p>
        </w:tc>
        <w:tc>
          <w:tcPr>
            <w:tcW w:type="dxa" w:w="2880"/>
          </w:tcPr>
          <w:p>
            <w:r/>
            <w:r>
              <w:rPr>
                <w:rFonts w:ascii="Times New Roman" w:hAnsi="Times New Roman"/>
                <w:sz w:val="19"/>
              </w:rPr>
              <w:t>Hu et al. — body-fat distribution as mediator of diabetogenic action of lipid-modifying drugs</w:t>
            </w:r>
          </w:p>
        </w:tc>
      </w:tr>
      <w:tr>
        <w:tc>
          <w:tcPr>
            <w:tcW w:type="dxa" w:w="2880"/>
          </w:tcPr>
          <w:p>
            <w:r/>
            <w:r>
              <w:rPr>
                <w:rFonts w:ascii="Times New Roman" w:hAnsi="Times New Roman"/>
                <w:sz w:val="19"/>
              </w:rPr>
              <w:t>[30]</w:t>
            </w:r>
          </w:p>
        </w:tc>
        <w:tc>
          <w:tcPr>
            <w:tcW w:type="dxa" w:w="2880"/>
          </w:tcPr>
          <w:p>
            <w:r/>
            <w:r>
              <w:rPr>
                <w:rFonts w:ascii="Times New Roman" w:hAnsi="Times New Roman"/>
                <w:sz w:val="19"/>
              </w:rPr>
              <w:t>Oncology (neuro)</w:t>
            </w:r>
          </w:p>
        </w:tc>
        <w:tc>
          <w:tcPr>
            <w:tcW w:type="dxa" w:w="2880"/>
          </w:tcPr>
          <w:p>
            <w:r/>
            <w:r>
              <w:rPr>
                <w:rFonts w:ascii="Times New Roman" w:hAnsi="Times New Roman"/>
                <w:sz w:val="19"/>
              </w:rPr>
              <w:t>Huang et al. — cyclic cytokines mediating immune-cell effects on meningioma</w:t>
            </w:r>
          </w:p>
        </w:tc>
      </w:tr>
      <w:tr>
        <w:tc>
          <w:tcPr>
            <w:tcW w:type="dxa" w:w="2880"/>
          </w:tcPr>
          <w:p>
            <w:r/>
            <w:r>
              <w:rPr>
                <w:rFonts w:ascii="Times New Roman" w:hAnsi="Times New Roman"/>
                <w:sz w:val="19"/>
              </w:rPr>
              <w:t>[31]</w:t>
            </w:r>
          </w:p>
        </w:tc>
        <w:tc>
          <w:tcPr>
            <w:tcW w:type="dxa" w:w="2880"/>
          </w:tcPr>
          <w:p>
            <w:r/>
            <w:r>
              <w:rPr>
                <w:rFonts w:ascii="Times New Roman" w:hAnsi="Times New Roman"/>
                <w:sz w:val="19"/>
              </w:rPr>
              <w:t>Psychiatry</w:t>
            </w:r>
          </w:p>
        </w:tc>
        <w:tc>
          <w:tcPr>
            <w:tcW w:type="dxa" w:w="2880"/>
          </w:tcPr>
          <w:p>
            <w:r/>
            <w:r>
              <w:rPr>
                <w:rFonts w:ascii="Times New Roman" w:hAnsi="Times New Roman"/>
                <w:sz w:val="19"/>
              </w:rPr>
              <w:t>Zhou et al. — air pollution as risk factor for psychiatric disorders</w:t>
            </w:r>
          </w:p>
        </w:tc>
      </w:tr>
      <w:tr>
        <w:tc>
          <w:tcPr>
            <w:tcW w:type="dxa" w:w="2880"/>
          </w:tcPr>
          <w:p>
            <w:r/>
            <w:r>
              <w:rPr>
                <w:rFonts w:ascii="Times New Roman" w:hAnsi="Times New Roman"/>
                <w:sz w:val="19"/>
              </w:rPr>
              <w:t>[32]</w:t>
            </w:r>
          </w:p>
        </w:tc>
        <w:tc>
          <w:tcPr>
            <w:tcW w:type="dxa" w:w="2880"/>
          </w:tcPr>
          <w:p>
            <w:r/>
            <w:r>
              <w:rPr>
                <w:rFonts w:ascii="Times New Roman" w:hAnsi="Times New Roman"/>
                <w:sz w:val="19"/>
              </w:rPr>
              <w:t>Cardiovascular</w:t>
            </w:r>
          </w:p>
        </w:tc>
        <w:tc>
          <w:tcPr>
            <w:tcW w:type="dxa" w:w="2880"/>
          </w:tcPr>
          <w:p>
            <w:r/>
            <w:r>
              <w:rPr>
                <w:rFonts w:ascii="Times New Roman" w:hAnsi="Times New Roman"/>
                <w:sz w:val="19"/>
              </w:rPr>
              <w:t>Wang et al. — nut-consumption mediators of cardiovascular disease</w:t>
            </w:r>
          </w:p>
        </w:tc>
      </w:tr>
      <w:tr>
        <w:tc>
          <w:tcPr>
            <w:tcW w:type="dxa" w:w="2880"/>
          </w:tcPr>
          <w:p>
            <w:r/>
            <w:r>
              <w:rPr>
                <w:rFonts w:ascii="Times New Roman" w:hAnsi="Times New Roman"/>
                <w:sz w:val="19"/>
              </w:rPr>
              <w:t>[33]</w:t>
            </w:r>
          </w:p>
        </w:tc>
        <w:tc>
          <w:tcPr>
            <w:tcW w:type="dxa" w:w="2880"/>
          </w:tcPr>
          <w:p>
            <w:r/>
            <w:r>
              <w:rPr>
                <w:rFonts w:ascii="Times New Roman" w:hAnsi="Times New Roman"/>
                <w:sz w:val="19"/>
              </w:rPr>
              <w:t>Neurological</w:t>
            </w:r>
          </w:p>
        </w:tc>
        <w:tc>
          <w:tcPr>
            <w:tcW w:type="dxa" w:w="2880"/>
          </w:tcPr>
          <w:p>
            <w:r/>
            <w:r>
              <w:rPr>
                <w:rFonts w:ascii="Times New Roman" w:hAnsi="Times New Roman"/>
                <w:sz w:val="19"/>
              </w:rPr>
              <w:t>Xu et al. — immune-cell-mediated link between sphingomyelin and stroke</w:t>
            </w:r>
          </w:p>
        </w:tc>
      </w:tr>
      <w:tr>
        <w:tc>
          <w:tcPr>
            <w:tcW w:type="dxa" w:w="2880"/>
          </w:tcPr>
          <w:p>
            <w:r/>
            <w:r>
              <w:rPr>
                <w:rFonts w:ascii="Times New Roman" w:hAnsi="Times New Roman"/>
                <w:sz w:val="19"/>
              </w:rPr>
              <w:t>[34]</w:t>
            </w:r>
          </w:p>
        </w:tc>
        <w:tc>
          <w:tcPr>
            <w:tcW w:type="dxa" w:w="2880"/>
          </w:tcPr>
          <w:p>
            <w:r/>
            <w:r>
              <w:rPr>
                <w:rFonts w:ascii="Times New Roman" w:hAnsi="Times New Roman"/>
                <w:sz w:val="19"/>
              </w:rPr>
              <w:t>Immunology / allergy</w:t>
            </w:r>
          </w:p>
        </w:tc>
        <w:tc>
          <w:tcPr>
            <w:tcW w:type="dxa" w:w="2880"/>
          </w:tcPr>
          <w:p>
            <w:r/>
            <w:r>
              <w:rPr>
                <w:rFonts w:ascii="Times New Roman" w:hAnsi="Times New Roman"/>
                <w:sz w:val="19"/>
              </w:rPr>
              <w:t>Wang et al. — lipid-metabolism mediators of allergic diseases</w:t>
            </w:r>
          </w:p>
        </w:tc>
      </w:tr>
      <w:tr>
        <w:tc>
          <w:tcPr>
            <w:tcW w:type="dxa" w:w="2880"/>
          </w:tcPr>
          <w:p>
            <w:r/>
            <w:r>
              <w:rPr>
                <w:rFonts w:ascii="Times New Roman" w:hAnsi="Times New Roman"/>
                <w:sz w:val="19"/>
              </w:rPr>
              <w:t>[35]</w:t>
            </w:r>
          </w:p>
        </w:tc>
        <w:tc>
          <w:tcPr>
            <w:tcW w:type="dxa" w:w="2880"/>
          </w:tcPr>
          <w:p>
            <w:r/>
            <w:r>
              <w:rPr>
                <w:rFonts w:ascii="Times New Roman" w:hAnsi="Times New Roman"/>
                <w:sz w:val="19"/>
              </w:rPr>
              <w:t>Neurology</w:t>
            </w:r>
          </w:p>
        </w:tc>
        <w:tc>
          <w:tcPr>
            <w:tcW w:type="dxa" w:w="2880"/>
          </w:tcPr>
          <w:p>
            <w:r/>
            <w:r>
              <w:rPr>
                <w:rFonts w:ascii="Times New Roman" w:hAnsi="Times New Roman"/>
                <w:sz w:val="19"/>
              </w:rPr>
              <w:t>Sun et al. — peripheral immune-cell phenotypes and Alzheimer's disease</w:t>
            </w:r>
          </w:p>
        </w:tc>
      </w:tr>
      <w:tr>
        <w:tc>
          <w:tcPr>
            <w:tcW w:type="dxa" w:w="2880"/>
          </w:tcPr>
          <w:p>
            <w:r/>
            <w:r>
              <w:rPr>
                <w:rFonts w:ascii="Times New Roman" w:hAnsi="Times New Roman"/>
                <w:sz w:val="19"/>
              </w:rPr>
              <w:t>[36]</w:t>
            </w:r>
          </w:p>
        </w:tc>
        <w:tc>
          <w:tcPr>
            <w:tcW w:type="dxa" w:w="2880"/>
          </w:tcPr>
          <w:p>
            <w:r/>
            <w:r>
              <w:rPr>
                <w:rFonts w:ascii="Times New Roman" w:hAnsi="Times New Roman"/>
                <w:sz w:val="19"/>
              </w:rPr>
              <w:t>Respiratory / allergy</w:t>
            </w:r>
          </w:p>
        </w:tc>
        <w:tc>
          <w:tcPr>
            <w:tcW w:type="dxa" w:w="2880"/>
          </w:tcPr>
          <w:p>
            <w:r/>
            <w:r>
              <w:rPr>
                <w:rFonts w:ascii="Times New Roman" w:hAnsi="Times New Roman"/>
                <w:sz w:val="19"/>
              </w:rPr>
              <w:t>Zhang et al. — allergic-disease mediators of bronchiectasis</w:t>
            </w:r>
          </w:p>
        </w:tc>
      </w:tr>
      <w:tr>
        <w:tc>
          <w:tcPr>
            <w:tcW w:type="dxa" w:w="2880"/>
          </w:tcPr>
          <w:p>
            <w:r/>
            <w:r>
              <w:rPr>
                <w:rFonts w:ascii="Times New Roman" w:hAnsi="Times New Roman"/>
                <w:sz w:val="19"/>
              </w:rPr>
              <w:t>[38]</w:t>
            </w:r>
          </w:p>
        </w:tc>
        <w:tc>
          <w:tcPr>
            <w:tcW w:type="dxa" w:w="2880"/>
          </w:tcPr>
          <w:p>
            <w:r/>
            <w:r>
              <w:rPr>
                <w:rFonts w:ascii="Times New Roman" w:hAnsi="Times New Roman"/>
                <w:sz w:val="19"/>
              </w:rPr>
              <w:t>Cardiology / psychiatry</w:t>
            </w:r>
          </w:p>
        </w:tc>
        <w:tc>
          <w:tcPr>
            <w:tcW w:type="dxa" w:w="2880"/>
          </w:tcPr>
          <w:p>
            <w:r/>
            <w:r>
              <w:rPr>
                <w:rFonts w:ascii="Times New Roman" w:hAnsi="Times New Roman"/>
                <w:sz w:val="19"/>
              </w:rPr>
              <w:t>Wang et al. — neuroticism as protective factor for cardiomyopathy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