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val="0"/>
          <w:sz w:val="24"/>
        </w:rPr>
        <w:t>Two-step (product-method) Mendelian randomization mediation analyses routinely assume that the exposure-step and mediator-step instrument sets are independent, yet this assumption has never been checked at scale, and no closed-form correction exists for when it fails. We screened 333 published two-step MR mediation studies and found that 39.3% (95% CI 34.2–44.7%) use an instrument-selection design capable of producing non-independent (α̂, β̂) estimates, and essentially none report or correct for this at the covariance level. We close the methodological gap by deriving a closed-form expression for Cov(α̂, β̂) under instrument overlap, with a conservative reliability bound validated across 180 simulation cells, and we characterize analytically the exact boundary conditions — weak instruments, high shared-instrument proportion, discordant mediation sign — under which the omitted covariance is large enough to overturn a published conclusion (up to 10.4% flip probability in our 200-cell scan). A batch re-estimation of 113 coded studies resolved to public GWAS accessions (108 succeeded) found genuine instrument overlap in 6.5% (95% CI 3.2–12.8%; 7/108); among the five non-degenerate cases the correction narrowed every confidence interval with no observed flip, though this null result is imprecisely estimated (95% CI for the underlying flip rate: 0–43.4%) and should not be read as evidence that flips are rare in the wider, less-resolvable literature. Rather than treating ρ_MY as an assumed-zero sensitivity parameter, we estimated it empirically for the overlapping trios and show the observed narrowing is a structural, mechanism-explained consequence of shared-instrument covariance rather than a fortunate coincidence. The contribution of this work is therefore a validated method and a quantified, bounded description of an unreported design vulnerability — not a claim that any specific published conclusion is wrong.</w:t>
      </w:r>
    </w:p>
    <w:p>
      <w:pPr>
        <w:ind w:firstLine="480"/>
        <w:jc w:val="both"/>
      </w:pPr>
      <w:r>
        <w:rPr>
          <w:rFonts w:ascii="Times New Roman" w:hAnsi="Times New Roman"/>
          <w:b/>
          <w:sz w:val="24"/>
        </w:rPr>
        <w:t>Keywords</w:t>
      </w:r>
      <w:r>
        <w:rPr>
          <w:rFonts w:ascii="Times New Roman" w:hAnsi="Times New Roman"/>
          <w:b/>
          <w:sz w:val="24"/>
        </w:rPr>
        <w:t>:</w:t>
      </w:r>
      <w:r>
        <w:rPr>
          <w:rFonts w:ascii="Times New Roman" w:hAnsi="Times New Roman"/>
          <w:b w:val="0"/>
          <w:sz w:val="24"/>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were screened to code 695 primary studies on design type and overlap handling; 333 (47.9% [95% CI 44.2–51.6%]) are summary-data two-step MR mediation (PRISMA 2020 flow, Fig. 2).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S4).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on 50 studies gave 94.0% observed agreement on design_type (PABAK 0.88); raw Cohen's κ collapses to 0.00 as a statistical artifact (zero "exclude" instances in the key, so expected agreement → 1). On IV_selection_strategy agreement was 74.3% (κ = 0.50); on reports_overlap_risk only n = 8 entries were populated (κ = 0.50, unstable).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S3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the following recent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Feng et al. </w:t>
      </w:r>
      <w:r>
        <w:rPr>
          <w:rFonts w:ascii="Times New Roman" w:hAnsi="Times New Roman"/>
          <w:b w:val="0"/>
          <w:sz w:val="24"/>
          <w:vertAlign w:val="superscript"/>
        </w:rPr>
        <w:t>25</w:t>
      </w:r>
      <w:r>
        <w:rPr>
          <w:rFonts w:ascii="Times New Roman" w:hAnsi="Times New Roman"/>
          <w:b w:val="0"/>
          <w:sz w:val="24"/>
        </w:rPr>
        <w:t xml:space="preserve"> stratified depression risk using cross-ancestry pleiotropic imaging phenotypes.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Hu et al. </w:t>
      </w:r>
      <w:r>
        <w:rPr>
          <w:rFonts w:ascii="Times New Roman" w:hAnsi="Times New Roman"/>
          <w:b w:val="0"/>
          <w:sz w:val="24"/>
          <w:vertAlign w:val="superscript"/>
        </w:rPr>
        <w:t>29</w:t>
      </w:r>
      <w:r>
        <w:rPr>
          <w:rFonts w:ascii="Times New Roman" w:hAnsi="Times New Roman"/>
          <w:b w:val="0"/>
          <w:sz w:val="24"/>
        </w:rPr>
        <w:t xml:space="preserve"> identified body-fat distribution as a mediator of the diabetogenic action of lipid-modifying drugs. Huang et al. </w:t>
      </w:r>
      <w:r>
        <w:rPr>
          <w:rFonts w:ascii="Times New Roman" w:hAnsi="Times New Roman"/>
          <w:b w:val="0"/>
          <w:sz w:val="24"/>
          <w:vertAlign w:val="superscript"/>
        </w:rPr>
        <w:t>30</w:t>
      </w:r>
      <w:r>
        <w:rPr>
          <w:rFonts w:ascii="Times New Roman" w:hAnsi="Times New Roman"/>
          <w:b w:val="0"/>
          <w:sz w:val="24"/>
        </w:rPr>
        <w:t xml:space="preserve"> mediated cyclic cytokine effects on meningioma. Zhou et al. </w:t>
      </w:r>
      <w:r>
        <w:rPr>
          <w:rFonts w:ascii="Times New Roman" w:hAnsi="Times New Roman"/>
          <w:b w:val="0"/>
          <w:sz w:val="24"/>
          <w:vertAlign w:val="superscript"/>
        </w:rPr>
        <w:t>31</w:t>
      </w:r>
      <w:r>
        <w:rPr>
          <w:rFonts w:ascii="Times New Roman" w:hAnsi="Times New Roman"/>
          <w:b w:val="0"/>
          <w:sz w:val="24"/>
        </w:rPr>
        <w:t xml:space="preserve"> examined air pollution as a risk factor for psychiatric disorders. Wang et al. </w:t>
      </w:r>
      <w:r>
        <w:rPr>
          <w:rFonts w:ascii="Times New Roman" w:hAnsi="Times New Roman"/>
          <w:b w:val="0"/>
          <w:sz w:val="24"/>
          <w:vertAlign w:val="superscript"/>
        </w:rPr>
        <w:t>32</w:t>
      </w:r>
      <w:r>
        <w:rPr>
          <w:rFonts w:ascii="Times New Roman" w:hAnsi="Times New Roman"/>
          <w:b w:val="0"/>
          <w:sz w:val="24"/>
        </w:rPr>
        <w:t xml:space="preserve"> mediated nut-consumption effects on cardiovascular disease. Xu et al. </w:t>
      </w:r>
      <w:r>
        <w:rPr>
          <w:rFonts w:ascii="Times New Roman" w:hAnsi="Times New Roman"/>
          <w:b w:val="0"/>
          <w:sz w:val="24"/>
          <w:vertAlign w:val="superscript"/>
        </w:rPr>
        <w:t>33</w:t>
      </w:r>
      <w:r>
        <w:rPr>
          <w:rFonts w:ascii="Times New Roman" w:hAnsi="Times New Roman"/>
          <w:b w:val="0"/>
          <w:sz w:val="24"/>
        </w:rPr>
        <w:t xml:space="preserve"> examined the immune-cell-mediated link between sphingomyelin and stroke. Wang et al. </w:t>
      </w:r>
      <w:r>
        <w:rPr>
          <w:rFonts w:ascii="Times New Roman" w:hAnsi="Times New Roman"/>
          <w:b w:val="0"/>
          <w:sz w:val="24"/>
          <w:vertAlign w:val="superscript"/>
        </w:rPr>
        <w:t>34</w:t>
      </w:r>
      <w:r>
        <w:rPr>
          <w:rFonts w:ascii="Times New Roman" w:hAnsi="Times New Roman"/>
          <w:b w:val="0"/>
          <w:sz w:val="24"/>
        </w:rPr>
        <w:t xml:space="preserve"> mediated lipid-metabolism effects on allergic diseases. Sun et al. </w:t>
      </w:r>
      <w:r>
        <w:rPr>
          <w:rFonts w:ascii="Times New Roman" w:hAnsi="Times New Roman"/>
          <w:b w:val="0"/>
          <w:sz w:val="24"/>
          <w:vertAlign w:val="superscript"/>
        </w:rPr>
        <w:t>35</w:t>
      </w:r>
      <w:r>
        <w:rPr>
          <w:rFonts w:ascii="Times New Roman" w:hAnsi="Times New Roman"/>
          <w:b w:val="0"/>
          <w:sz w:val="24"/>
        </w:rPr>
        <w:t xml:space="preserve"> linked peripheral immune-cell phenotypes to Alzheimer's disease. Zhang et al. </w:t>
      </w:r>
      <w:r>
        <w:rPr>
          <w:rFonts w:ascii="Times New Roman" w:hAnsi="Times New Roman"/>
          <w:b w:val="0"/>
          <w:sz w:val="24"/>
          <w:vertAlign w:val="superscript"/>
        </w:rPr>
        <w:t>36</w:t>
      </w:r>
      <w:r>
        <w:rPr>
          <w:rFonts w:ascii="Times New Roman" w:hAnsi="Times New Roman"/>
          <w:b w:val="0"/>
          <w:sz w:val="24"/>
        </w:rPr>
        <w:t xml:space="preserve"> mediated allergic-disease effects on bronchiectasis.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Wang et al. </w:t>
      </w:r>
      <w:r>
        <w:rPr>
          <w:rFonts w:ascii="Times New Roman" w:hAnsi="Times New Roman"/>
          <w:b w:val="0"/>
          <w:sz w:val="24"/>
          <w:vertAlign w:val="superscript"/>
        </w:rPr>
        <w:t>38</w:t>
      </w:r>
      <w:r>
        <w:rPr>
          <w:rFonts w:ascii="Times New Roman" w:hAnsi="Times New Roman"/>
          <w:b w:val="0"/>
          <w:sz w:val="24"/>
        </w:rPr>
        <w:t xml:space="preserve"> mediated neuroticism effects on cardiomyopathy.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(the original coder did not participate; the second coder was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Figure S4.</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(former Fig. 2), the validation sweep (former Fig. 5), the SE-change forest (former Fig. 6), and the flip-probability scan (former Fig. S_flip, this work) are provided here as supplementary figures;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