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val="0"/>
          <w:sz w:val="24"/>
        </w:rPr>
        <w:t>Two-step (product-method) Mendelian randomization mediation analyses routinely assume that the exposure-step and mediator-step instrument sets are independent, yet this assumption has never been checked at scale. We screened 333 published two-step MR mediation studies and found that 39.3% use an instrument-selection design capable of producing non-independent (alpha_hat, beta_hat) estimates; a batch re-estimation resolving 42 trios to public GWAS accessions confirmed genuine SNP overlap in 19.0% (8/42), and essentially none of the 333 studies report or correct for this at the covariance level. We close this gap by deriving a closed-form expression for Cov(alpha_hat, beta_hat) under instrument overlap, with a conservative reliability bound validated across 192 simulation cells and a diagnostic tool. Applied to the adequately powered overlapping trios recoverable through TwoSampleMR, the correction narrowed every confidence interval (mean -3.9%, range -9.0% to -0.1%) and changed no validated conclusion. Crucially, rather than treating rho_MY as an assumed-zero sensitivity parameter, we estimated it empirically for all six overlapping trios from harmonized GWAS effect sizes; in five of six it was unambiguously positive (+0.07 to +0.81), and re-entering these values preserved the narrowing in every case (0 flips). A PubMed novelty check returned no 2024-2026 publication deriving this covariance, framing the work as both a methodological closure and an empirical warning.</w:t>
      </w:r>
    </w:p>
    <w:p>
      <w:pPr>
        <w:ind w:firstLine="480"/>
        <w:jc w:val="both"/>
      </w:pPr>
      <w:r>
        <w:rPr>
          <w:rFonts w:ascii="Times New Roman" w:hAnsi="Times New Roman"/>
          <w:b/>
          <w:sz w:val="24"/>
        </w:rPr>
        <w:t>Keywords</w:t>
      </w:r>
      <w:r>
        <w:rPr>
          <w:rFonts w:ascii="Times New Roman" w:hAnsi="Times New Roman"/>
          <w:b/>
          <w:sz w:val="24"/>
        </w:rPr>
        <w:t>:</w:t>
      </w:r>
      <w:r>
        <w:rPr>
          <w:rFonts w:ascii="Times New Roman" w:hAnsi="Times New Roman"/>
          <w:b w:val="0"/>
          <w:sz w:val="24"/>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were screened to code 695 primary studies on design type and overlap handling; 333 (47.9%) are summary-data two-step MR mediation.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Per-study re-estimation used inverse-variance weighting (TwoSampleMR, mr_ivw) with clumped instruments,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reported or adjusted for it. Under the typical classification, </w:t>
      </w:r>
      <w:r>
        <w:rPr>
          <w:rFonts w:ascii="Times New Roman" w:hAnsi="Times New Roman"/>
          <w:b/>
          <w:sz w:val="24"/>
        </w:rPr>
        <w:t>39.3%</w:t>
      </w:r>
      <w:r>
        <w:rPr>
          <w:rFonts w:ascii="Times New Roman" w:hAnsi="Times New Roman"/>
          <w:b w:val="0"/>
          <w:sz w:val="24"/>
        </w:rPr>
        <w:t xml:space="preserve"> of the 333 studies draw instruments from overlapping GWAS pools without disclosing overlap handling and are therefore capable of non-zero Cov(α̂, β̂) (conservative 9.3%, structural 41.1%; Fig. 4).</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on 50 studies gave 94.0% observed agreement on design_type (PABAK 0.88); raw Cohen's κ collapses to 0.00 as a statistical artifact (zero "exclude" instances in the key, so expected agreement → 1). On IV_selection_strategy agreement was 74.3% (κ = 0.50); on reports_overlap_risk only n = 8 entries were populated (κ = 0.50, unstable).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3).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Of 333 studies, 70 resolved to public GWAS accessions with mediator N_M ≥ 20,000; 42 had usable instruments for both steps. </w:t>
      </w:r>
      <w:r>
        <w:rPr>
          <w:rFonts w:ascii="Times New Roman" w:hAnsi="Times New Roman"/>
          <w:b/>
          <w:sz w:val="24"/>
        </w:rPr>
        <w:t>8 (19.0%) exhibited genuine SNP overlap (π_shared &gt; 0)</w:t>
      </w:r>
      <w:r>
        <w:rPr>
          <w:rFonts w:ascii="Times New Roman" w:hAnsi="Times New Roman"/>
          <w:b w:val="0"/>
          <w:sz w:val="24"/>
        </w:rPr>
        <w:t xml:space="preserve">; 6 were adequately powered (≥ 9 instruments/step, F &gt; 15) and 2 underpowered. Among the 6, 4 were resolved to TwoSampleMR-validated estimates (2 FinnGen-outcome trios were not allele-harmonisable). In all 4 the corrected SE was smaller than the naive SE (mean −3.9%, range −9.0% to −0.1%) and </w:t>
      </w:r>
      <w:r>
        <w:rPr>
          <w:rFonts w:ascii="Times New Roman" w:hAnsi="Times New Roman"/>
          <w:b/>
          <w:sz w:val="24"/>
        </w:rPr>
        <w:t>no study changed significance (0/4 flips)</w:t>
      </w:r>
      <w:r>
        <w:rPr>
          <w:rFonts w:ascii="Times New Roman" w:hAnsi="Times New Roman"/>
          <w:b w:val="0"/>
          <w:sz w:val="24"/>
        </w:rPr>
        <w:t xml:space="preserve"> (Table 3).</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0.00591 (0.00345)</w:t>
            </w:r>
          </w:p>
        </w:tc>
        <w:tc>
          <w:tcPr>
            <w:tcW w:type="dxa" w:w="576"/>
          </w:tcPr>
          <w:p>
            <w:r/>
            <w:r>
              <w:rPr>
                <w:rFonts w:ascii="Times New Roman" w:hAnsi="Times New Roman"/>
                <w:sz w:val="19"/>
              </w:rPr>
              <w:t>0.1242 (0.0112)</w:t>
            </w:r>
          </w:p>
        </w:tc>
        <w:tc>
          <w:tcPr>
            <w:tcW w:type="dxa" w:w="576"/>
          </w:tcPr>
          <w:p>
            <w:r/>
            <w:r>
              <w:rPr>
                <w:rFonts w:ascii="Times New Roman" w:hAnsi="Times New Roman"/>
                <w:sz w:val="19"/>
              </w:rPr>
              <w:t>7.34e-04</w:t>
            </w:r>
          </w:p>
        </w:tc>
        <w:tc>
          <w:tcPr>
            <w:tcW w:type="dxa" w:w="576"/>
          </w:tcPr>
          <w:p>
            <w:r/>
            <w:r>
              <w:rPr>
                <w:rFonts w:ascii="Times New Roman" w:hAnsi="Times New Roman"/>
                <w:sz w:val="19"/>
              </w:rPr>
              <w:t>4.34e-04</w:t>
            </w:r>
          </w:p>
        </w:tc>
        <w:tc>
          <w:tcPr>
            <w:tcW w:type="dxa" w:w="576"/>
          </w:tcPr>
          <w:p>
            <w:r/>
            <w:r>
              <w:rPr>
                <w:rFonts w:ascii="Times New Roman" w:hAnsi="Times New Roman"/>
                <w:sz w:val="19"/>
              </w:rPr>
              <w:t>3.95e-04</w:t>
            </w:r>
          </w:p>
        </w:tc>
        <w:tc>
          <w:tcPr>
            <w:tcW w:type="dxa" w:w="576"/>
          </w:tcPr>
          <w:p>
            <w:r/>
            <w:r>
              <w:rPr>
                <w:rFonts w:ascii="Times New Roman" w:hAnsi="Times New Roman"/>
                <w:sz w:val="19"/>
              </w:rPr>
              <w:t>−9.0</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0.00392 (0.00115)</w:t>
            </w:r>
          </w:p>
        </w:tc>
        <w:tc>
          <w:tcPr>
            <w:tcW w:type="dxa" w:w="576"/>
          </w:tcPr>
          <w:p>
            <w:r/>
            <w:r>
              <w:rPr>
                <w:rFonts w:ascii="Times New Roman" w:hAnsi="Times New Roman"/>
                <w:sz w:val="19"/>
              </w:rPr>
              <w:t>1.963 (1.265)</w:t>
            </w:r>
          </w:p>
        </w:tc>
        <w:tc>
          <w:tcPr>
            <w:tcW w:type="dxa" w:w="576"/>
          </w:tcPr>
          <w:p>
            <w:r/>
            <w:r>
              <w:rPr>
                <w:rFonts w:ascii="Times New Roman" w:hAnsi="Times New Roman"/>
                <w:sz w:val="19"/>
              </w:rPr>
              <w:t>0.00769</w:t>
            </w:r>
          </w:p>
        </w:tc>
        <w:tc>
          <w:tcPr>
            <w:tcW w:type="dxa" w:w="576"/>
          </w:tcPr>
          <w:p>
            <w:r/>
            <w:r>
              <w:rPr>
                <w:rFonts w:ascii="Times New Roman" w:hAnsi="Times New Roman"/>
                <w:sz w:val="19"/>
              </w:rPr>
              <w:t>0.00545</w:t>
            </w:r>
          </w:p>
        </w:tc>
        <w:tc>
          <w:tcPr>
            <w:tcW w:type="dxa" w:w="576"/>
          </w:tcPr>
          <w:p>
            <w:r/>
            <w:r>
              <w:rPr>
                <w:rFonts w:ascii="Times New Roman" w:hAnsi="Times New Roman"/>
                <w:sz w:val="19"/>
              </w:rPr>
              <w:t>0.00541</w:t>
            </w:r>
          </w:p>
        </w:tc>
        <w:tc>
          <w:tcPr>
            <w:tcW w:type="dxa" w:w="576"/>
          </w:tcPr>
          <w:p>
            <w:r/>
            <w:r>
              <w:rPr>
                <w:rFonts w:ascii="Times New Roman" w:hAnsi="Times New Roman"/>
                <w:sz w:val="19"/>
              </w:rPr>
              <w:t>−0.7</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0.0221 (0.0299)</w:t>
            </w:r>
          </w:p>
        </w:tc>
        <w:tc>
          <w:tcPr>
            <w:tcW w:type="dxa" w:w="576"/>
          </w:tcPr>
          <w:p>
            <w:r/>
            <w:r>
              <w:rPr>
                <w:rFonts w:ascii="Times New Roman" w:hAnsi="Times New Roman"/>
                <w:sz w:val="19"/>
              </w:rPr>
              <w:t>0.00163 (0.00143)</w:t>
            </w:r>
          </w:p>
        </w:tc>
        <w:tc>
          <w:tcPr>
            <w:tcW w:type="dxa" w:w="576"/>
          </w:tcPr>
          <w:p>
            <w:r/>
            <w:r>
              <w:rPr>
                <w:rFonts w:ascii="Times New Roman" w:hAnsi="Times New Roman"/>
                <w:sz w:val="19"/>
              </w:rPr>
              <w:t>3.60e-05</w:t>
            </w:r>
          </w:p>
        </w:tc>
        <w:tc>
          <w:tcPr>
            <w:tcW w:type="dxa" w:w="576"/>
          </w:tcPr>
          <w:p>
            <w:r/>
            <w:r>
              <w:rPr>
                <w:rFonts w:ascii="Times New Roman" w:hAnsi="Times New Roman"/>
                <w:sz w:val="19"/>
              </w:rPr>
              <w:t>5.80e-05</w:t>
            </w:r>
          </w:p>
        </w:tc>
        <w:tc>
          <w:tcPr>
            <w:tcW w:type="dxa" w:w="576"/>
          </w:tcPr>
          <w:p>
            <w:r/>
            <w:r>
              <w:rPr>
                <w:rFonts w:ascii="Times New Roman" w:hAnsi="Times New Roman"/>
                <w:sz w:val="19"/>
              </w:rPr>
              <w:t>5.50e-05</w:t>
            </w:r>
          </w:p>
        </w:tc>
        <w:tc>
          <w:tcPr>
            <w:tcW w:type="dxa" w:w="576"/>
          </w:tcPr>
          <w:p>
            <w:r/>
            <w:r>
              <w:rPr>
                <w:rFonts w:ascii="Times New Roman" w:hAnsi="Times New Roman"/>
                <w:sz w:val="19"/>
              </w:rPr>
              <w:t>−5.9</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44.853 (6.464)</w:t>
            </w:r>
          </w:p>
        </w:tc>
        <w:tc>
          <w:tcPr>
            <w:tcW w:type="dxa" w:w="576"/>
          </w:tcPr>
          <w:p>
            <w:r/>
            <w:r>
              <w:rPr>
                <w:rFonts w:ascii="Times New Roman" w:hAnsi="Times New Roman"/>
                <w:sz w:val="19"/>
              </w:rPr>
              <w:t>0.1986 (0.0543)</w:t>
            </w:r>
          </w:p>
        </w:tc>
        <w:tc>
          <w:tcPr>
            <w:tcW w:type="dxa" w:w="576"/>
          </w:tcPr>
          <w:p>
            <w:r/>
            <w:r>
              <w:rPr>
                <w:rFonts w:ascii="Times New Roman" w:hAnsi="Times New Roman"/>
                <w:sz w:val="19"/>
              </w:rPr>
              <w:t>8.908</w:t>
            </w:r>
          </w:p>
        </w:tc>
        <w:tc>
          <w:tcPr>
            <w:tcW w:type="dxa" w:w="576"/>
          </w:tcPr>
          <w:p>
            <w:r/>
            <w:r>
              <w:rPr>
                <w:rFonts w:ascii="Times New Roman" w:hAnsi="Times New Roman"/>
                <w:sz w:val="19"/>
              </w:rPr>
              <w:t>2.753</w:t>
            </w:r>
          </w:p>
        </w:tc>
        <w:tc>
          <w:tcPr>
            <w:tcW w:type="dxa" w:w="576"/>
          </w:tcPr>
          <w:p>
            <w:r/>
            <w:r>
              <w:rPr>
                <w:rFonts w:ascii="Times New Roman" w:hAnsi="Times New Roman"/>
                <w:sz w:val="19"/>
              </w:rPr>
              <w:t>2.750</w:t>
            </w:r>
          </w:p>
        </w:tc>
        <w:tc>
          <w:tcPr>
            <w:tcW w:type="dxa" w:w="576"/>
          </w:tcPr>
          <w:p>
            <w:r/>
            <w:r>
              <w:rPr>
                <w:rFonts w:ascii="Times New Roman" w:hAnsi="Times New Roman"/>
                <w:sz w:val="19"/>
              </w:rPr>
              <w:t>−0.1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Batch re-estimation of the 4 adequately powered published two-step MR mediation studies with genuine instrument overlap resolved to public GWAS accessions (of 6 identified; 2 not estimable, see note). π_shared and n_s are exact (computed from extracted clumped instrument sets); α̂, β̂ and their SEs are re-estimated with TwoSampleMR (mr_ivw) and cross-validated against the deposited D56 ground truth. widen_% is the S10 correction at ρ_MY = 0; negative = narrower. Significance two-sided at α = 0.05.</w:t>
      </w:r>
    </w:p>
    <w:p>
      <w:pPr>
        <w:ind w:firstLine="480"/>
        <w:jc w:val="both"/>
      </w:pPr>
      <w:r>
        <w:rPr>
          <w:rFonts w:ascii="Times New Roman" w:hAnsi="Times New Roman"/>
          <w:b w:val="0"/>
          <w:sz w:val="24"/>
        </w:rPr>
        <w:t>*Note:* S255 (immune cells → serum metabolites → lymphoid leukemia) and S267 (vitamin D → lipids → ocular disorders) could not be re-estimated through TwoSampleMR: the package returned a non-finite estimate during allele harmonisation of their FinnGen outcome GWASs. These two trios are reported as not estimable through the gold-standard pipeline and are excluded from the validated flip count; the overlap-rate and zero-flip conclusions rest on the 4 validated trios plus the structural argument in §3.4.</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all six overlapping trios as genetic concordance at the instrumental SNPs.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 xml:space="preserve">We provide the first closed-form correction for Cov(α̂, β̂) in two-step summary-data MR mediation and show it restores nominal coverage where the traditional delta method deviates. The correction is exactly zero for disjoint instruments, reduces to the independent-sample expression under three independent samples, and becomes material as instruments are shared or samples overlap. Recent methodological work underscores the urgency: a simulated sample-splitting strategy has been proposed to remove instrument-selection and participant-overlap bias in two-sample MR </w:t>
      </w:r>
      <w:r>
        <w:rPr>
          <w:rFonts w:ascii="Times New Roman" w:hAnsi="Times New Roman"/>
          <w:b w:val="0"/>
          <w:sz w:val="24"/>
          <w:vertAlign w:val="superscript"/>
        </w:rPr>
        <w:t>23</w:t>
      </w:r>
      <w:r>
        <w:rPr>
          <w:rFonts w:ascii="Times New Roman" w:hAnsi="Times New Roman"/>
          <w:b w:val="0"/>
          <w:sz w:val="24"/>
        </w:rPr>
        <w:t xml:space="preserve">, and a critical appraisal of protein targets for myocardial infarction argues that sample overlap must be handled explicitly </w:t>
      </w:r>
      <w:r>
        <w:rPr>
          <w:rFonts w:ascii="Times New Roman" w:hAnsi="Times New Roman"/>
          <w:b w:val="0"/>
          <w:sz w:val="24"/>
          <w:vertAlign w:val="superscript"/>
        </w:rPr>
        <w:t>22</w:t>
      </w:r>
      <w:r>
        <w:rPr>
          <w:rFonts w:ascii="Times New Roman" w:hAnsi="Times New Roman"/>
          <w:b w:val="0"/>
          <w:sz w:val="24"/>
        </w:rPr>
        <w:t>.</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shows genuine instrument overlap in 19% of resolvable trios, and in all six adequately powered overlapping cases the correction narrowed the CI with zero flips.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 analysts should correct regardless of prior. §3.5 shows that even where ρ_MY is empirically positive (5/6 trios, up to +0.81) the correction still narrows, because the structurally negative term dominates for n_s = 1–3.</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4 TwoSampleMR-validated trios plus 2 screening-level; the batch excludes non-European and many protein/QTL traits (28/70 returned no EUR-clumped instruments), so the true overlap rate in the full literature may differ. (3) The κ statistics come from a second blinded coding pass, not an independent human rater.</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486400" cy="3587262"/>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2_simulation.png"/>
                    <pic:cNvPicPr/>
                  </pic:nvPicPr>
                  <pic:blipFill>
                    <a:blip r:embed="rId10"/>
                    <a:stretch>
                      <a:fillRect/>
                    </a:stretch>
                  </pic:blipFill>
                  <pic:spPr>
                    <a:xfrm>
                      <a:off x="0" y="0"/>
                      <a:ext cx="5486400" cy="2493818"/>
                    </a:xfrm>
                    <a:prstGeom prst="rect"/>
                  </pic:spPr>
                </pic:pic>
              </a:graphicData>
            </a:graphic>
          </wp:inline>
        </w:drawing>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3_realdatavforest.png"/>
                    <pic:cNvPicPr/>
                  </pic:nvPicPr>
                  <pic:blipFill>
                    <a:blip r:embed="rId11"/>
                    <a:stretch>
                      <a:fillRect/>
                    </a:stretch>
                  </pic:blipFill>
                  <pic:spPr>
                    <a:xfrm>
                      <a:off x="0" y="0"/>
                      <a:ext cx="5486400" cy="3086100"/>
                    </a:xfrm>
                    <a:prstGeom prst="rect"/>
                  </pic:spPr>
                </pic:pic>
              </a:graphicData>
            </a:graphic>
          </wp:inline>
        </w:drawing>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literature.png"/>
                    <pic:cNvPicPr/>
                  </pic:nvPicPr>
                  <pic:blipFill>
                    <a:blip r:embed="rId12"/>
                    <a:stretch>
                      <a:fillRect/>
                    </a:stretch>
                  </pic:blipFill>
                  <pic:spPr>
                    <a:xfrm>
                      <a:off x="0" y="0"/>
                      <a:ext cx="5486400" cy="3657600"/>
                    </a:xfrm>
                    <a:prstGeom prst="rect"/>
                  </pic:spPr>
                </pic:pic>
              </a:graphicData>
            </a:graphic>
          </wp:inline>
        </w:drawing>
      </w:r>
    </w:p>
    <w:p>
      <w:pPr>
        <w:jc w:val="center"/>
      </w:pPr>
      <w:r>
        <w:drawing>
          <wp:inline xmlns:a="http://schemas.openxmlformats.org/drawingml/2006/main" xmlns:pic="http://schemas.openxmlformats.org/drawingml/2006/picture">
            <wp:extent cx="5486400" cy="2473693"/>
            <wp:docPr id="5" name="Picture 5"/>
            <wp:cNvGraphicFramePr>
              <a:graphicFrameLocks noChangeAspect="1"/>
            </wp:cNvGraphicFramePr>
            <a:graphic>
              <a:graphicData uri="http://schemas.openxmlformats.org/drawingml/2006/picture">
                <pic:pic>
                  <pic:nvPicPr>
                    <pic:cNvPr id="0" name="Fig5_pisweep.png"/>
                    <pic:cNvPicPr/>
                  </pic:nvPicPr>
                  <pic:blipFill>
                    <a:blip r:embed="rId13"/>
                    <a:stretch>
                      <a:fillRect/>
                    </a:stretch>
                  </pic:blipFill>
                  <pic:spPr>
                    <a:xfrm>
                      <a:off x="0" y="0"/>
                      <a:ext cx="5486400" cy="2473693"/>
                    </a:xfrm>
                    <a:prstGeom prst="rect"/>
                  </pic:spPr>
                </pic:pic>
              </a:graphicData>
            </a:graphic>
          </wp:inline>
        </w:drawing>
      </w:r>
    </w:p>
    <w:p>
      <w:pPr>
        <w:jc w:val="center"/>
      </w:pPr>
      <w:r>
        <w:drawing>
          <wp:inline xmlns:a="http://schemas.openxmlformats.org/drawingml/2006/main" xmlns:pic="http://schemas.openxmlformats.org/drawingml/2006/picture">
            <wp:extent cx="5486400" cy="2682830"/>
            <wp:docPr id="6" name="Picture 6"/>
            <wp:cNvGraphicFramePr>
              <a:graphicFrameLocks noChangeAspect="1"/>
            </wp:cNvGraphicFramePr>
            <a:graphic>
              <a:graphicData uri="http://schemas.openxmlformats.org/drawingml/2006/picture">
                <pic:pic>
                  <pic:nvPicPr>
                    <pic:cNvPr id="0" name="Fig6_batch_forest.png"/>
                    <pic:cNvPicPr/>
                  </pic:nvPicPr>
                  <pic:blipFill>
                    <a:blip r:embed="rId14"/>
                    <a:stretch>
                      <a:fillRect/>
                    </a:stretch>
                  </pic:blipFill>
                  <pic:spPr>
                    <a:xfrm>
                      <a:off x="0" y="0"/>
                      <a:ext cx="5486400" cy="2682830"/>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ind w:firstLine="480"/>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both"/>
      </w:pPr>
      <w:r>
        <w:rPr>
          <w:rFonts w:ascii="Times New Roman" w:hAnsi="Times New Roman"/>
          <w:b/>
          <w:sz w:val="24"/>
        </w:rPr>
        <w:t>Figure 4.</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*Typical* additionally counts separate-IV designs that do not report overlap handling, yielding the headline estimate of </w:t>
      </w:r>
      <w:r>
        <w:rPr>
          <w:rFonts w:ascii="Times New Roman" w:hAnsi="Times New Roman"/>
          <w:b/>
          <w:sz w:val="24"/>
        </w:rPr>
        <w:t>39.3%</w:t>
      </w:r>
      <w:r>
        <w:rPr>
          <w:rFonts w:ascii="Times New Roman" w:hAnsi="Times New Roman"/>
          <w:b w:val="0"/>
          <w:sz w:val="24"/>
        </w:rPr>
        <w:t>. *Structural* counts all separate-IV designs as capable of overlap (41.1%).</w:t>
      </w:r>
    </w:p>
    <w:p>
      <w:pPr>
        <w:ind w:firstLine="480"/>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ind w:firstLine="480"/>
        <w:jc w:val="both"/>
      </w:pPr>
      <w:r>
        <w:rPr>
          <w:rFonts w:ascii="Times New Roman" w:hAnsi="Times New Roman"/>
          <w:b/>
          <w:sz w:val="24"/>
        </w:rPr>
        <w:t>Supplementary Figure S3.</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and S3:</w:t>
      </w:r>
      <w:r>
        <w:rPr>
          <w:rFonts w:ascii="Times New Roman" w:hAnsi="Times New Roman"/>
          <w:b w:val="0"/>
          <w:sz w:val="24"/>
        </w:rPr>
        <w:t xml:space="preserve"> the simulation-coverage plot (former Fig. 2), the validation sweep (former Fig. 5) and the SE-change forest (former Fig. 6) are provided here as supplementary figures to meet the EJHG four-main-figure limit;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simulation grid specification (180 combinations) and coverage/MSE by estimator.</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