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 (include the objective).</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 (include the conclusion).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S4).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on 50 studies gave 94.0% observed agreement on design_type (PABAK 0.88); raw Cohen's κ collapses to 0.00 as a statistical artifact (zero "exclude" instances in the key, so expected agreement → 1). On IV_selection_strategy agreement was 74.3% (κ = 0.50); on reports_overlap_risk only n = 8 entries were populated (κ = 0.50, unstable).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S3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(the original coder did not participate; the second coder was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486400" cy="3587262"/>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5486400" cy="2493818"/>
                    </a:xfrm>
                    <a:prstGeom prst="rect"/>
                  </pic:spPr>
                </pic:pic>
              </a:graphicData>
            </a:graphic>
          </wp:inline>
        </w:drawing>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3_realdatavforest.png"/>
                    <pic:cNvPicPr/>
                  </pic:nvPicPr>
                  <pic:blipFill>
                    <a:blip r:embed="rId11"/>
                    <a:stretch>
                      <a:fillRect/>
                    </a:stretch>
                  </pic:blipFill>
                  <pic:spPr>
                    <a:xfrm>
                      <a:off x="0" y="0"/>
                      <a:ext cx="5486400" cy="3086100"/>
                    </a:xfrm>
                    <a:prstGeom prst="rect"/>
                  </pic:spPr>
                </pic:pic>
              </a:graphicData>
            </a:graphic>
          </wp:inline>
        </w:drawing>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literature.png"/>
                    <pic:cNvPicPr/>
                  </pic:nvPicPr>
                  <pic:blipFill>
                    <a:blip r:embed="rId12"/>
                    <a:stretch>
                      <a:fillRect/>
                    </a:stretch>
                  </pic:blipFill>
                  <pic:spPr>
                    <a:xfrm>
                      <a:off x="0" y="0"/>
                      <a:ext cx="5486400" cy="3657600"/>
                    </a:xfrm>
                    <a:prstGeom prst="rect"/>
                  </pic:spPr>
                </pic:pic>
              </a:graphicData>
            </a:graphic>
          </wp:inline>
        </w:drawing>
      </w:r>
    </w:p>
    <w:p>
      <w:pPr>
        <w:jc w:val="center"/>
      </w:pPr>
      <w:r>
        <w:drawing>
          <wp:inline xmlns:a="http://schemas.openxmlformats.org/drawingml/2006/main" xmlns:pic="http://schemas.openxmlformats.org/drawingml/2006/picture">
            <wp:extent cx="5486400" cy="2473693"/>
            <wp:docPr id="5" name="Picture 5"/>
            <wp:cNvGraphicFramePr>
              <a:graphicFrameLocks noChangeAspect="1"/>
            </wp:cNvGraphicFramePr>
            <a:graphic>
              <a:graphicData uri="http://schemas.openxmlformats.org/drawingml/2006/picture">
                <pic:pic>
                  <pic:nvPicPr>
                    <pic:cNvPr id="0" name="Fig5_pisweep.png"/>
                    <pic:cNvPicPr/>
                  </pic:nvPicPr>
                  <pic:blipFill>
                    <a:blip r:embed="rId13"/>
                    <a:stretch>
                      <a:fillRect/>
                    </a:stretch>
                  </pic:blipFill>
                  <pic:spPr>
                    <a:xfrm>
                      <a:off x="0" y="0"/>
                      <a:ext cx="5486400" cy="2473693"/>
                    </a:xfrm>
                    <a:prstGeom prst="rect"/>
                  </pic:spPr>
                </pic:pic>
              </a:graphicData>
            </a:graphic>
          </wp:inline>
        </w:drawing>
      </w:r>
    </w:p>
    <w:p>
      <w:pPr>
        <w:jc w:val="center"/>
      </w:pPr>
      <w:r>
        <w:drawing>
          <wp:inline xmlns:a="http://schemas.openxmlformats.org/drawingml/2006/main" xmlns:pic="http://schemas.openxmlformats.org/drawingml/2006/picture">
            <wp:extent cx="5486400" cy="2682830"/>
            <wp:docPr id="6" name="Picture 6"/>
            <wp:cNvGraphicFramePr>
              <a:graphicFrameLocks noChangeAspect="1"/>
            </wp:cNvGraphicFramePr>
            <a:graphic>
              <a:graphicData uri="http://schemas.openxmlformats.org/drawingml/2006/picture">
                <pic:pic>
                  <pic:nvPicPr>
                    <pic:cNvPr id="0" name="Fig6_batch_forest.png"/>
                    <pic:cNvPicPr/>
                  </pic:nvPicPr>
                  <pic:blipFill>
                    <a:blip r:embed="rId14"/>
                    <a:stretch>
                      <a:fillRect/>
                    </a:stretch>
                  </pic:blipFill>
                  <pic:spPr>
                    <a:xfrm>
                      <a:off x="0" y="0"/>
                      <a:ext cx="5486400" cy="2682830"/>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ind w:firstLine="480"/>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ind w:firstLine="480"/>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ind w:firstLine="480"/>
        <w:jc w:val="both"/>
      </w:pPr>
      <w:r>
        <w:rPr>
          <w:rFonts w:ascii="Times New Roman" w:hAnsi="Times New Roman"/>
          <w:b/>
          <w:sz w:val="24"/>
        </w:rPr>
        <w:t>Supplementary Figure S3.</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Figure S4.</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SE-change forest, and the flip-probability scan,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